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Eliminant guions i caracters com “ &lt; “ . Substituint “n’t” o “‘ ’ m” per “not” i “am”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https://gebakx.github.io/ihlt/sts/docs/2-takelab.pdf</w:t>
        </w:r>
      </w:hyperlink>
      <w:r w:rsidDel="00000000" w:rsidR="00000000" w:rsidRPr="00000000">
        <w:rPr>
          <w:rtl w:val="0"/>
        </w:rPr>
        <w:t xml:space="preserve"> &lt;- apartat preprocessing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Eliminem stopwords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bakx.github.io/ihlt/sts/docs/2-take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