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jc w:val="left"/>
      </w:pPr>
      <w:r>
        <w:rPr>
          <w:rFonts w:ascii="Arial" w:hAnsi="Arial"/>
          <w:b/>
          <w:color w:val="1B365D"/>
          <w:sz w:val="36"/>
        </w:rPr>
        <w:t>Guía Técnica de Handover — Módulo de Gestión Humana y Seguridad Social</w:t>
      </w:r>
    </w:p>
    <w:p>
      <w:pPr>
        <w:spacing w:after="120" w:line="276" w:lineRule="auto"/>
      </w:pPr>
      <w:r>
        <w:rPr>
          <w:rFonts w:ascii="Arial" w:hAnsi="Arial"/>
        </w:rPr>
      </w:r>
      <w:r>
        <w:rPr>
          <w:rFonts w:ascii="Arial" w:hAnsi="Arial"/>
          <w:b/>
        </w:rPr>
        <w:t>Constructora Serving S.A.S. — Sistema SMA</w:t>
      </w:r>
      <w:r>
        <w:rPr>
          <w:rFonts w:ascii="Arial" w:hAnsi="Arial"/>
        </w:rPr>
      </w:r>
    </w:p>
    <w:p>
      <w:pPr>
        <w:spacing w:after="120" w:line="276" w:lineRule="auto"/>
      </w:pPr>
      <w:r>
        <w:rPr>
          <w:rFonts w:ascii="Arial" w:hAnsi="Arial"/>
        </w:rPr>
        <w:t>*Fecha de entrega:* 21 de julio de 2026</w:t>
      </w:r>
    </w:p>
    <w:p>
      <w:pPr>
        <w:spacing w:after="120" w:line="276" w:lineRule="auto"/>
      </w:pPr>
      <w:r>
        <w:rPr>
          <w:rFonts w:ascii="Arial" w:hAnsi="Arial"/>
        </w:rPr>
        <w:t>*Destinatario:* Equipo de Desarrollo (Integración Antigravity)</w:t>
      </w:r>
    </w:p>
    <w:p>
      <w:pPr>
        <w:pBdr>
          <w:bottom w:val="single" w:sz="6" w:space="1" w:color="CCCCCC"/>
        </w:pBdr>
      </w:pPr>
    </w:p>
    <w:p>
      <w:pPr>
        <w:pStyle w:val="Heading2"/>
        <w:spacing w:before="200" w:after="80"/>
      </w:pPr>
      <w:r>
        <w:rPr>
          <w:rFonts w:ascii="Arial" w:hAnsi="Arial"/>
          <w:b/>
          <w:color w:val="2E5B88"/>
          <w:sz w:val="28"/>
        </w:rPr>
        <w:t>1. Resumen Ejecutivo del Módulo</w:t>
      </w:r>
    </w:p>
    <w:p>
      <w:pPr>
        <w:spacing w:after="120" w:line="276" w:lineRule="auto"/>
      </w:pPr>
      <w:r>
        <w:rPr>
          <w:rFonts w:ascii="Arial" w:hAnsi="Arial"/>
        </w:rPr>
        <w:t xml:space="preserve">El módulo de </w:t>
      </w:r>
      <w:r>
        <w:rPr>
          <w:rFonts w:ascii="Arial" w:hAnsi="Arial"/>
          <w:b/>
        </w:rPr>
        <w:t>Gestión Humana y Seguridad Social</w:t>
      </w:r>
      <w:r>
        <w:rPr>
          <w:rFonts w:ascii="Arial" w:hAnsi="Arial"/>
        </w:rPr>
        <w:t xml:space="preserve"> de SMA tiene como objetivo automatizar dos grandes frentes operativos:</w:t>
      </w:r>
    </w:p>
    <w:p>
      <w:pPr>
        <w:spacing w:after="120" w:line="276" w:lineRule="auto"/>
      </w:pPr>
      <w:r>
        <w:rPr>
          <w:rFonts w:ascii="Arial" w:hAnsi="Arial"/>
        </w:rPr>
        <w:t xml:space="preserve">1. </w:t>
      </w:r>
      <w:r>
        <w:rPr>
          <w:rFonts w:ascii="Arial" w:hAnsi="Arial"/>
          <w:b/>
        </w:rPr>
        <w:t>Auditoría y Conciliación de Nómina (SIIMED vs. ARUS)</w:t>
      </w:r>
      <w:r>
        <w:rPr>
          <w:rFonts w:ascii="Arial" w:hAnsi="Arial"/>
        </w:rPr>
        <w:t>: Comparación empleado por empleado de los reportes del ERP interno de nómina (SIIMED) contra las planillas preliminares del operador de autoliquidación (ARUS). Detecta automáticamente discrepancias en Ingresos Bases de Cotización (IBC) y aportes a Salud, Pensión, ARL y Caja de Compensación (CCF).</w:t>
      </w:r>
    </w:p>
    <w:p>
      <w:pPr>
        <w:spacing w:after="120" w:line="276" w:lineRule="auto"/>
      </w:pPr>
      <w:r>
        <w:rPr>
          <w:rFonts w:ascii="Arial" w:hAnsi="Arial"/>
        </w:rPr>
        <w:t xml:space="preserve">2. </w:t>
      </w:r>
      <w:r>
        <w:rPr>
          <w:rFonts w:ascii="Arial" w:hAnsi="Arial"/>
          <w:b/>
        </w:rPr>
        <w:t>Generación Automática de Planillas ARUS</w:t>
      </w:r>
      <w:r>
        <w:rPr>
          <w:rFonts w:ascii="Arial" w:hAnsi="Arial"/>
        </w:rPr>
        <w:t>: Procesamiento dinámico de reportes parciales (incapacidades, licencias, vacaciones, horas extras) para generar los archivos Excel oficiales de carga masiva en ARUS (*Ingresos*, *Novedades* y *Planilla de Autoliquidación Final de 98 columnas*).</w:t>
      </w:r>
    </w:p>
    <w:p>
      <w:pPr>
        <w:pBdr>
          <w:bottom w:val="single" w:sz="6" w:space="1" w:color="CCCCCC"/>
        </w:pBdr>
      </w:pPr>
    </w:p>
    <w:p>
      <w:pPr>
        <w:pStyle w:val="Heading2"/>
        <w:spacing w:before="200" w:after="80"/>
      </w:pPr>
      <w:r>
        <w:rPr>
          <w:rFonts w:ascii="Arial" w:hAnsi="Arial"/>
          <w:b/>
          <w:color w:val="2E5B88"/>
          <w:sz w:val="28"/>
        </w:rPr>
        <w:t>2. Arquitectura Técnica y Estructura de Archivos</w:t>
      </w:r>
    </w:p>
    <w:p>
      <w:pPr>
        <w:spacing w:after="120" w:line="276" w:lineRule="auto"/>
      </w:pPr>
      <w:r>
        <w:rPr>
          <w:rFonts w:ascii="Arial" w:hAnsi="Arial"/>
        </w:rPr>
        <w:t xml:space="preserve">El módulo utiliza una </w:t>
      </w:r>
      <w:r>
        <w:rPr>
          <w:rFonts w:ascii="Arial" w:hAnsi="Arial"/>
          <w:b/>
        </w:rPr>
        <w:t>arquitectura híbrida tolerante a fallos</w:t>
      </w:r>
      <w:r>
        <w:rPr>
          <w:rFonts w:ascii="Arial" w:hAnsi="Arial"/>
        </w:rPr>
        <w:t>:</w:t>
      </w:r>
    </w:p>
    <w:p>
      <w:pPr>
        <w:pStyle w:val="ListBullet"/>
        <w:spacing w:before="0" w:after="40"/>
      </w:pPr>
      <w:r>
        <w:rPr>
          <w:rFonts w:ascii="Arial" w:hAnsi="Arial"/>
        </w:rPr>
      </w:r>
      <w:r>
        <w:rPr>
          <w:rFonts w:ascii="Arial" w:hAnsi="Arial"/>
          <w:b/>
        </w:rPr>
        <w:t>Backend Principal (Python / FastAPI - Puerto 8000)</w:t>
      </w:r>
      <w:r>
        <w:rPr>
          <w:rFonts w:ascii="Arial" w:hAnsi="Arial"/>
        </w:rPr>
        <w:t xml:space="preserve">: Procesa los archivos con </w:t>
      </w:r>
      <w:r>
        <w:rPr>
          <w:rFonts w:ascii="Courier New" w:hAnsi="Courier New"/>
          <w:color w:val="C53030"/>
          <w:sz w:val="20"/>
        </w:rPr>
        <w:t>pandas</w:t>
      </w:r>
      <w:r>
        <w:rPr>
          <w:rFonts w:ascii="Arial" w:hAnsi="Arial"/>
        </w:rPr>
        <w:t xml:space="preserve"> y </w:t>
      </w:r>
      <w:r>
        <w:rPr>
          <w:rFonts w:ascii="Courier New" w:hAnsi="Courier New"/>
          <w:color w:val="C53030"/>
          <w:sz w:val="20"/>
        </w:rPr>
        <w:t>openpyxl</w:t>
      </w:r>
      <w:r>
        <w:rPr>
          <w:rFonts w:ascii="Arial" w:hAnsi="Arial"/>
        </w:rPr>
        <w:t>, maneja la lógica pesada de concatenación, matching difuso de columnas y formateo de la planilla de 98 columnas.</w:t>
      </w:r>
    </w:p>
    <w:p>
      <w:pPr>
        <w:pStyle w:val="ListBullet"/>
        <w:spacing w:before="0" w:after="40"/>
      </w:pPr>
      <w:r>
        <w:rPr>
          <w:rFonts w:ascii="Arial" w:hAnsi="Arial"/>
        </w:rPr>
      </w:r>
      <w:r>
        <w:rPr>
          <w:rFonts w:ascii="Arial" w:hAnsi="Arial"/>
          <w:b/>
        </w:rPr>
        <w:t>Frontend / Backend Proxy (Next.js 15 / React 19 - Puerto 3000)</w:t>
      </w:r>
      <w:r>
        <w:rPr>
          <w:rFonts w:ascii="Arial" w:hAnsi="Arial"/>
        </w:rPr>
        <w:t xml:space="preserve">: Ofrece la interfaz visual en </w:t>
      </w:r>
      <w:r>
        <w:rPr>
          <w:rFonts w:ascii="Courier New" w:hAnsi="Courier New"/>
          <w:color w:val="C53030"/>
          <w:sz w:val="20"/>
        </w:rPr>
        <w:t>src/app/(dashboard)/gestion-humana/seguridad-social/page.tsx</w:t>
      </w:r>
      <w:r>
        <w:rPr>
          <w:rFonts w:ascii="Arial" w:hAnsi="Arial"/>
        </w:rPr>
        <w:t xml:space="preserve"> y actúa como proxy en </w:t>
      </w:r>
      <w:r>
        <w:rPr>
          <w:rFonts w:ascii="Courier New" w:hAnsi="Courier New"/>
          <w:color w:val="C53030"/>
          <w:sz w:val="20"/>
        </w:rPr>
        <w:t>src/app/api/payroll/*</w:t>
      </w:r>
      <w:r>
        <w:rPr>
          <w:rFonts w:ascii="Arial" w:hAnsi="Arial"/>
        </w:rPr>
        <w:t xml:space="preserve">. Si el servidor de Python no responde, Next.js ejecuta un </w:t>
      </w:r>
      <w:r>
        <w:rPr>
          <w:rFonts w:ascii="Arial" w:hAnsi="Arial"/>
          <w:b/>
        </w:rPr>
        <w:t>fallback local en JavaScript</w:t>
      </w:r>
      <w:r>
        <w:rPr>
          <w:rFonts w:ascii="Arial" w:hAnsi="Arial"/>
        </w:rPr>
        <w:t xml:space="preserve"> con </w:t>
      </w:r>
      <w:r>
        <w:rPr>
          <w:rFonts w:ascii="Courier New" w:hAnsi="Courier New"/>
          <w:color w:val="C53030"/>
          <w:sz w:val="20"/>
        </w:rPr>
        <w:t>xlsx</w:t>
      </w:r>
      <w:r>
        <w:rPr>
          <w:rFonts w:ascii="Arial" w:hAnsi="Arial"/>
        </w:rPr>
        <w:t xml:space="preserve"> para mantener la continuidad operativa.</w:t>
      </w:r>
    </w:p>
    <w:p>
      <w:pPr>
        <w:pStyle w:val="Heading3"/>
        <w:spacing w:before="160" w:after="80"/>
      </w:pPr>
      <w:r>
        <w:rPr>
          <w:rFonts w:ascii="Arial" w:hAnsi="Arial"/>
          <w:b/>
          <w:color w:val="4A5568"/>
          <w:sz w:val="24"/>
        </w:rPr>
        <w:t>Ubicación de Código Fuente Clave</w:t>
      </w:r>
    </w:p>
    <w:tbl>
      <w:tblPr>
        <w:tblW w:type="auto" w:w="0"/>
        <w:tblLayout w:type="autofit"/>
        <w:tblLook w:firstColumn="1" w:firstRow="1" w:lastColumn="0" w:lastRow="0" w:noHBand="0" w:noVBand="1" w:val="04A0"/>
      </w:tblPr>
      <w:tblGrid>
        <w:gridCol w:w="2880"/>
        <w:gridCol w:w="2880"/>
        <w:gridCol w:w="2880"/>
      </w:tblGrid>
      <w:tr>
        <w:tc>
          <w:tcPr>
            <w:tcW w:type="dxa" w:w="2880"/>
            <w:shd w:fill="1B365D"/>
            <w:tcMar>
              <w:top w:w="120" w:type="dxa"/>
              <w:bottom w:w="120" w:type="dxa"/>
              <w:left w:w="150" w:type="dxa"/>
              <w:right w:w="150" w:type="dxa"/>
            </w:tcMar>
          </w:tcPr>
          <w:p>
            <w:pPr>
              <w:jc w:val="left"/>
            </w:pPr>
            <w:r/>
            <w:r>
              <w:rPr>
                <w:rFonts w:ascii="Arial" w:hAnsi="Arial"/>
                <w:b/>
                <w:color w:val="FFFFFF"/>
                <w:sz w:val="20"/>
              </w:rPr>
              <w:t>Componente</w:t>
            </w:r>
          </w:p>
        </w:tc>
        <w:tc>
          <w:tcPr>
            <w:tcW w:type="dxa" w:w="2880"/>
            <w:shd w:fill="1B365D"/>
            <w:tcMar>
              <w:top w:w="120" w:type="dxa"/>
              <w:bottom w:w="120" w:type="dxa"/>
              <w:left w:w="150" w:type="dxa"/>
              <w:right w:w="150" w:type="dxa"/>
            </w:tcMar>
          </w:tcPr>
          <w:p>
            <w:pPr>
              <w:jc w:val="left"/>
            </w:pPr>
            <w:r/>
            <w:r>
              <w:rPr>
                <w:rFonts w:ascii="Arial" w:hAnsi="Arial"/>
                <w:b/>
                <w:color w:val="FFFFFF"/>
                <w:sz w:val="20"/>
              </w:rPr>
              <w:t>Ruta de Archivo</w:t>
            </w:r>
          </w:p>
        </w:tc>
        <w:tc>
          <w:tcPr>
            <w:tcW w:type="dxa" w:w="2880"/>
            <w:shd w:fill="1B365D"/>
            <w:tcMar>
              <w:top w:w="120" w:type="dxa"/>
              <w:bottom w:w="120" w:type="dxa"/>
              <w:left w:w="150" w:type="dxa"/>
              <w:right w:w="150" w:type="dxa"/>
            </w:tcMar>
          </w:tcPr>
          <w:p>
            <w:pPr>
              <w:jc w:val="left"/>
            </w:pPr>
            <w:r/>
            <w:r>
              <w:rPr>
                <w:rFonts w:ascii="Arial" w:hAnsi="Arial"/>
                <w:b/>
                <w:color w:val="FFFFFF"/>
                <w:sz w:val="20"/>
              </w:rPr>
              <w:t>Descripción de la Responsabilidad</w:t>
            </w:r>
          </w:p>
        </w:tc>
      </w:tr>
      <w:tr>
        <w:tc>
          <w:tcPr>
            <w:tcW w:type="dxa" w:w="2880"/>
            <w:shd w:fill="F7FAFC"/>
            <w:tcMar>
              <w:top w:w="120" w:type="dxa"/>
              <w:bottom w:w="120" w:type="dxa"/>
              <w:left w:w="150" w:type="dxa"/>
              <w:right w:w="150" w:type="dxa"/>
            </w:tcMar>
          </w:tcPr>
          <w:p>
            <w:pPr>
              <w:jc w:val="left"/>
            </w:pPr>
            <w:r/>
            <w:r>
              <w:rPr>
                <w:rFonts w:ascii="Arial" w:hAnsi="Arial"/>
                <w:b w:val="0"/>
                <w:color w:val="333333"/>
                <w:sz w:val="19"/>
              </w:rPr>
              <w:t>Página Frontend</w:t>
            </w:r>
          </w:p>
        </w:tc>
        <w:tc>
          <w:tcPr>
            <w:tcW w:type="dxa" w:w="2880"/>
            <w:shd w:fill="F7FAFC"/>
            <w:tcMar>
              <w:top w:w="120" w:type="dxa"/>
              <w:bottom w:w="120" w:type="dxa"/>
              <w:left w:w="150" w:type="dxa"/>
              <w:right w:w="150" w:type="dxa"/>
            </w:tcMar>
          </w:tcPr>
          <w:p>
            <w:pPr>
              <w:jc w:val="left"/>
            </w:pPr>
            <w:r/>
            <w:r>
              <w:rPr>
                <w:rFonts w:ascii="Arial" w:hAnsi="Arial"/>
                <w:b w:val="0"/>
                <w:color w:val="333333"/>
                <w:sz w:val="19"/>
              </w:rPr>
              <w:t>src/app/(dashboard)/gestion-humana/seguridad-social/page.tsx</w:t>
            </w:r>
          </w:p>
        </w:tc>
        <w:tc>
          <w:tcPr>
            <w:tcW w:type="dxa" w:w="2880"/>
            <w:shd w:fill="F7FAFC"/>
            <w:tcMar>
              <w:top w:w="120" w:type="dxa"/>
              <w:bottom w:w="120" w:type="dxa"/>
              <w:left w:w="150" w:type="dxa"/>
              <w:right w:w="150" w:type="dxa"/>
            </w:tcMar>
          </w:tcPr>
          <w:p>
            <w:pPr>
              <w:jc w:val="left"/>
            </w:pPr>
            <w:r/>
            <w:r>
              <w:rPr>
                <w:rFonts w:ascii="Arial" w:hAnsi="Arial"/>
                <w:b w:val="0"/>
                <w:color w:val="333333"/>
                <w:sz w:val="19"/>
              </w:rPr>
              <w:t>UI para subida de archivos SIIMED/ARUS, gestión de plantillas y descarga de resultados.</w:t>
            </w:r>
          </w:p>
        </w:tc>
      </w:tr>
      <w:tr>
        <w:tc>
          <w:tcPr>
            <w:tcW w:type="dxa" w:w="2880"/>
            <w:shd w:fill="FFFFFF"/>
            <w:tcMar>
              <w:top w:w="120" w:type="dxa"/>
              <w:bottom w:w="120" w:type="dxa"/>
              <w:left w:w="150" w:type="dxa"/>
              <w:right w:w="150" w:type="dxa"/>
            </w:tcMar>
          </w:tcPr>
          <w:p>
            <w:pPr>
              <w:jc w:val="left"/>
            </w:pPr>
            <w:r/>
            <w:r>
              <w:rPr>
                <w:rFonts w:ascii="Arial" w:hAnsi="Arial"/>
                <w:b w:val="0"/>
                <w:color w:val="333333"/>
                <w:sz w:val="19"/>
              </w:rPr>
              <w:t>API Route Proxy (Next.js)</w:t>
            </w:r>
          </w:p>
        </w:tc>
        <w:tc>
          <w:tcPr>
            <w:tcW w:type="dxa" w:w="2880"/>
            <w:shd w:fill="FFFFFF"/>
            <w:tcMar>
              <w:top w:w="120" w:type="dxa"/>
              <w:bottom w:w="120" w:type="dxa"/>
              <w:left w:w="150" w:type="dxa"/>
              <w:right w:w="150" w:type="dxa"/>
            </w:tcMar>
          </w:tcPr>
          <w:p>
            <w:pPr>
              <w:jc w:val="left"/>
            </w:pPr>
            <w:r/>
            <w:r>
              <w:rPr>
                <w:rFonts w:ascii="Arial" w:hAnsi="Arial"/>
                <w:b w:val="0"/>
                <w:color w:val="333333"/>
                <w:sz w:val="19"/>
              </w:rPr>
              <w:t>src/app/api/payroll/compare/route.ts</w:t>
            </w:r>
          </w:p>
        </w:tc>
        <w:tc>
          <w:tcPr>
            <w:tcW w:type="dxa" w:w="2880"/>
            <w:shd w:fill="FFFFFF"/>
            <w:tcMar>
              <w:top w:w="120" w:type="dxa"/>
              <w:bottom w:w="120" w:type="dxa"/>
              <w:left w:w="150" w:type="dxa"/>
              <w:right w:w="150" w:type="dxa"/>
            </w:tcMar>
          </w:tcPr>
          <w:p>
            <w:pPr>
              <w:jc w:val="left"/>
            </w:pPr>
            <w:r/>
            <w:r>
              <w:rPr>
                <w:rFonts w:ascii="Arial" w:hAnsi="Arial"/>
                <w:b w:val="0"/>
                <w:color w:val="333333"/>
                <w:sz w:val="19"/>
              </w:rPr>
              <w:t>Proxy que redirige a FastAPI o ejecuta la comparación local si Python está offline.</w:t>
            </w:r>
          </w:p>
        </w:tc>
      </w:tr>
      <w:tr>
        <w:tc>
          <w:tcPr>
            <w:tcW w:type="dxa" w:w="2880"/>
            <w:shd w:fill="F7FAFC"/>
            <w:tcMar>
              <w:top w:w="120" w:type="dxa"/>
              <w:bottom w:w="120" w:type="dxa"/>
              <w:left w:w="150" w:type="dxa"/>
              <w:right w:w="150" w:type="dxa"/>
            </w:tcMar>
          </w:tcPr>
          <w:p>
            <w:pPr>
              <w:jc w:val="left"/>
            </w:pPr>
            <w:r/>
            <w:r>
              <w:rPr>
                <w:rFonts w:ascii="Arial" w:hAnsi="Arial"/>
                <w:b w:val="0"/>
                <w:color w:val="333333"/>
                <w:sz w:val="19"/>
              </w:rPr>
              <w:t>API Router (FastAPI)</w:t>
            </w:r>
          </w:p>
        </w:tc>
        <w:tc>
          <w:tcPr>
            <w:tcW w:type="dxa" w:w="2880"/>
            <w:shd w:fill="F7FAFC"/>
            <w:tcMar>
              <w:top w:w="120" w:type="dxa"/>
              <w:bottom w:w="120" w:type="dxa"/>
              <w:left w:w="150" w:type="dxa"/>
              <w:right w:w="150" w:type="dxa"/>
            </w:tcMar>
          </w:tcPr>
          <w:p>
            <w:pPr>
              <w:jc w:val="left"/>
            </w:pPr>
            <w:r/>
            <w:r>
              <w:rPr>
                <w:rFonts w:ascii="Arial" w:hAnsi="Arial"/>
                <w:b w:val="0"/>
                <w:color w:val="333333"/>
                <w:sz w:val="19"/>
              </w:rPr>
              <w:t>backend/app/api/payroll.py</w:t>
            </w:r>
          </w:p>
        </w:tc>
        <w:tc>
          <w:tcPr>
            <w:tcW w:type="dxa" w:w="2880"/>
            <w:shd w:fill="F7FAFC"/>
            <w:tcMar>
              <w:top w:w="120" w:type="dxa"/>
              <w:bottom w:w="120" w:type="dxa"/>
              <w:left w:w="150" w:type="dxa"/>
              <w:right w:w="150" w:type="dxa"/>
            </w:tcMar>
          </w:tcPr>
          <w:p>
            <w:pPr>
              <w:jc w:val="left"/>
            </w:pPr>
            <w:r/>
            <w:r>
              <w:rPr>
                <w:rFonts w:ascii="Arial" w:hAnsi="Arial"/>
                <w:b w:val="0"/>
                <w:color w:val="333333"/>
                <w:sz w:val="19"/>
              </w:rPr>
              <w:t>Endpoints /compare, /generate/ingresos, /generate/novedades, /generate/final, /templates.</w:t>
            </w:r>
          </w:p>
        </w:tc>
      </w:tr>
      <w:tr>
        <w:tc>
          <w:tcPr>
            <w:tcW w:type="dxa" w:w="2880"/>
            <w:shd w:fill="FFFFFF"/>
            <w:tcMar>
              <w:top w:w="120" w:type="dxa"/>
              <w:bottom w:w="120" w:type="dxa"/>
              <w:left w:w="150" w:type="dxa"/>
              <w:right w:w="150" w:type="dxa"/>
            </w:tcMar>
          </w:tcPr>
          <w:p>
            <w:pPr>
              <w:jc w:val="left"/>
            </w:pPr>
            <w:r/>
            <w:r>
              <w:rPr>
                <w:rFonts w:ascii="Arial" w:hAnsi="Arial"/>
                <w:b w:val="0"/>
                <w:color w:val="333333"/>
                <w:sz w:val="19"/>
              </w:rPr>
              <w:t>Servicio de Auditoría (Python)</w:t>
            </w:r>
          </w:p>
        </w:tc>
        <w:tc>
          <w:tcPr>
            <w:tcW w:type="dxa" w:w="2880"/>
            <w:shd w:fill="FFFFFF"/>
            <w:tcMar>
              <w:top w:w="120" w:type="dxa"/>
              <w:bottom w:w="120" w:type="dxa"/>
              <w:left w:w="150" w:type="dxa"/>
              <w:right w:w="150" w:type="dxa"/>
            </w:tcMar>
          </w:tcPr>
          <w:p>
            <w:pPr>
              <w:jc w:val="left"/>
            </w:pPr>
            <w:r/>
            <w:r>
              <w:rPr>
                <w:rFonts w:ascii="Arial" w:hAnsi="Arial"/>
                <w:b w:val="0"/>
                <w:color w:val="333333"/>
                <w:sz w:val="19"/>
              </w:rPr>
              <w:t>backend/app/services/payroll_service.py</w:t>
            </w:r>
          </w:p>
        </w:tc>
        <w:tc>
          <w:tcPr>
            <w:tcW w:type="dxa" w:w="2880"/>
            <w:shd w:fill="FFFFFF"/>
            <w:tcMar>
              <w:top w:w="120" w:type="dxa"/>
              <w:bottom w:w="120" w:type="dxa"/>
              <w:left w:w="150" w:type="dxa"/>
              <w:right w:w="150" w:type="dxa"/>
            </w:tcMar>
          </w:tcPr>
          <w:p>
            <w:pPr>
              <w:jc w:val="left"/>
            </w:pPr>
            <w:r/>
            <w:r>
              <w:rPr>
                <w:rFonts w:ascii="Arial" w:hAnsi="Arial"/>
                <w:b w:val="0"/>
                <w:color w:val="333333"/>
                <w:sz w:val="19"/>
              </w:rPr>
              <w:t>Algoritmos de sanitización de cédulas, matching de columnas por palabras clave y cruce de IBCs/aportes.</w:t>
            </w:r>
          </w:p>
        </w:tc>
      </w:tr>
      <w:tr>
        <w:tc>
          <w:tcPr>
            <w:tcW w:type="dxa" w:w="2880"/>
            <w:shd w:fill="F7FAFC"/>
            <w:tcMar>
              <w:top w:w="120" w:type="dxa"/>
              <w:bottom w:w="120" w:type="dxa"/>
              <w:left w:w="150" w:type="dxa"/>
              <w:right w:w="150" w:type="dxa"/>
            </w:tcMar>
          </w:tcPr>
          <w:p>
            <w:pPr>
              <w:jc w:val="left"/>
            </w:pPr>
            <w:r/>
            <w:r>
              <w:rPr>
                <w:rFonts w:ascii="Arial" w:hAnsi="Arial"/>
                <w:b w:val="0"/>
                <w:color w:val="333333"/>
                <w:sz w:val="19"/>
              </w:rPr>
              <w:t>Servicio Generador (Python)</w:t>
            </w:r>
          </w:p>
        </w:tc>
        <w:tc>
          <w:tcPr>
            <w:tcW w:type="dxa" w:w="2880"/>
            <w:shd w:fill="F7FAFC"/>
            <w:tcMar>
              <w:top w:w="120" w:type="dxa"/>
              <w:bottom w:w="120" w:type="dxa"/>
              <w:left w:w="150" w:type="dxa"/>
              <w:right w:w="150" w:type="dxa"/>
            </w:tcMar>
          </w:tcPr>
          <w:p>
            <w:pPr>
              <w:jc w:val="left"/>
            </w:pPr>
            <w:r/>
            <w:r>
              <w:rPr>
                <w:rFonts w:ascii="Arial" w:hAnsi="Arial"/>
                <w:b w:val="0"/>
                <w:color w:val="333333"/>
                <w:sz w:val="19"/>
              </w:rPr>
              <w:t>backend/app/services/generator_service.py</w:t>
            </w:r>
          </w:p>
        </w:tc>
        <w:tc>
          <w:tcPr>
            <w:tcW w:type="dxa" w:w="2880"/>
            <w:shd w:fill="F7FAFC"/>
            <w:tcMar>
              <w:top w:w="120" w:type="dxa"/>
              <w:bottom w:w="120" w:type="dxa"/>
              <w:left w:w="150" w:type="dxa"/>
              <w:right w:w="150" w:type="dxa"/>
            </w:tcMar>
          </w:tcPr>
          <w:p>
            <w:pPr>
              <w:jc w:val="left"/>
            </w:pPr>
            <w:r/>
            <w:r>
              <w:rPr>
                <w:rFonts w:ascii="Arial" w:hAnsi="Arial"/>
                <w:b w:val="0"/>
                <w:color w:val="333333"/>
                <w:sz w:val="19"/>
              </w:rPr>
              <w:t>Clasificación dinámica de reportes SIIMED, extracción de cotizantes y construcción del Excel de 98 columnas.</w:t>
            </w:r>
          </w:p>
        </w:tc>
      </w:tr>
      <w:tr>
        <w:tc>
          <w:tcPr>
            <w:tcW w:type="dxa" w:w="2880"/>
            <w:shd w:fill="FFFFFF"/>
            <w:tcMar>
              <w:top w:w="120" w:type="dxa"/>
              <w:bottom w:w="120" w:type="dxa"/>
              <w:left w:w="150" w:type="dxa"/>
              <w:right w:w="150" w:type="dxa"/>
            </w:tcMar>
          </w:tcPr>
          <w:p>
            <w:pPr>
              <w:jc w:val="left"/>
            </w:pPr>
            <w:r/>
            <w:r>
              <w:rPr>
                <w:rFonts w:ascii="Arial" w:hAnsi="Arial"/>
                <w:b w:val="0"/>
                <w:color w:val="333333"/>
                <w:sz w:val="19"/>
              </w:rPr>
              <w:t>Plantillas Excel Base</w:t>
            </w:r>
          </w:p>
        </w:tc>
        <w:tc>
          <w:tcPr>
            <w:tcW w:type="dxa" w:w="2880"/>
            <w:shd w:fill="FFFFFF"/>
            <w:tcMar>
              <w:top w:w="120" w:type="dxa"/>
              <w:bottom w:w="120" w:type="dxa"/>
              <w:left w:w="150" w:type="dxa"/>
              <w:right w:w="150" w:type="dxa"/>
            </w:tcMar>
          </w:tcPr>
          <w:p>
            <w:pPr>
              <w:jc w:val="left"/>
            </w:pPr>
            <w:r/>
            <w:r>
              <w:rPr>
                <w:rFonts w:ascii="Arial" w:hAnsi="Arial"/>
                <w:b w:val="0"/>
                <w:color w:val="333333"/>
                <w:sz w:val="19"/>
              </w:rPr>
              <w:t>backend/app/templates/</w:t>
            </w:r>
          </w:p>
        </w:tc>
        <w:tc>
          <w:tcPr>
            <w:tcW w:type="dxa" w:w="2880"/>
            <w:shd w:fill="FFFFFF"/>
            <w:tcMar>
              <w:top w:w="120" w:type="dxa"/>
              <w:bottom w:w="120" w:type="dxa"/>
              <w:left w:w="150" w:type="dxa"/>
              <w:right w:w="150" w:type="dxa"/>
            </w:tcMar>
          </w:tcPr>
          <w:p>
            <w:pPr>
              <w:jc w:val="left"/>
            </w:pPr>
            <w:r/>
            <w:r>
              <w:rPr>
                <w:rFonts w:ascii="Arial" w:hAnsi="Arial"/>
                <w:b w:val="0"/>
                <w:color w:val="333333"/>
                <w:sz w:val="19"/>
              </w:rPr>
              <w:t>PLANILLA INGRESOS ARUS.xlsx y PLANILLA NOVEDADES ARUS.xlsx.</w:t>
            </w:r>
          </w:p>
        </w:tc>
      </w:tr>
    </w:tbl>
    <w:p>
      <w:pPr>
        <w:spacing w:before="120"/>
      </w:pPr>
    </w:p>
    <w:p>
      <w:pPr>
        <w:pBdr>
          <w:bottom w:val="single" w:sz="6" w:space="1" w:color="CCCCCC"/>
        </w:pBdr>
      </w:pPr>
    </w:p>
    <w:p>
      <w:pPr>
        <w:pStyle w:val="Heading2"/>
        <w:spacing w:before="200" w:after="80"/>
      </w:pPr>
      <w:r>
        <w:rPr>
          <w:rFonts w:ascii="Arial" w:hAnsi="Arial"/>
          <w:b/>
          <w:color w:val="2E5B88"/>
          <w:sz w:val="28"/>
        </w:rPr>
        <w:t>3. Detalle de Procesos Implementados (100% Funcionales)</w:t>
      </w:r>
    </w:p>
    <w:p>
      <w:pPr>
        <w:pStyle w:val="Heading3"/>
        <w:spacing w:before="160" w:after="80"/>
      </w:pPr>
      <w:r>
        <w:rPr>
          <w:rFonts w:ascii="Arial" w:hAnsi="Arial"/>
          <w:b/>
          <w:color w:val="4A5568"/>
          <w:sz w:val="24"/>
        </w:rPr>
        <w:t>A. Conciliación y Auditoría (SIIMED vs. ARUS)</w:t>
      </w:r>
    </w:p>
    <w:p>
      <w:pPr>
        <w:pStyle w:val="ListBullet"/>
        <w:spacing w:before="0" w:after="40"/>
      </w:pPr>
      <w:r>
        <w:rPr>
          <w:rFonts w:ascii="Arial" w:hAnsi="Arial"/>
        </w:rPr>
      </w:r>
      <w:r>
        <w:rPr>
          <w:rFonts w:ascii="Arial" w:hAnsi="Arial"/>
          <w:b/>
        </w:rPr>
        <w:t>Matching Dinámico de Columnas</w:t>
      </w:r>
      <w:r>
        <w:rPr>
          <w:rFonts w:ascii="Arial" w:hAnsi="Arial"/>
        </w:rPr>
        <w:t>: Identifica de forma inteligente variaciones en los nombres de columnas de ambos archivos (ej. *"Cédula"*, *"NIT"*, *"Documento Cotizante"* o *"Primer Nombre" + "Primer Apellido"*).</w:t>
      </w:r>
    </w:p>
    <w:p>
      <w:pPr>
        <w:pStyle w:val="ListBullet"/>
        <w:spacing w:before="0" w:after="40"/>
      </w:pPr>
      <w:r>
        <w:rPr>
          <w:rFonts w:ascii="Arial" w:hAnsi="Arial"/>
        </w:rPr>
      </w:r>
      <w:r>
        <w:rPr>
          <w:rFonts w:ascii="Arial" w:hAnsi="Arial"/>
          <w:b/>
        </w:rPr>
        <w:t>Consolidación por Cotizante</w:t>
      </w:r>
      <w:r>
        <w:rPr>
          <w:rFonts w:ascii="Arial" w:hAnsi="Arial"/>
        </w:rPr>
        <w:t>: Suma registros duplicados por empleado si un trabajador tiene múltiples renglones de nómina o novedades en el mes.</w:t>
      </w:r>
    </w:p>
    <w:p>
      <w:pPr>
        <w:pStyle w:val="ListBullet"/>
        <w:spacing w:before="0" w:after="40"/>
      </w:pPr>
      <w:r>
        <w:rPr>
          <w:rFonts w:ascii="Arial" w:hAnsi="Arial"/>
        </w:rPr>
      </w:r>
      <w:r>
        <w:rPr>
          <w:rFonts w:ascii="Arial" w:hAnsi="Arial"/>
          <w:b/>
        </w:rPr>
        <w:t>Detección de Discrepancias</w:t>
      </w:r>
      <w:r>
        <w:rPr>
          <w:rFonts w:ascii="Arial" w:hAnsi="Arial"/>
        </w:rPr>
        <w:t xml:space="preserve">: Compara los IBCs y aportes para Salud, Pensión, ARL y CCF. Se marca </w:t>
      </w:r>
      <w:r>
        <w:rPr>
          <w:rFonts w:ascii="Courier New" w:hAnsi="Courier New"/>
          <w:color w:val="C53030"/>
          <w:sz w:val="20"/>
        </w:rPr>
        <w:t>has_discrepancy = True</w:t>
      </w:r>
      <w:r>
        <w:rPr>
          <w:rFonts w:ascii="Arial" w:hAnsi="Arial"/>
        </w:rPr>
        <w:t xml:space="preserve"> si existe una diferencia mayor a </w:t>
      </w:r>
      <w:r>
        <w:rPr>
          <w:rFonts w:ascii="Arial" w:hAnsi="Arial"/>
          <w:b/>
        </w:rPr>
        <w:t>$1.0 COP</w:t>
      </w:r>
      <w:r>
        <w:rPr>
          <w:rFonts w:ascii="Arial" w:hAnsi="Arial"/>
        </w:rPr>
        <w:t xml:space="preserve"> o si el cotizante está presente en una plataforma y ausente en la otra.</w:t>
      </w:r>
    </w:p>
    <w:p>
      <w:pPr>
        <w:pStyle w:val="Heading3"/>
        <w:spacing w:before="160" w:after="80"/>
      </w:pPr>
      <w:r>
        <w:rPr>
          <w:rFonts w:ascii="Arial" w:hAnsi="Arial"/>
          <w:b/>
          <w:color w:val="4A5568"/>
          <w:sz w:val="24"/>
        </w:rPr>
        <w:t>B. Generación de Planilla de Ingresos ARUS</w:t>
      </w:r>
    </w:p>
    <w:p>
      <w:pPr>
        <w:pStyle w:val="ListBullet"/>
        <w:spacing w:before="0" w:after="40"/>
      </w:pPr>
      <w:r>
        <w:rPr>
          <w:rFonts w:ascii="Arial" w:hAnsi="Arial"/>
        </w:rPr>
      </w:r>
      <w:r>
        <w:rPr>
          <w:rFonts w:ascii="Arial" w:hAnsi="Arial"/>
          <w:b/>
        </w:rPr>
        <w:t>Clasificación Automática</w:t>
      </w:r>
      <w:r>
        <w:rPr>
          <w:rFonts w:ascii="Arial" w:hAnsi="Arial"/>
        </w:rPr>
        <w:t>: Filtra la lista única de empleados de los reportes subidos.</w:t>
      </w:r>
    </w:p>
    <w:p>
      <w:pPr>
        <w:pStyle w:val="ListBullet"/>
        <w:spacing w:before="0" w:after="40"/>
      </w:pPr>
      <w:r>
        <w:rPr>
          <w:rFonts w:ascii="Arial" w:hAnsi="Arial"/>
        </w:rPr>
      </w:r>
      <w:r>
        <w:rPr>
          <w:rFonts w:ascii="Arial" w:hAnsi="Arial"/>
          <w:b/>
        </w:rPr>
        <w:t>Formateo de Nombres</w:t>
      </w:r>
      <w:r>
        <w:rPr>
          <w:rFonts w:ascii="Arial" w:hAnsi="Arial"/>
        </w:rPr>
        <w:t>: Separa nombres completos en *Primer Nombre*, *Segundo Nombre*, *Primer Apellido* y *Segundo Apellido*.</w:t>
      </w:r>
    </w:p>
    <w:p>
      <w:pPr>
        <w:pStyle w:val="ListBullet"/>
        <w:spacing w:before="0" w:after="40"/>
      </w:pPr>
      <w:r>
        <w:rPr>
          <w:rFonts w:ascii="Arial" w:hAnsi="Arial"/>
        </w:rPr>
      </w:r>
      <w:r>
        <w:rPr>
          <w:rFonts w:ascii="Arial" w:hAnsi="Arial"/>
          <w:b/>
        </w:rPr>
        <w:t>Inyección en Plantilla</w:t>
      </w:r>
      <w:r>
        <w:rPr>
          <w:rFonts w:ascii="Arial" w:hAnsi="Arial"/>
        </w:rPr>
        <w:t xml:space="preserve">: Escribe los datos en la pestaña </w:t>
      </w:r>
      <w:r>
        <w:rPr>
          <w:rFonts w:ascii="Courier New" w:hAnsi="Courier New"/>
          <w:color w:val="C53030"/>
          <w:sz w:val="20"/>
        </w:rPr>
        <w:t>COTIZANTES</w:t>
      </w:r>
      <w:r>
        <w:rPr>
          <w:rFonts w:ascii="Arial" w:hAnsi="Arial"/>
        </w:rPr>
        <w:t xml:space="preserve"> del archivo </w:t>
      </w:r>
      <w:r>
        <w:rPr>
          <w:rFonts w:ascii="Courier New" w:hAnsi="Courier New"/>
          <w:color w:val="C53030"/>
          <w:sz w:val="20"/>
        </w:rPr>
        <w:t>PLANILLA INGRESOS ARUS.xlsx</w:t>
      </w:r>
      <w:r>
        <w:rPr>
          <w:rFonts w:ascii="Arial" w:hAnsi="Arial"/>
        </w:rPr>
        <w:t>.</w:t>
      </w:r>
    </w:p>
    <w:p>
      <w:pPr>
        <w:pStyle w:val="Heading3"/>
        <w:spacing w:before="160" w:after="80"/>
      </w:pPr>
      <w:r>
        <w:rPr>
          <w:rFonts w:ascii="Arial" w:hAnsi="Arial"/>
          <w:b/>
          <w:color w:val="4A5568"/>
          <w:sz w:val="24"/>
        </w:rPr>
        <w:t>C. Generación de Planilla de Novedades ARUS</w:t>
      </w:r>
    </w:p>
    <w:p>
      <w:pPr>
        <w:pStyle w:val="ListBullet"/>
        <w:spacing w:before="0" w:after="40"/>
      </w:pPr>
      <w:r>
        <w:rPr>
          <w:rFonts w:ascii="Arial" w:hAnsi="Arial"/>
        </w:rPr>
      </w:r>
      <w:r>
        <w:rPr>
          <w:rFonts w:ascii="Arial" w:hAnsi="Arial"/>
          <w:b/>
        </w:rPr>
        <w:t>Clasificación por Contenido</w:t>
      </w:r>
      <w:r>
        <w:rPr>
          <w:rFonts w:ascii="Arial" w:hAnsi="Arial"/>
        </w:rPr>
        <w:t>: Inspecciona los nombres de archivo y encabezados para separar *Incapacidades (IGE)*, *Licencias (SLN)* y *Vacaciones (VAC-LR)*.</w:t>
      </w:r>
    </w:p>
    <w:p>
      <w:pPr>
        <w:pStyle w:val="ListBullet"/>
        <w:spacing w:before="0" w:after="40"/>
      </w:pPr>
      <w:r>
        <w:rPr>
          <w:rFonts w:ascii="Arial" w:hAnsi="Arial"/>
        </w:rPr>
      </w:r>
      <w:r>
        <w:rPr>
          <w:rFonts w:ascii="Arial" w:hAnsi="Arial"/>
          <w:b/>
        </w:rPr>
        <w:t>Mapeo de Fechas</w:t>
      </w:r>
      <w:r>
        <w:rPr>
          <w:rFonts w:ascii="Arial" w:hAnsi="Arial"/>
        </w:rPr>
        <w:t>: Asocia las fechas de inicio y fin (</w:t>
      </w:r>
      <w:r>
        <w:rPr>
          <w:rFonts w:ascii="Courier New" w:hAnsi="Courier New"/>
          <w:color w:val="C53030"/>
          <w:sz w:val="20"/>
        </w:rPr>
        <w:t>FECHA INICIAL</w:t>
      </w:r>
      <w:r>
        <w:rPr>
          <w:rFonts w:ascii="Arial" w:hAnsi="Arial"/>
        </w:rPr>
        <w:t xml:space="preserve">, </w:t>
      </w:r>
      <w:r>
        <w:rPr>
          <w:rFonts w:ascii="Courier New" w:hAnsi="Courier New"/>
          <w:color w:val="C53030"/>
          <w:sz w:val="20"/>
        </w:rPr>
        <w:t>FECHA FINAL</w:t>
      </w:r>
      <w:r>
        <w:rPr>
          <w:rFonts w:ascii="Arial" w:hAnsi="Arial"/>
        </w:rPr>
        <w:t>) de cada evento laboral.</w:t>
      </w:r>
    </w:p>
    <w:p>
      <w:pPr>
        <w:pStyle w:val="ListBullet"/>
        <w:spacing w:before="0" w:after="40"/>
      </w:pPr>
      <w:r>
        <w:rPr>
          <w:rFonts w:ascii="Arial" w:hAnsi="Arial"/>
        </w:rPr>
      </w:r>
      <w:r>
        <w:rPr>
          <w:rFonts w:ascii="Arial" w:hAnsi="Arial"/>
          <w:b/>
        </w:rPr>
        <w:t>Inyección en Plantilla</w:t>
      </w:r>
      <w:r>
        <w:rPr>
          <w:rFonts w:ascii="Arial" w:hAnsi="Arial"/>
        </w:rPr>
        <w:t xml:space="preserve">: Escribe en la pestaña </w:t>
      </w:r>
      <w:r>
        <w:rPr>
          <w:rFonts w:ascii="Courier New" w:hAnsi="Courier New"/>
          <w:color w:val="C53030"/>
          <w:sz w:val="20"/>
        </w:rPr>
        <w:t>NOVEDADES</w:t>
      </w:r>
      <w:r>
        <w:rPr>
          <w:rFonts w:ascii="Arial" w:hAnsi="Arial"/>
        </w:rPr>
        <w:t xml:space="preserve"> del archivo </w:t>
      </w:r>
      <w:r>
        <w:rPr>
          <w:rFonts w:ascii="Courier New" w:hAnsi="Courier New"/>
          <w:color w:val="C53030"/>
          <w:sz w:val="20"/>
        </w:rPr>
        <w:t>PLANILLA NOVEDADES ARUS.xlsx</w:t>
      </w:r>
      <w:r>
        <w:rPr>
          <w:rFonts w:ascii="Arial" w:hAnsi="Arial"/>
        </w:rPr>
        <w:t>.</w:t>
      </w:r>
    </w:p>
    <w:p>
      <w:pPr>
        <w:pStyle w:val="Heading3"/>
        <w:spacing w:before="160" w:after="80"/>
      </w:pPr>
      <w:r>
        <w:rPr>
          <w:rFonts w:ascii="Arial" w:hAnsi="Arial"/>
          <w:b/>
          <w:color w:val="4A5568"/>
          <w:sz w:val="24"/>
        </w:rPr>
        <w:t>D. Planilla de Autoliquidación Final (98 Columnas)</w:t>
      </w:r>
    </w:p>
    <w:p>
      <w:pPr>
        <w:pStyle w:val="ListBullet"/>
        <w:spacing w:before="0" w:after="40"/>
      </w:pPr>
      <w:r>
        <w:rPr>
          <w:rFonts w:ascii="Arial" w:hAnsi="Arial"/>
        </w:rPr>
      </w:r>
      <w:r>
        <w:rPr>
          <w:rFonts w:ascii="Arial" w:hAnsi="Arial"/>
          <w:b/>
        </w:rPr>
        <w:t>Fila 1 (Metadatos Patronales)</w:t>
      </w:r>
      <w:r>
        <w:rPr>
          <w:rFonts w:ascii="Arial" w:hAnsi="Arial"/>
        </w:rPr>
        <w:t>: Escribe la cabecera patronal de Constructora Serving S.A.S. (NIT 900231851, actividad económica, período de cotización).</w:t>
      </w:r>
    </w:p>
    <w:p>
      <w:pPr>
        <w:pStyle w:val="ListBullet"/>
        <w:spacing w:before="0" w:after="40"/>
      </w:pPr>
      <w:r>
        <w:rPr>
          <w:rFonts w:ascii="Arial" w:hAnsi="Arial"/>
        </w:rPr>
      </w:r>
      <w:r>
        <w:rPr>
          <w:rFonts w:ascii="Arial" w:hAnsi="Arial"/>
          <w:b/>
        </w:rPr>
        <w:t>Fila 2+ (Detalle Cotizantes)</w:t>
      </w:r>
      <w:r>
        <w:rPr>
          <w:rFonts w:ascii="Arial" w:hAnsi="Arial"/>
        </w:rPr>
        <w:t>: Genera 98 columnas por cotizante, cruzando marcas "X" en novedades de tiempo (ING, RET, SLN, IGE, VAC-LR) con sus respectivas fechas de inicio y fin.</w:t>
      </w:r>
    </w:p>
    <w:p>
      <w:pPr>
        <w:pBdr>
          <w:bottom w:val="single" w:sz="6" w:space="1" w:color="CCCCCC"/>
        </w:pBdr>
      </w:pPr>
    </w:p>
    <w:p>
      <w:pPr>
        <w:pStyle w:val="Heading2"/>
        <w:spacing w:before="200" w:after="80"/>
      </w:pPr>
      <w:r>
        <w:rPr>
          <w:rFonts w:ascii="Arial" w:hAnsi="Arial"/>
          <w:b/>
          <w:color w:val="2E5B88"/>
          <w:sz w:val="28"/>
        </w:rPr>
        <w:t>4. Tareas Pendientes y Próximos Pasos (Roadmap para el Compañero)</w:t>
      </w:r>
    </w:p>
    <w:p>
      <w:pPr>
        <w:spacing w:after="120" w:line="276" w:lineRule="auto"/>
      </w:pPr>
      <w:r>
        <w:rPr>
          <w:rFonts w:ascii="Arial" w:hAnsi="Arial"/>
        </w:rPr>
        <w:t>Para que tu compañero pueda continuar con el desarrollo y llevar el módulo al siguiente nivel, estas son las tareas prioritarias pendientes:</w:t>
      </w:r>
    </w:p>
    <w:p>
      <w:pPr>
        <w:spacing w:after="120" w:line="276" w:lineRule="auto"/>
      </w:pPr>
      <w:r>
        <w:rPr>
          <w:rFonts w:ascii="Arial" w:hAnsi="Arial"/>
        </w:rPr>
        <w:t xml:space="preserve">1. </w:t>
      </w:r>
      <w:r>
        <w:rPr>
          <w:rFonts w:ascii="Arial" w:hAnsi="Arial"/>
          <w:b/>
        </w:rPr>
        <w:t>Persistencia en Base de Datos (PostgreSQL)</w:t>
      </w:r>
      <w:r>
        <w:rPr>
          <w:rFonts w:ascii="Arial" w:hAnsi="Arial"/>
        </w:rPr>
      </w:r>
    </w:p>
    <w:p>
      <w:pPr>
        <w:pStyle w:val="ListBullet"/>
        <w:spacing w:before="0" w:after="40"/>
      </w:pPr>
      <w:r>
        <w:rPr>
          <w:rFonts w:ascii="Arial" w:hAnsi="Arial"/>
        </w:rPr>
        <w:t>*Estado actual*: Los cruces se realizan en memoria y el resultado se descarga inmediatamente como Excel/JSON.</w:t>
      </w:r>
    </w:p>
    <w:p>
      <w:pPr>
        <w:pStyle w:val="ListBullet"/>
        <w:spacing w:before="0" w:after="40"/>
      </w:pPr>
      <w:r>
        <w:rPr>
          <w:rFonts w:ascii="Arial" w:hAnsi="Arial"/>
        </w:rPr>
        <w:t>*Tarea pendiente*: Crear modelos con Prisma o Drizzle para almacenar el historial de auditorías mensuales (</w:t>
      </w:r>
      <w:r>
        <w:rPr>
          <w:rFonts w:ascii="Courier New" w:hAnsi="Courier New"/>
          <w:color w:val="C53030"/>
          <w:sz w:val="20"/>
        </w:rPr>
        <w:t>PayrollAuditHistory</w:t>
      </w:r>
      <w:r>
        <w:rPr>
          <w:rFonts w:ascii="Arial" w:hAnsi="Arial"/>
        </w:rPr>
        <w:t xml:space="preserve">, </w:t>
      </w:r>
      <w:r>
        <w:rPr>
          <w:rFonts w:ascii="Courier New" w:hAnsi="Courier New"/>
          <w:color w:val="C53030"/>
          <w:sz w:val="20"/>
        </w:rPr>
        <w:t>PayrollDiscrepancyLog</w:t>
      </w:r>
      <w:r>
        <w:rPr>
          <w:rFonts w:ascii="Arial" w:hAnsi="Arial"/>
        </w:rPr>
        <w:t>). Esto permitirá consultar discrepancias de meses anteriores en un historial gráfico.</w:t>
      </w:r>
    </w:p>
    <w:p>
      <w:pPr>
        <w:spacing w:after="120" w:line="276" w:lineRule="auto"/>
      </w:pPr>
      <w:r>
        <w:rPr>
          <w:rFonts w:ascii="Arial" w:hAnsi="Arial"/>
        </w:rPr>
        <w:t xml:space="preserve">2. </w:t>
      </w:r>
      <w:r>
        <w:rPr>
          <w:rFonts w:ascii="Arial" w:hAnsi="Arial"/>
          <w:b/>
        </w:rPr>
        <w:t>Cálculo de Reglas Especiales de Liquidación</w:t>
      </w:r>
      <w:r>
        <w:rPr>
          <w:rFonts w:ascii="Arial" w:hAnsi="Arial"/>
        </w:rPr>
      </w:r>
    </w:p>
    <w:p>
      <w:pPr>
        <w:pStyle w:val="ListBullet"/>
        <w:spacing w:before="0" w:after="40"/>
      </w:pPr>
      <w:r>
        <w:rPr>
          <w:rFonts w:ascii="Arial" w:hAnsi="Arial"/>
        </w:rPr>
        <w:t>*Topes Legales*: Validar que el IBC no sea inferior a 1 SMMLV ni superior a 25 SMMLV.</w:t>
      </w:r>
    </w:p>
    <w:p>
      <w:pPr>
        <w:pStyle w:val="ListBullet"/>
        <w:spacing w:before="0" w:after="40"/>
      </w:pPr>
      <w:r>
        <w:rPr>
          <w:rFonts w:ascii="Arial" w:hAnsi="Arial"/>
        </w:rPr>
        <w:t>*Fondo de Solidaridad Pensional (FSP / FSPS)*: Calcular automáticamente la tarifa progresiva (1% a 2%) para empleados con salario superior a 4 SMMLV.</w:t>
      </w:r>
    </w:p>
    <w:p>
      <w:pPr>
        <w:pStyle w:val="ListBullet"/>
        <w:spacing w:before="0" w:after="40"/>
      </w:pPr>
      <w:r>
        <w:rPr>
          <w:rFonts w:ascii="Arial" w:hAnsi="Arial"/>
        </w:rPr>
        <w:t>*Tarifas ARL por Riesgo*: Asociar el Centro de Trabajo de cada empleado con su clase de riesgo específica (Riesgo I al V) para verificar la cotización exacta a la ARL.</w:t>
      </w:r>
    </w:p>
    <w:p>
      <w:pPr>
        <w:spacing w:after="120" w:line="276" w:lineRule="auto"/>
      </w:pPr>
      <w:r>
        <w:rPr>
          <w:rFonts w:ascii="Arial" w:hAnsi="Arial"/>
        </w:rPr>
        <w:t xml:space="preserve">3. </w:t>
      </w:r>
      <w:r>
        <w:rPr>
          <w:rFonts w:ascii="Arial" w:hAnsi="Arial"/>
          <w:b/>
        </w:rPr>
        <w:t>Notificaciones y Reportes Ejecutivos en PDF</w:t>
      </w:r>
      <w:r>
        <w:rPr>
          <w:rFonts w:ascii="Arial" w:hAnsi="Arial"/>
        </w:rPr>
      </w:r>
    </w:p>
    <w:p>
      <w:pPr>
        <w:pStyle w:val="ListBullet"/>
        <w:spacing w:before="0" w:after="40"/>
      </w:pPr>
      <w:r>
        <w:rPr>
          <w:rFonts w:ascii="Arial" w:hAnsi="Arial"/>
        </w:rPr>
        <w:t>*Tarea pendiente*: Crear una función que genere un informe en PDF con el resumen de hallazgos y lo envíe por correo a la Dirección de Gestión Humana antes de realizar el pago en el operador.</w:t>
      </w:r>
    </w:p>
    <w:p>
      <w:pPr>
        <w:spacing w:after="120" w:line="276" w:lineRule="auto"/>
      </w:pPr>
      <w:r>
        <w:rPr>
          <w:rFonts w:ascii="Arial" w:hAnsi="Arial"/>
        </w:rPr>
        <w:t xml:space="preserve">4. </w:t>
      </w:r>
      <w:r>
        <w:rPr>
          <w:rFonts w:ascii="Arial" w:hAnsi="Arial"/>
          <w:b/>
        </w:rPr>
        <w:t>Pruebas de Borde e Integración E2E</w:t>
      </w:r>
      <w:r>
        <w:rPr>
          <w:rFonts w:ascii="Arial" w:hAnsi="Arial"/>
        </w:rPr>
      </w:r>
    </w:p>
    <w:p>
      <w:pPr>
        <w:pStyle w:val="ListBullet"/>
        <w:spacing w:before="0" w:after="40"/>
      </w:pPr>
      <w:r>
        <w:rPr>
          <w:rFonts w:ascii="Arial" w:hAnsi="Arial"/>
        </w:rPr>
        <w:t>*Tarea pendiente*: Escribir pruebas automatizadas con Jest/Playwright o Pytest para validar archivos con nombres de columnas no estándar o caracteres especiales.</w:t>
      </w:r>
    </w:p>
    <w:p>
      <w:pPr>
        <w:pBdr>
          <w:bottom w:val="single" w:sz="6" w:space="1" w:color="CCCCCC"/>
        </w:pBdr>
      </w:pPr>
    </w:p>
    <w:p>
      <w:pPr>
        <w:pStyle w:val="Heading2"/>
        <w:spacing w:before="200" w:after="80"/>
      </w:pPr>
      <w:r>
        <w:rPr>
          <w:rFonts w:ascii="Arial" w:hAnsi="Arial"/>
          <w:b/>
          <w:color w:val="2E5B88"/>
          <w:sz w:val="28"/>
        </w:rPr>
        <w:t>5. Lista de Archivos y Credenciales Necesarias para Transferir</w:t>
      </w:r>
    </w:p>
    <w:p>
      <w:pPr>
        <w:spacing w:after="120" w:line="276" w:lineRule="auto"/>
      </w:pPr>
      <w:r>
        <w:rPr>
          <w:rFonts w:ascii="Arial" w:hAnsi="Arial"/>
        </w:rPr>
        <w:t>Para que tu compañero configure su entorno local en su PC y pueda trabajar con Antigravity de inmediato, debes transferirle la siguiente lista de archivos:</w:t>
      </w:r>
    </w:p>
    <w:p>
      <w:pPr>
        <w:pStyle w:val="Heading3"/>
        <w:spacing w:before="160" w:after="80"/>
      </w:pPr>
      <w:r>
        <w:rPr>
          <w:rFonts w:ascii="Arial" w:hAnsi="Arial"/>
          <w:b/>
          <w:color w:val="4A5568"/>
          <w:sz w:val="24"/>
        </w:rPr>
        <w:t>1. Variables de Entorno (`.env`)</w:t>
      </w:r>
    </w:p>
    <w:p>
      <w:pPr>
        <w:spacing w:after="120" w:line="276" w:lineRule="auto"/>
      </w:pPr>
      <w:r>
        <w:rPr>
          <w:rFonts w:ascii="Arial" w:hAnsi="Arial"/>
        </w:rPr>
        <w:t xml:space="preserve">Debes entregarle una copia del archivo </w:t>
      </w:r>
      <w:r>
        <w:rPr>
          <w:rFonts w:ascii="Courier New" w:hAnsi="Courier New"/>
          <w:color w:val="C53030"/>
          <w:sz w:val="20"/>
        </w:rPr>
        <w:t>.env</w:t>
      </w:r>
      <w:r>
        <w:rPr>
          <w:rFonts w:ascii="Arial" w:hAnsi="Arial"/>
        </w:rPr>
        <w:t xml:space="preserve"> configurado en la raíz del proyecto (</w:t>
      </w:r>
      <w:r>
        <w:rPr>
          <w:rFonts w:ascii="Courier New" w:hAnsi="Courier New"/>
          <w:color w:val="C53030"/>
          <w:sz w:val="20"/>
        </w:rPr>
        <w:t>SMA/.env</w:t>
      </w:r>
      <w:r>
        <w:rPr>
          <w:rFonts w:ascii="Arial" w:hAnsi="Arial"/>
        </w:rPr>
        <w:t>). Asegúrate de que contenga las siguientes claves:</w:t>
      </w:r>
    </w:p>
    <w:p>
      <w:pPr>
        <w:spacing w:after="120" w:line="276" w:lineRule="auto"/>
      </w:pPr>
      <w:r>
        <w:rPr>
          <w:rFonts w:ascii="Arial" w:hAnsi="Arial"/>
        </w:rPr>
        <w:t>```env</w:t>
      </w:r>
    </w:p>
    <w:p>
      <w:pPr>
        <w:pStyle w:val="Heading1"/>
        <w:spacing w:before="240" w:after="120"/>
        <w:jc w:val="left"/>
      </w:pPr>
      <w:r>
        <w:rPr>
          <w:rFonts w:ascii="Arial" w:hAnsi="Arial"/>
          <w:b/>
          <w:color w:val="1B365D"/>
          <w:sz w:val="36"/>
        </w:rPr>
        <w:t>Base de Datos (PostgreSQL local o VPS)</w:t>
      </w:r>
    </w:p>
    <w:p>
      <w:pPr>
        <w:spacing w:after="120" w:line="276" w:lineRule="auto"/>
      </w:pPr>
      <w:r>
        <w:rPr>
          <w:rFonts w:ascii="Arial" w:hAnsi="Arial"/>
        </w:rPr>
        <w:t>DATABASE_URL="postgres://usuario:password@localhost:5432/sma_db"</w:t>
      </w:r>
    </w:p>
    <w:p>
      <w:pPr>
        <w:pStyle w:val="Heading1"/>
        <w:spacing w:before="240" w:after="120"/>
        <w:jc w:val="left"/>
      </w:pPr>
      <w:r>
        <w:rPr>
          <w:rFonts w:ascii="Arial" w:hAnsi="Arial"/>
          <w:b/>
          <w:color w:val="1B365D"/>
          <w:sz w:val="36"/>
        </w:rPr>
        <w:t>Auth.js Secret</w:t>
      </w:r>
    </w:p>
    <w:p>
      <w:pPr>
        <w:spacing w:after="120" w:line="276" w:lineRule="auto"/>
      </w:pPr>
      <w:r>
        <w:rPr>
          <w:rFonts w:ascii="Arial" w:hAnsi="Arial"/>
        </w:rPr>
        <w:t>AUTH_SECRET="tu_secreto_generado"</w:t>
      </w:r>
    </w:p>
    <w:p>
      <w:pPr>
        <w:pStyle w:val="Heading1"/>
        <w:spacing w:before="240" w:after="120"/>
        <w:jc w:val="left"/>
      </w:pPr>
      <w:r>
        <w:rPr>
          <w:rFonts w:ascii="Arial" w:hAnsi="Arial"/>
          <w:b/>
          <w:color w:val="1B365D"/>
          <w:sz w:val="36"/>
        </w:rPr>
        <w:t>Configuración Backend Python</w:t>
      </w:r>
    </w:p>
    <w:p>
      <w:pPr>
        <w:spacing w:after="120" w:line="276" w:lineRule="auto"/>
      </w:pPr>
      <w:r>
        <w:rPr>
          <w:rFonts w:ascii="Arial" w:hAnsi="Arial"/>
        </w:rPr>
        <w:t>AI_BACKEND_URL="http://localhost:8000"</w:t>
      </w:r>
    </w:p>
    <w:p>
      <w:pPr>
        <w:spacing w:after="120" w:line="276" w:lineRule="auto"/>
      </w:pPr>
      <w:r>
        <w:rPr>
          <w:rFonts w:ascii="Arial" w:hAnsi="Arial"/>
        </w:rPr>
        <w:t>GEMINI_API_KEY="TU_API_KEY_DE_GEMINI"</w:t>
      </w:r>
    </w:p>
    <w:p>
      <w:pPr>
        <w:pStyle w:val="Heading1"/>
        <w:spacing w:before="240" w:after="120"/>
        <w:jc w:val="left"/>
      </w:pPr>
      <w:r>
        <w:rPr>
          <w:rFonts w:ascii="Arial" w:hAnsi="Arial"/>
          <w:b/>
          <w:color w:val="1B365D"/>
          <w:sz w:val="36"/>
        </w:rPr>
        <w:t>GCP Credentials (opcional si usa Vertex AI)</w:t>
      </w:r>
    </w:p>
    <w:p>
      <w:pPr>
        <w:spacing w:after="120" w:line="276" w:lineRule="auto"/>
      </w:pPr>
      <w:r>
        <w:rPr>
          <w:rFonts w:ascii="Arial" w:hAnsi="Arial"/>
        </w:rPr>
        <w:t>GCP_PROJECT_ID="serving-496214"</w:t>
      </w:r>
    </w:p>
    <w:p>
      <w:pPr>
        <w:spacing w:after="120" w:line="276" w:lineRule="auto"/>
      </w:pPr>
      <w:r>
        <w:rPr>
          <w:rFonts w:ascii="Arial" w:hAnsi="Arial"/>
        </w:rPr>
        <w:t>GCP_LOCATION="us-central1"</w:t>
      </w:r>
    </w:p>
    <w:p>
      <w:pPr>
        <w:spacing w:after="120" w:line="276" w:lineRule="auto"/>
      </w:pPr>
      <w:r>
        <w:rPr>
          <w:rFonts w:ascii="Arial" w:hAnsi="Arial"/>
        </w:rPr>
        <w:t>GOOGLE_APPLICATION_CREDENTIALS="C:\\ruta\\a\\tu\\credencial_gcp.json"</w:t>
      </w:r>
    </w:p>
    <w:p>
      <w:pPr>
        <w:spacing w:after="120" w:line="276" w:lineRule="auto"/>
      </w:pPr>
      <w:r>
        <w:rPr>
          <w:rFonts w:ascii="Courier New" w:hAnsi="Courier New"/>
          <w:color w:val="C53030"/>
          <w:sz w:val="20"/>
        </w:rPr>
        <w:t>`</w:t>
      </w:r>
    </w:p>
    <w:p>
      <w:pPr>
        <w:pStyle w:val="Heading3"/>
        <w:spacing w:before="160" w:after="80"/>
      </w:pPr>
      <w:r>
        <w:rPr>
          <w:rFonts w:ascii="Arial" w:hAnsi="Arial"/>
          <w:b/>
          <w:color w:val="4A5568"/>
          <w:sz w:val="24"/>
        </w:rPr>
        <w:t>2. Archivos Físicos y Plantillas</w:t>
      </w:r>
    </w:p>
    <w:p>
      <w:pPr>
        <w:pStyle w:val="ListBullet"/>
        <w:spacing w:before="0" w:after="40"/>
      </w:pPr>
      <w:r>
        <w:rPr>
          <w:rFonts w:ascii="Arial" w:hAnsi="Arial"/>
        </w:rPr>
      </w:r>
      <w:r>
        <w:rPr>
          <w:rFonts w:ascii="Arial" w:hAnsi="Arial"/>
          <w:b/>
        </w:rPr>
        <w:t>Plantillas de ARUS</w:t>
      </w:r>
      <w:r>
        <w:rPr>
          <w:rFonts w:ascii="Arial" w:hAnsi="Arial"/>
        </w:rPr>
        <w:t xml:space="preserve">: La carpeta </w:t>
      </w:r>
      <w:r>
        <w:rPr>
          <w:rFonts w:ascii="Courier New" w:hAnsi="Courier New"/>
          <w:color w:val="C53030"/>
          <w:sz w:val="20"/>
        </w:rPr>
        <w:t>backend/app/templates/</w:t>
      </w:r>
      <w:r>
        <w:rPr>
          <w:rFonts w:ascii="Arial" w:hAnsi="Arial"/>
        </w:rPr>
        <w:t xml:space="preserve"> con los archivos:</w:t>
      </w:r>
    </w:p>
    <w:p>
      <w:pPr>
        <w:pStyle w:val="ListBullet"/>
        <w:spacing w:before="0" w:after="40"/>
      </w:pPr>
      <w:r>
        <w:rPr>
          <w:rFonts w:ascii="Arial" w:hAnsi="Arial"/>
        </w:rPr>
      </w:r>
      <w:r>
        <w:rPr>
          <w:rFonts w:ascii="Courier New" w:hAnsi="Courier New"/>
          <w:color w:val="C53030"/>
          <w:sz w:val="20"/>
        </w:rPr>
        <w:t>PLANILLA INGRESOS ARUS.xlsx</w:t>
      </w:r>
      <w:r>
        <w:rPr>
          <w:rFonts w:ascii="Arial" w:hAnsi="Arial"/>
        </w:rPr>
      </w:r>
    </w:p>
    <w:p>
      <w:pPr>
        <w:pStyle w:val="ListBullet"/>
        <w:spacing w:before="0" w:after="40"/>
      </w:pPr>
      <w:r>
        <w:rPr>
          <w:rFonts w:ascii="Arial" w:hAnsi="Arial"/>
        </w:rPr>
      </w:r>
      <w:r>
        <w:rPr>
          <w:rFonts w:ascii="Courier New" w:hAnsi="Courier New"/>
          <w:color w:val="C53030"/>
          <w:sz w:val="20"/>
        </w:rPr>
        <w:t>PLANILLA NOVEDADES ARUS.xlsx</w:t>
      </w:r>
      <w:r>
        <w:rPr>
          <w:rFonts w:ascii="Arial" w:hAnsi="Arial"/>
        </w:rPr>
      </w:r>
    </w:p>
    <w:p>
      <w:pPr>
        <w:pStyle w:val="ListBullet"/>
        <w:spacing w:before="0" w:after="40"/>
      </w:pPr>
      <w:r>
        <w:rPr>
          <w:rFonts w:ascii="Arial" w:hAnsi="Arial"/>
        </w:rPr>
      </w:r>
      <w:r>
        <w:rPr>
          <w:rFonts w:ascii="Arial" w:hAnsi="Arial"/>
          <w:b/>
        </w:rPr>
        <w:t>Credencial GCP (si aplica)</w:t>
      </w:r>
      <w:r>
        <w:rPr>
          <w:rFonts w:ascii="Arial" w:hAnsi="Arial"/>
        </w:rPr>
        <w:t xml:space="preserve">: El archivo JSON de cuenta de servicio de Google Cloud (ej. </w:t>
      </w:r>
      <w:r>
        <w:rPr>
          <w:rFonts w:ascii="Courier New" w:hAnsi="Courier New"/>
          <w:color w:val="C53030"/>
          <w:sz w:val="20"/>
        </w:rPr>
        <w:t>serving-496214-2051433ebc77.json</w:t>
      </w:r>
      <w:r>
        <w:rPr>
          <w:rFonts w:ascii="Arial" w:hAnsi="Arial"/>
        </w:rPr>
        <w:t>).</w:t>
      </w:r>
    </w:p>
    <w:p>
      <w:pPr>
        <w:pStyle w:val="ListBullet"/>
        <w:spacing w:before="0" w:after="40"/>
      </w:pPr>
      <w:r>
        <w:rPr>
          <w:rFonts w:ascii="Arial" w:hAnsi="Arial"/>
        </w:rPr>
      </w:r>
      <w:r>
        <w:rPr>
          <w:rFonts w:ascii="Arial" w:hAnsi="Arial"/>
          <w:b/>
        </w:rPr>
        <w:t>Archivos de Prueba</w:t>
      </w:r>
      <w:r>
        <w:rPr>
          <w:rFonts w:ascii="Arial" w:hAnsi="Arial"/>
        </w:rPr>
        <w:t xml:space="preserve">: Copia de los informes reales de prueba ubicados en la carpeta </w:t>
      </w:r>
      <w:r>
        <w:rPr>
          <w:rFonts w:ascii="Courier New" w:hAnsi="Courier New"/>
          <w:color w:val="C53030"/>
          <w:sz w:val="20"/>
        </w:rPr>
        <w:t>gestion humana</w:t>
      </w:r>
      <w:r>
        <w:rPr>
          <w:rFonts w:ascii="Arial" w:hAnsi="Arial"/>
        </w:rPr>
        <w:t xml:space="preserve"> (</w:t>
      </w:r>
      <w:r>
        <w:rPr>
          <w:rFonts w:ascii="Courier New" w:hAnsi="Courier New"/>
          <w:color w:val="C53030"/>
          <w:sz w:val="20"/>
        </w:rPr>
        <w:t>INFORME HORAS EXTRAS.xlsx</w:t>
      </w:r>
      <w:r>
        <w:rPr>
          <w:rFonts w:ascii="Arial" w:hAnsi="Arial"/>
        </w:rPr>
        <w:t xml:space="preserve">, </w:t>
      </w:r>
      <w:r>
        <w:rPr>
          <w:rFonts w:ascii="Courier New" w:hAnsi="Courier New"/>
          <w:color w:val="C53030"/>
          <w:sz w:val="20"/>
        </w:rPr>
        <w:t>INFORME INCAPACIDADES.xlsx</w:t>
      </w:r>
      <w:r>
        <w:rPr>
          <w:rFonts w:ascii="Arial" w:hAnsi="Arial"/>
        </w:rPr>
        <w:t xml:space="preserve">, </w:t>
      </w:r>
      <w:r>
        <w:rPr>
          <w:rFonts w:ascii="Courier New" w:hAnsi="Courier New"/>
          <w:color w:val="C53030"/>
          <w:sz w:val="20"/>
        </w:rPr>
        <w:t>INFORME LICENCIAS.xlsx</w:t>
      </w:r>
      <w:r>
        <w:rPr>
          <w:rFonts w:ascii="Arial" w:hAnsi="Arial"/>
        </w:rPr>
        <w:t xml:space="preserve">, </w:t>
      </w:r>
      <w:r>
        <w:rPr>
          <w:rFonts w:ascii="Courier New" w:hAnsi="Courier New"/>
          <w:color w:val="C53030"/>
          <w:sz w:val="20"/>
        </w:rPr>
        <w:t>INFORME VACACIONESxlsx.xlsx</w:t>
      </w:r>
      <w:r>
        <w:rPr>
          <w:rFonts w:ascii="Arial" w:hAnsi="Arial"/>
        </w:rPr>
        <w:t>, etc.) para que pueda ejecutar pruebas locales.</w:t>
      </w:r>
    </w:p>
    <w:p>
      <w:pPr>
        <w:pBdr>
          <w:bottom w:val="single" w:sz="6" w:space="1" w:color="CCCCCC"/>
        </w:pBdr>
      </w:pPr>
    </w:p>
    <w:p>
      <w:pPr>
        <w:pStyle w:val="Heading2"/>
        <w:spacing w:before="200" w:after="80"/>
      </w:pPr>
      <w:r>
        <w:rPr>
          <w:rFonts w:ascii="Arial" w:hAnsi="Arial"/>
          <w:b/>
          <w:color w:val="2E5B88"/>
          <w:sz w:val="28"/>
        </w:rPr>
        <w:t>6. Guía Rápida de Despliegue e Integración en Antigravity</w:t>
      </w:r>
    </w:p>
    <w:p>
      <w:pPr>
        <w:spacing w:after="120" w:line="276" w:lineRule="auto"/>
      </w:pPr>
      <w:r>
        <w:rPr>
          <w:rFonts w:ascii="Arial" w:hAnsi="Arial"/>
        </w:rPr>
        <w:t>Indícale a tu compañero que ejecute los siguientes pasos en su PC:</w:t>
      </w:r>
    </w:p>
    <w:p>
      <w:pPr>
        <w:spacing w:after="120" w:line="276" w:lineRule="auto"/>
      </w:pPr>
      <w:r>
        <w:rPr>
          <w:rFonts w:ascii="Arial" w:hAnsi="Arial"/>
        </w:rPr>
        <w:t xml:space="preserve">1. </w:t>
      </w:r>
      <w:r>
        <w:rPr>
          <w:rFonts w:ascii="Arial" w:hAnsi="Arial"/>
          <w:b/>
        </w:rPr>
        <w:t>Abrir el Espacio de Trabajo en Antigravity</w:t>
      </w:r>
      <w:r>
        <w:rPr>
          <w:rFonts w:ascii="Arial" w:hAnsi="Arial"/>
        </w:rPr>
        <w:t>:</w:t>
      </w:r>
    </w:p>
    <w:p>
      <w:pPr>
        <w:pStyle w:val="ListBullet"/>
        <w:spacing w:before="0" w:after="40"/>
      </w:pPr>
      <w:r>
        <w:rPr>
          <w:rFonts w:ascii="Arial" w:hAnsi="Arial"/>
        </w:rPr>
        <w:t xml:space="preserve">Abrir la carpeta raíz </w:t>
      </w:r>
      <w:r>
        <w:rPr>
          <w:rFonts w:ascii="Courier New" w:hAnsi="Courier New"/>
          <w:color w:val="C53030"/>
          <w:sz w:val="20"/>
        </w:rPr>
        <w:t>SMA</w:t>
      </w:r>
      <w:r>
        <w:rPr>
          <w:rFonts w:ascii="Arial" w:hAnsi="Arial"/>
        </w:rPr>
        <w:t xml:space="preserve"> en Antigravity.</w:t>
      </w:r>
    </w:p>
    <w:p>
      <w:pPr>
        <w:spacing w:after="120" w:line="276" w:lineRule="auto"/>
      </w:pPr>
      <w:r>
        <w:rPr>
          <w:rFonts w:ascii="Arial" w:hAnsi="Arial"/>
        </w:rPr>
        <w:t xml:space="preserve">2. </w:t>
      </w:r>
      <w:r>
        <w:rPr>
          <w:rFonts w:ascii="Arial" w:hAnsi="Arial"/>
          <w:b/>
        </w:rPr>
        <w:t>Configurar el Backend de Python</w:t>
      </w:r>
      <w:r>
        <w:rPr>
          <w:rFonts w:ascii="Arial" w:hAnsi="Arial"/>
        </w:rPr>
        <w:t>:</w:t>
      </w:r>
    </w:p>
    <w:p>
      <w:pPr>
        <w:spacing w:after="120" w:line="276" w:lineRule="auto"/>
      </w:pPr>
      <w:r>
        <w:rPr>
          <w:rFonts w:ascii="Arial" w:hAnsi="Arial"/>
        </w:rPr>
        <w:t>```bash</w:t>
      </w:r>
    </w:p>
    <w:p>
      <w:pPr>
        <w:spacing w:after="120" w:line="276" w:lineRule="auto"/>
      </w:pPr>
      <w:r>
        <w:rPr>
          <w:rFonts w:ascii="Arial" w:hAnsi="Arial"/>
        </w:rPr>
        <w:t>cd backend</w:t>
      </w:r>
    </w:p>
    <w:p>
      <w:pPr>
        <w:spacing w:after="120" w:line="276" w:lineRule="auto"/>
      </w:pPr>
      <w:r>
        <w:rPr>
          <w:rFonts w:ascii="Arial" w:hAnsi="Arial"/>
        </w:rPr>
        <w:t>pip install -r requirements.txt</w:t>
      </w:r>
    </w:p>
    <w:p>
      <w:pPr>
        <w:spacing w:after="120" w:line="276" w:lineRule="auto"/>
      </w:pPr>
      <w:r>
        <w:rPr>
          <w:rFonts w:ascii="Arial" w:hAnsi="Arial"/>
        </w:rPr>
        <w:t>uvicorn app.main:app --host 0.0.0.0 --port 8000 --reload</w:t>
      </w:r>
    </w:p>
    <w:p>
      <w:pPr>
        <w:spacing w:after="120" w:line="276" w:lineRule="auto"/>
      </w:pPr>
      <w:r>
        <w:rPr>
          <w:rFonts w:ascii="Courier New" w:hAnsi="Courier New"/>
          <w:color w:val="C53030"/>
          <w:sz w:val="20"/>
        </w:rPr>
        <w:t>`</w:t>
      </w:r>
    </w:p>
    <w:p>
      <w:pPr>
        <w:spacing w:after="120" w:line="276" w:lineRule="auto"/>
      </w:pPr>
      <w:r>
        <w:rPr>
          <w:rFonts w:ascii="Arial" w:hAnsi="Arial"/>
        </w:rPr>
        <w:t xml:space="preserve">3. </w:t>
      </w:r>
      <w:r>
        <w:rPr>
          <w:rFonts w:ascii="Arial" w:hAnsi="Arial"/>
          <w:b/>
        </w:rPr>
        <w:t>Configurar el Frontend de Next.js</w:t>
      </w:r>
      <w:r>
        <w:rPr>
          <w:rFonts w:ascii="Arial" w:hAnsi="Arial"/>
        </w:rPr>
        <w:t>:</w:t>
      </w:r>
    </w:p>
    <w:p>
      <w:pPr>
        <w:spacing w:after="120" w:line="276" w:lineRule="auto"/>
      </w:pPr>
      <w:r>
        <w:rPr>
          <w:rFonts w:ascii="Arial" w:hAnsi="Arial"/>
        </w:rPr>
        <w:t>```bash</w:t>
      </w:r>
    </w:p>
    <w:p>
      <w:pPr>
        <w:pStyle w:val="Heading1"/>
        <w:spacing w:before="240" w:after="120"/>
        <w:jc w:val="left"/>
      </w:pPr>
      <w:r>
        <w:rPr>
          <w:rFonts w:ascii="Arial" w:hAnsi="Arial"/>
          <w:b/>
          <w:color w:val="1B365D"/>
          <w:sz w:val="36"/>
        </w:rPr>
        <w:t>En la raíz del proyecto (SMA)</w:t>
      </w:r>
    </w:p>
    <w:p>
      <w:pPr>
        <w:spacing w:after="120" w:line="276" w:lineRule="auto"/>
      </w:pPr>
      <w:r>
        <w:rPr>
          <w:rFonts w:ascii="Arial" w:hAnsi="Arial"/>
        </w:rPr>
        <w:t>npm install</w:t>
      </w:r>
    </w:p>
    <w:p>
      <w:pPr>
        <w:spacing w:after="120" w:line="276" w:lineRule="auto"/>
      </w:pPr>
      <w:r>
        <w:rPr>
          <w:rFonts w:ascii="Arial" w:hAnsi="Arial"/>
        </w:rPr>
        <w:t>npm run dev</w:t>
      </w:r>
    </w:p>
    <w:p>
      <w:pPr>
        <w:spacing w:after="120" w:line="276" w:lineRule="auto"/>
      </w:pPr>
      <w:r>
        <w:rPr>
          <w:rFonts w:ascii="Courier New" w:hAnsi="Courier New"/>
          <w:color w:val="C53030"/>
          <w:sz w:val="20"/>
        </w:rPr>
        <w:t>`</w:t>
      </w:r>
    </w:p>
    <w:p>
      <w:pPr>
        <w:spacing w:after="120" w:line="276" w:lineRule="auto"/>
      </w:pPr>
      <w:r>
        <w:rPr>
          <w:rFonts w:ascii="Arial" w:hAnsi="Arial"/>
        </w:rPr>
        <w:t xml:space="preserve">4. </w:t>
      </w:r>
      <w:r>
        <w:rPr>
          <w:rFonts w:ascii="Arial" w:hAnsi="Arial"/>
          <w:b/>
        </w:rPr>
        <w:t>Verificación de Operatividad</w:t>
      </w:r>
      <w:r>
        <w:rPr>
          <w:rFonts w:ascii="Arial" w:hAnsi="Arial"/>
        </w:rPr>
        <w:t>:</w:t>
      </w:r>
    </w:p>
    <w:p>
      <w:pPr>
        <w:pStyle w:val="ListBullet"/>
        <w:spacing w:before="0" w:after="40"/>
      </w:pPr>
      <w:r>
        <w:rPr>
          <w:rFonts w:ascii="Arial" w:hAnsi="Arial"/>
        </w:rPr>
        <w:t xml:space="preserve">Navegar a </w:t>
      </w:r>
      <w:r>
        <w:rPr>
          <w:rFonts w:ascii="Courier New" w:hAnsi="Courier New"/>
          <w:color w:val="C53030"/>
          <w:sz w:val="20"/>
        </w:rPr>
        <w:t>http://localhost:3000/gestion-humana/seguridad-social</w:t>
      </w:r>
      <w:r>
        <w:rPr>
          <w:rFonts w:ascii="Arial" w:hAnsi="Arial"/>
        </w:rPr>
        <w:t>.</w:t>
      </w:r>
    </w:p>
    <w:p>
      <w:pPr>
        <w:pStyle w:val="ListBullet"/>
        <w:spacing w:before="0" w:after="40"/>
      </w:pPr>
      <w:r>
        <w:rPr>
          <w:rFonts w:ascii="Arial" w:hAnsi="Arial"/>
        </w:rPr>
        <w:t>Probar la carga de archivos de prueba y verificar que los botones de generación de planillas respondan correctamente.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