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rPr/>
      </w:pPr>
      <w:r>
        <w:rPr>
          <w:b/>
          <w:bCs/>
          <w:color w:val="1D6FC4"/>
          <w:sz w:val="16"/>
          <w:szCs w:val="16"/>
        </w:rPr>
        <w:t>CLASE 5</w:t>
      </w:r>
      <w:r>
        <w:rPr>
          <w:b/>
          <w:bCs/>
          <w:color w:val="5B6472"/>
          <w:sz w:val="16"/>
          <w:szCs w:val="16"/>
        </w:rPr>
        <w:t xml:space="preserve">  |  ARQUITECTURA DE ADOPCIÓN Y VENTAJA</w:t>
      </w:r>
    </w:p>
    <w:p>
      <w:pPr>
        <w:pStyle w:val="Normal"/>
        <w:pBdr>
          <w:bottom w:val="single" w:sz="10" w:space="6" w:color="E8641D"/>
        </w:pBdr>
        <w:spacing w:before="0" w:after="50"/>
        <w:rPr/>
      </w:pPr>
      <w:r>
        <w:rPr>
          <w:b/>
          <w:bCs/>
          <w:color w:val="0D2350"/>
          <w:sz w:val="30"/>
          <w:szCs w:val="30"/>
        </w:rPr>
        <w:t>Entregable: Arquitectura Estratégica de Adopción y Ventaja</w:t>
      </w:r>
    </w:p>
    <w:p>
      <w:pPr>
        <w:pStyle w:val="Normal"/>
        <w:spacing w:before="0" w:after="140"/>
        <w:rPr/>
      </w:pPr>
      <w:r>
        <w:rPr>
          <w:b/>
          <w:bCs/>
          <w:color w:val="1A1A1A"/>
          <w:sz w:val="20"/>
          <w:szCs w:val="20"/>
        </w:rPr>
        <w:t>AI Teaching Assistant</w:t>
      </w:r>
      <w:r>
        <w:rPr>
          <w:i/>
          <w:iCs/>
          <w:color w:val="5B6472"/>
          <w:sz w:val="18"/>
          <w:szCs w:val="18"/>
        </w:rPr>
        <w:t xml:space="preserve">  —  asistente de corrección con IA para docentes</w:t>
      </w:r>
    </w:p>
    <w:tbl>
      <w:tblPr>
        <w:tblW w:w="8800" w:type="dxa"/>
        <w:jc w:val="start"/>
        <w:tblInd w:w="0" w:type="dxa"/>
        <w:tblLayout w:type="fixed"/>
        <w:tblCellMar>
          <w:top w:w="0" w:type="dxa"/>
          <w:start w:w="108" w:type="dxa"/>
          <w:bottom w:w="0" w:type="dxa"/>
          <w:end w:w="108" w:type="dxa"/>
        </w:tblCellMar>
      </w:tblPr>
      <w:tblGrid>
        <w:gridCol w:w="4299"/>
        <w:gridCol w:w="201"/>
        <w:gridCol w:w="4300"/>
      </w:tblGrid>
      <w:tr>
        <w:trPr/>
        <w:tc>
          <w:tcPr>
            <w:tcW w:w="4299" w:type="dxa"/>
            <w:tcBorders/>
          </w:tcPr>
          <w:tbl>
            <w:tblPr>
              <w:tblW w:w="4300" w:type="dxa"/>
              <w:jc w:val="start"/>
              <w:tblInd w:w="0" w:type="dxa"/>
              <w:tblLayout w:type="fixed"/>
              <w:tblCellMar>
                <w:top w:w="70" w:type="dxa"/>
                <w:start w:w="140" w:type="dxa"/>
                <w:bottom w:w="70" w:type="dxa"/>
                <w:end w:w="140" w:type="dxa"/>
              </w:tblCellMar>
            </w:tblPr>
            <w:tblGrid>
              <w:gridCol w:w="4300"/>
            </w:tblGrid>
            <w:tr>
              <w:trPr/>
              <w:tc>
                <w:tcPr>
                  <w:tcW w:w="4300" w:type="dxa"/>
                  <w:tcBorders/>
                  <w:shd w:color="auto" w:fill="0D2350" w:val="clear"/>
                </w:tcPr>
                <w:p>
                  <w:pPr>
                    <w:pStyle w:val="Normal"/>
                    <w:rPr/>
                  </w:pPr>
                  <w:r>
                    <w:rPr>
                      <w:b/>
                      <w:bCs/>
                      <w:color w:val="FFFFFF"/>
                      <w:sz w:val="17"/>
                      <w:szCs w:val="17"/>
                    </w:rPr>
                    <w:t>1. TESIS CAUSAL</w:t>
                  </w:r>
                </w:p>
              </w:tc>
            </w:tr>
            <w:tr>
              <w:trPr/>
              <w:tc>
                <w:tcPr>
                  <w:tcW w:w="4300" w:type="dxa"/>
                  <w:tcBorders/>
                  <w:shd w:color="auto" w:fill="FFFFFF" w:val="clear"/>
                  <w:tcMar>
                    <w:top w:w="90" w:type="dxa"/>
                    <w:start w:w="150" w:type="dxa"/>
                    <w:bottom w:w="90" w:type="dxa"/>
                    <w:end w:w="150" w:type="dxa"/>
                  </w:tcMar>
                </w:tcPr>
                <w:p>
                  <w:pPr>
                    <w:pStyle w:val="Normal"/>
                    <w:spacing w:before="0" w:after="90"/>
                    <w:rPr/>
                  </w:pPr>
                  <w:r>
                    <w:rPr>
                      <w:b/>
                      <w:bCs/>
                      <w:color w:val="1A1A1A"/>
                      <w:sz w:val="17"/>
                      <w:szCs w:val="17"/>
                    </w:rPr>
                    <w:t xml:space="preserve">Señal: </w:t>
                  </w:r>
                  <w:r>
                    <w:rPr>
                      <w:color w:val="1A1A1A"/>
                      <w:sz w:val="17"/>
                      <w:szCs w:val="17"/>
                    </w:rPr>
                    <w:t>docentes de secundaria y universidad reciben grandes volúmenes de trabajos escritos evaluados con rúbrica, y hoy pierden horas leyendo, comparando contra la rúbrica y redactando devoluciones repetitivas.</w:t>
                  </w:r>
                </w:p>
                <w:p>
                  <w:pPr>
                    <w:pStyle w:val="Normal"/>
                    <w:spacing w:before="0" w:after="90"/>
                    <w:rPr/>
                  </w:pPr>
                  <w:r>
                    <w:rPr>
                      <w:b/>
                      <w:bCs/>
                      <w:color w:val="1A1A1A"/>
                      <w:sz w:val="17"/>
                      <w:szCs w:val="17"/>
                    </w:rPr>
                    <w:t xml:space="preserve">Capacidad: </w:t>
                  </w:r>
                  <w:r>
                    <w:rPr>
                      <w:color w:val="1A1A1A"/>
                      <w:sz w:val="17"/>
                      <w:szCs w:val="17"/>
                    </w:rPr>
                    <w:t>un LLM con salida estructurada recibe consigna + rúbrica + trabajo y devuelve, de forma consistente, nota sugerida por criterio y feedback personalizado.</w:t>
                  </w:r>
                </w:p>
                <w:p>
                  <w:pPr>
                    <w:pStyle w:val="Normal"/>
                    <w:spacing w:before="0" w:after="90"/>
                    <w:rPr/>
                  </w:pPr>
                  <w:r>
                    <w:rPr>
                      <w:b/>
                      <w:bCs/>
                      <w:color w:val="1A1A1A"/>
                      <w:sz w:val="17"/>
                      <w:szCs w:val="17"/>
                    </w:rPr>
                    <w:t xml:space="preserve">Conducta: </w:t>
                  </w:r>
                  <w:r>
                    <w:rPr>
                      <w:color w:val="1A1A1A"/>
                      <w:sz w:val="17"/>
                      <w:szCs w:val="17"/>
                    </w:rPr>
                    <w:t>el docente pasa de “corregir desde cero” a “revisar y editar” una propuesta ya generada, sin perder el control sobre la nota final.</w:t>
                  </w:r>
                </w:p>
                <w:p>
                  <w:pPr>
                    <w:pStyle w:val="Normal"/>
                    <w:spacing w:before="0" w:after="0"/>
                    <w:rPr/>
                  </w:pPr>
                  <w:r>
                    <w:rPr>
                      <w:b/>
                      <w:bCs/>
                      <w:color w:val="1A1A1A"/>
                      <w:sz w:val="17"/>
                      <w:szCs w:val="17"/>
                    </w:rPr>
                    <w:t xml:space="preserve">Resultado: </w:t>
                  </w:r>
                  <w:r>
                    <w:rPr>
                      <w:color w:val="1A1A1A"/>
                      <w:sz w:val="17"/>
                      <w:szCs w:val="17"/>
                    </w:rPr>
                    <w:t>menos horas de corrección, feedback más consistente por alumno y una capa nueva de valor: visibilidad agregada de qué conceptos generan más dificultad en el curso.</w:t>
                  </w:r>
                </w:p>
              </w:tc>
            </w:tr>
          </w:tbl>
          <w:p>
            <w:pPr>
              <w:pStyle w:val="Normal"/>
              <w:rPr/>
            </w:pPr>
            <w:r>
              <w:rPr/>
            </w:r>
          </w:p>
        </w:tc>
        <w:tc>
          <w:tcPr>
            <w:tcW w:w="201" w:type="dxa"/>
            <w:tcBorders/>
          </w:tcPr>
          <w:p>
            <w:pPr>
              <w:pStyle w:val="Normal"/>
              <w:rPr/>
            </w:pPr>
            <w:r>
              <w:rPr/>
            </w:r>
          </w:p>
        </w:tc>
        <w:tc>
          <w:tcPr>
            <w:tcW w:w="4300" w:type="dxa"/>
            <w:tcBorders/>
          </w:tcPr>
          <w:tbl>
            <w:tblPr>
              <w:tblW w:w="4300" w:type="dxa"/>
              <w:jc w:val="start"/>
              <w:tblInd w:w="0" w:type="dxa"/>
              <w:tblLayout w:type="fixed"/>
              <w:tblCellMar>
                <w:top w:w="70" w:type="dxa"/>
                <w:start w:w="140" w:type="dxa"/>
                <w:bottom w:w="70" w:type="dxa"/>
                <w:end w:w="140" w:type="dxa"/>
              </w:tblCellMar>
            </w:tblPr>
            <w:tblGrid>
              <w:gridCol w:w="4300"/>
            </w:tblGrid>
            <w:tr>
              <w:trPr/>
              <w:tc>
                <w:tcPr>
                  <w:tcW w:w="4300" w:type="dxa"/>
                  <w:tcBorders/>
                  <w:shd w:color="auto" w:fill="1D6FC4" w:val="clear"/>
                </w:tcPr>
                <w:p>
                  <w:pPr>
                    <w:pStyle w:val="Normal"/>
                    <w:rPr/>
                  </w:pPr>
                  <w:r>
                    <w:rPr>
                      <w:b/>
                      <w:bCs/>
                      <w:color w:val="FFFFFF"/>
                      <w:sz w:val="17"/>
                      <w:szCs w:val="17"/>
                    </w:rPr>
                    <w:t>2. MOTOR DE ADOPCIÓN</w:t>
                  </w:r>
                </w:p>
              </w:tc>
            </w:tr>
            <w:tr>
              <w:trPr/>
              <w:tc>
                <w:tcPr>
                  <w:tcW w:w="4300" w:type="dxa"/>
                  <w:tcBorders/>
                  <w:shd w:color="auto" w:fill="FFFFFF" w:val="clear"/>
                  <w:tcMar>
                    <w:top w:w="90" w:type="dxa"/>
                    <w:start w:w="150" w:type="dxa"/>
                    <w:bottom w:w="90" w:type="dxa"/>
                    <w:end w:w="150" w:type="dxa"/>
                  </w:tcMar>
                </w:tcPr>
                <w:p>
                  <w:pPr>
                    <w:pStyle w:val="Normal"/>
                    <w:spacing w:before="0" w:after="90"/>
                    <w:rPr/>
                  </w:pPr>
                  <w:r>
                    <w:rPr>
                      <w:b/>
                      <w:bCs/>
                      <w:color w:val="1A1A1A"/>
                      <w:sz w:val="17"/>
                      <w:szCs w:val="17"/>
                    </w:rPr>
                    <w:t xml:space="preserve">Estado crítico: </w:t>
                  </w:r>
                  <w:r>
                    <w:rPr>
                      <w:color w:val="1A1A1A"/>
                      <w:sz w:val="17"/>
                      <w:szCs w:val="17"/>
                    </w:rPr>
                    <w:t>en los picos de entrega (fin de cuatrimestre, comisiones numerosas) el docente ya no puede sostener feedback de calidad para todos y debe elegir entre corregir rápido o corregir bien.</w:t>
                  </w:r>
                </w:p>
                <w:p>
                  <w:pPr>
                    <w:pStyle w:val="Normal"/>
                    <w:spacing w:before="0" w:after="90"/>
                    <w:rPr/>
                  </w:pPr>
                  <w:r>
                    <w:rPr>
                      <w:b/>
                      <w:bCs/>
                      <w:color w:val="1A1A1A"/>
                      <w:sz w:val="17"/>
                      <w:szCs w:val="17"/>
                    </w:rPr>
                    <w:t xml:space="preserve">Fricción: </w:t>
                  </w:r>
                  <w:r>
                    <w:rPr>
                      <w:color w:val="1A1A1A"/>
                      <w:sz w:val="17"/>
                      <w:szCs w:val="17"/>
                    </w:rPr>
                    <w:t>desconfianza en que la IA capture el criterio real de la rúbrica; temor a perder el control de la nota; los trabajos deben estar en texto nativo (el MVP no incluye OCR).</w:t>
                  </w:r>
                </w:p>
                <w:p>
                  <w:pPr>
                    <w:pStyle w:val="Normal"/>
                    <w:spacing w:before="0" w:after="0"/>
                    <w:rPr/>
                  </w:pPr>
                  <w:r>
                    <w:rPr>
                      <w:b/>
                      <w:bCs/>
                      <w:color w:val="1A1A1A"/>
                      <w:sz w:val="17"/>
                      <w:szCs w:val="17"/>
                    </w:rPr>
                    <w:t xml:space="preserve">Mecanismo de avance: </w:t>
                  </w:r>
                  <w:r>
                    <w:rPr>
                      <w:color w:val="1A1A1A"/>
                      <w:sz w:val="17"/>
                      <w:szCs w:val="17"/>
                    </w:rPr>
                    <w:t>el diseño “revisar antes de enviar” preserva el control docente; un piloto de un solo trabajo práctico, comparado contra la corrección manual del propio docente, habilita la confianza incremental necesaria para escalar a todo el curso.</w:t>
                  </w:r>
                </w:p>
              </w:tc>
            </w:tr>
          </w:tbl>
          <w:p>
            <w:pPr>
              <w:pStyle w:val="Normal"/>
              <w:rPr/>
            </w:pPr>
            <w:r>
              <w:rPr/>
            </w:r>
          </w:p>
        </w:tc>
      </w:tr>
    </w:tbl>
    <w:p>
      <w:pPr>
        <w:pStyle w:val="Normal"/>
        <w:spacing w:before="0" w:after="90"/>
        <w:rPr/>
      </w:pPr>
      <w:r>
        <w:rPr/>
      </w:r>
    </w:p>
    <w:tbl>
      <w:tblPr>
        <w:tblW w:w="8800" w:type="dxa"/>
        <w:jc w:val="start"/>
        <w:tblInd w:w="0" w:type="dxa"/>
        <w:tblLayout w:type="fixed"/>
        <w:tblCellMar>
          <w:top w:w="0" w:type="dxa"/>
          <w:start w:w="108" w:type="dxa"/>
          <w:bottom w:w="0" w:type="dxa"/>
          <w:end w:w="108" w:type="dxa"/>
        </w:tblCellMar>
      </w:tblPr>
      <w:tblGrid>
        <w:gridCol w:w="4299"/>
        <w:gridCol w:w="201"/>
        <w:gridCol w:w="4300"/>
      </w:tblGrid>
      <w:tr>
        <w:trPr/>
        <w:tc>
          <w:tcPr>
            <w:tcW w:w="4299" w:type="dxa"/>
            <w:tcBorders/>
          </w:tcPr>
          <w:tbl>
            <w:tblPr>
              <w:tblW w:w="4300" w:type="dxa"/>
              <w:jc w:val="start"/>
              <w:tblInd w:w="0" w:type="dxa"/>
              <w:tblLayout w:type="fixed"/>
              <w:tblCellMar>
                <w:top w:w="70" w:type="dxa"/>
                <w:start w:w="140" w:type="dxa"/>
                <w:bottom w:w="70" w:type="dxa"/>
                <w:end w:w="140" w:type="dxa"/>
              </w:tblCellMar>
            </w:tblPr>
            <w:tblGrid>
              <w:gridCol w:w="4300"/>
            </w:tblGrid>
            <w:tr>
              <w:trPr/>
              <w:tc>
                <w:tcPr>
                  <w:tcW w:w="4300" w:type="dxa"/>
                  <w:tcBorders/>
                  <w:shd w:color="auto" w:fill="13786B" w:val="clear"/>
                </w:tcPr>
                <w:p>
                  <w:pPr>
                    <w:pStyle w:val="Normal"/>
                    <w:rPr/>
                  </w:pPr>
                  <w:r>
                    <w:rPr>
                      <w:b/>
                      <w:bCs/>
                      <w:color w:val="FFFFFF"/>
                      <w:sz w:val="17"/>
                      <w:szCs w:val="17"/>
                    </w:rPr>
                    <w:t>3. COMPLEMENTOS</w:t>
                  </w:r>
                </w:p>
              </w:tc>
            </w:tr>
            <w:tr>
              <w:trPr/>
              <w:tc>
                <w:tcPr>
                  <w:tcW w:w="4300" w:type="dxa"/>
                  <w:tcBorders/>
                  <w:shd w:color="auto" w:fill="FFFFFF" w:val="clear"/>
                  <w:tcMar>
                    <w:top w:w="90" w:type="dxa"/>
                    <w:start w:w="150" w:type="dxa"/>
                    <w:bottom w:w="90" w:type="dxa"/>
                    <w:end w:w="150" w:type="dxa"/>
                  </w:tcMar>
                </w:tcPr>
                <w:p>
                  <w:pPr>
                    <w:pStyle w:val="Normal"/>
                    <w:spacing w:before="0" w:after="90"/>
                    <w:rPr/>
                  </w:pPr>
                  <w:r>
                    <w:rPr>
                      <w:b/>
                      <w:bCs/>
                      <w:color w:val="1A1A1A"/>
                      <w:sz w:val="17"/>
                      <w:szCs w:val="17"/>
                    </w:rPr>
                    <w:t xml:space="preserve">Actores: </w:t>
                  </w:r>
                  <w:r>
                    <w:rPr>
                      <w:color w:val="1A1A1A"/>
                      <w:sz w:val="17"/>
                      <w:szCs w:val="17"/>
                    </w:rPr>
                    <w:t>docente (usuario y decisor), alumnos (receptores del feedback), institución educativa (habilita o restringe el uso de IA) y proveedor del LLM (Claude/GPT vía API).</w:t>
                  </w:r>
                </w:p>
                <w:p>
                  <w:pPr>
                    <w:pStyle w:val="Normal"/>
                    <w:spacing w:before="0" w:after="90"/>
                    <w:rPr/>
                  </w:pPr>
                  <w:r>
                    <w:rPr>
                      <w:b/>
                      <w:bCs/>
                      <w:color w:val="1A1A1A"/>
                      <w:sz w:val="17"/>
                      <w:szCs w:val="17"/>
                    </w:rPr>
                    <w:t xml:space="preserve">Infraestructura: </w:t>
                  </w:r>
                  <w:r>
                    <w:rPr>
                      <w:color w:val="1A1A1A"/>
                      <w:sz w:val="17"/>
                      <w:szCs w:val="17"/>
                    </w:rPr>
                    <w:t>plataforma web (carga y revisión), backend que arma los prompts, base de datos de consignas/rúbricas/entregas/notas/feedback, y una API de LLM con salida estructurada.</w:t>
                  </w:r>
                </w:p>
                <w:p>
                  <w:pPr>
                    <w:pStyle w:val="Normal"/>
                    <w:spacing w:before="0" w:after="0"/>
                    <w:rPr/>
                  </w:pPr>
                  <w:r>
                    <w:rPr>
                      <w:b/>
                      <w:bCs/>
                      <w:color w:val="1A1A1A"/>
                      <w:sz w:val="17"/>
                      <w:szCs w:val="17"/>
                    </w:rPr>
                    <w:t xml:space="preserve">Dependencias: </w:t>
                  </w:r>
                  <w:r>
                    <w:rPr>
                      <w:color w:val="1A1A1A"/>
                      <w:sz w:val="17"/>
                      <w:szCs w:val="17"/>
                    </w:rPr>
                    <w:t>estabilidad y costo de la API del LLM; consigna y rúbrica expresables como criterios; trabajos en texto plano/.docx/.txt; consentimiento para procesar trabajos de alumnos con IA.</w:t>
                  </w:r>
                </w:p>
              </w:tc>
            </w:tr>
          </w:tbl>
          <w:p>
            <w:pPr>
              <w:pStyle w:val="Normal"/>
              <w:rPr/>
            </w:pPr>
            <w:r>
              <w:rPr/>
            </w:r>
          </w:p>
        </w:tc>
        <w:tc>
          <w:tcPr>
            <w:tcW w:w="201" w:type="dxa"/>
            <w:tcBorders/>
          </w:tcPr>
          <w:p>
            <w:pPr>
              <w:pStyle w:val="Normal"/>
              <w:rPr/>
            </w:pPr>
            <w:r>
              <w:rPr/>
            </w:r>
          </w:p>
        </w:tc>
        <w:tc>
          <w:tcPr>
            <w:tcW w:w="4300" w:type="dxa"/>
            <w:tcBorders/>
          </w:tcPr>
          <w:tbl>
            <w:tblPr>
              <w:tblW w:w="4300" w:type="dxa"/>
              <w:jc w:val="start"/>
              <w:tblInd w:w="0" w:type="dxa"/>
              <w:tblLayout w:type="fixed"/>
              <w:tblCellMar>
                <w:top w:w="70" w:type="dxa"/>
                <w:start w:w="140" w:type="dxa"/>
                <w:bottom w:w="70" w:type="dxa"/>
                <w:end w:w="140" w:type="dxa"/>
              </w:tblCellMar>
            </w:tblPr>
            <w:tblGrid>
              <w:gridCol w:w="4300"/>
            </w:tblGrid>
            <w:tr>
              <w:trPr/>
              <w:tc>
                <w:tcPr>
                  <w:tcW w:w="4300" w:type="dxa"/>
                  <w:tcBorders/>
                  <w:shd w:color="auto" w:fill="E8641D" w:val="clear"/>
                </w:tcPr>
                <w:p>
                  <w:pPr>
                    <w:pStyle w:val="Normal"/>
                    <w:rPr/>
                  </w:pPr>
                  <w:r>
                    <w:rPr>
                      <w:b/>
                      <w:bCs/>
                      <w:color w:val="FFFFFF"/>
                      <w:sz w:val="17"/>
                      <w:szCs w:val="17"/>
                    </w:rPr>
                    <w:t>4. BUCLE ESTRATÉGICO</w:t>
                  </w:r>
                </w:p>
              </w:tc>
            </w:tr>
            <w:tr>
              <w:trPr/>
              <w:tc>
                <w:tcPr>
                  <w:tcW w:w="4300" w:type="dxa"/>
                  <w:tcBorders/>
                  <w:shd w:color="auto" w:fill="FFFFFF" w:val="clear"/>
                  <w:tcMar>
                    <w:top w:w="90" w:type="dxa"/>
                    <w:start w:w="150" w:type="dxa"/>
                    <w:bottom w:w="90" w:type="dxa"/>
                    <w:end w:w="150" w:type="dxa"/>
                  </w:tcMar>
                </w:tcPr>
                <w:p>
                  <w:pPr>
                    <w:pStyle w:val="Normal"/>
                    <w:spacing w:before="0" w:after="90"/>
                    <w:rPr/>
                  </w:pPr>
                  <w:r>
                    <w:rPr>
                      <w:color w:val="1A1A1A"/>
                      <w:sz w:val="17"/>
                      <w:szCs w:val="17"/>
                    </w:rPr>
                    <w:t>Cada corrección que el docente acepta, edita o reescribe es una señal de en qué se aparta su criterio real del criterio del modelo. Acumulada entrega tras entrega, esa señal permite calibrar mejor el prompt y la lectura de la rúbrica para ese docente o cátedra.</w:t>
                  </w:r>
                </w:p>
                <w:p>
                  <w:pPr>
                    <w:pStyle w:val="Normal"/>
                    <w:spacing w:before="0" w:after="90"/>
                    <w:rPr/>
                  </w:pPr>
                  <w:r>
                    <w:rPr>
                      <w:color w:val="1A1A1A"/>
                      <w:sz w:val="17"/>
                      <w:szCs w:val="17"/>
                    </w:rPr>
                    <w:t>En paralelo, el resumen agregado de dificultades del curso se vuelve más confiable cuantas más entregas pasan por el sistema.</w:t>
                  </w:r>
                </w:p>
                <w:p>
                  <w:pPr>
                    <w:pStyle w:val="Normal"/>
                    <w:spacing w:before="0" w:after="0"/>
                    <w:rPr/>
                  </w:pPr>
                  <w:r>
                    <w:rPr>
                      <w:b/>
                      <w:bCs/>
                      <w:color w:val="1A1A1A"/>
                      <w:sz w:val="17"/>
                      <w:szCs w:val="17"/>
                    </w:rPr>
                    <w:t xml:space="preserve">Vuelve al usuario como: </w:t>
                  </w:r>
                  <w:r>
                    <w:rPr>
                      <w:color w:val="1A1A1A"/>
                      <w:sz w:val="17"/>
                      <w:szCs w:val="17"/>
                    </w:rPr>
                    <w:t>sugerencias cada vez más alineadas a su estilo de corrección + un panel de insights de curso cada vez más rico, lo que refuerza seguir usando la herramienta.</w:t>
                  </w:r>
                </w:p>
              </w:tc>
            </w:tr>
          </w:tbl>
          <w:p>
            <w:pPr>
              <w:pStyle w:val="Normal"/>
              <w:rPr/>
            </w:pPr>
            <w:r>
              <w:rPr/>
            </w:r>
          </w:p>
        </w:tc>
      </w:tr>
    </w:tbl>
    <w:p>
      <w:pPr>
        <w:pStyle w:val="Normal"/>
        <w:spacing w:before="0" w:after="90"/>
        <w:rPr/>
      </w:pPr>
      <w:r>
        <w:rPr/>
      </w:r>
    </w:p>
    <w:tbl>
      <w:tblPr>
        <w:tblW w:w="8800" w:type="dxa"/>
        <w:jc w:val="start"/>
        <w:tblInd w:w="0" w:type="dxa"/>
        <w:tblLayout w:type="fixed"/>
        <w:tblCellMar>
          <w:top w:w="0" w:type="dxa"/>
          <w:start w:w="108" w:type="dxa"/>
          <w:bottom w:w="0" w:type="dxa"/>
          <w:end w:w="108" w:type="dxa"/>
        </w:tblCellMar>
      </w:tblPr>
      <w:tblGrid>
        <w:gridCol w:w="4299"/>
        <w:gridCol w:w="201"/>
        <w:gridCol w:w="4300"/>
      </w:tblGrid>
      <w:tr>
        <w:trPr/>
        <w:tc>
          <w:tcPr>
            <w:tcW w:w="4299" w:type="dxa"/>
            <w:tcBorders/>
          </w:tcPr>
          <w:tbl>
            <w:tblPr>
              <w:tblW w:w="4300" w:type="dxa"/>
              <w:jc w:val="start"/>
              <w:tblInd w:w="0" w:type="dxa"/>
              <w:tblLayout w:type="fixed"/>
              <w:tblCellMar>
                <w:top w:w="70" w:type="dxa"/>
                <w:start w:w="140" w:type="dxa"/>
                <w:bottom w:w="70" w:type="dxa"/>
                <w:end w:w="140" w:type="dxa"/>
              </w:tblCellMar>
            </w:tblPr>
            <w:tblGrid>
              <w:gridCol w:w="4300"/>
            </w:tblGrid>
            <w:tr>
              <w:trPr/>
              <w:tc>
                <w:tcPr>
                  <w:tcW w:w="4300" w:type="dxa"/>
                  <w:tcBorders/>
                  <w:shd w:color="auto" w:fill="B31E24" w:val="clear"/>
                </w:tcPr>
                <w:p>
                  <w:pPr>
                    <w:pStyle w:val="Normal"/>
                    <w:rPr/>
                  </w:pPr>
                  <w:r>
                    <w:rPr>
                      <w:b/>
                      <w:bCs/>
                      <w:color w:val="FFFFFF"/>
                      <w:sz w:val="17"/>
                      <w:szCs w:val="17"/>
                    </w:rPr>
                    <w:t>5. APROPIACIÓN</w:t>
                  </w:r>
                </w:p>
              </w:tc>
            </w:tr>
            <w:tr>
              <w:trPr/>
              <w:tc>
                <w:tcPr>
                  <w:tcW w:w="4300" w:type="dxa"/>
                  <w:tcBorders/>
                  <w:shd w:color="auto" w:fill="FFFFFF" w:val="clear"/>
                  <w:tcMar>
                    <w:top w:w="90" w:type="dxa"/>
                    <w:start w:w="150" w:type="dxa"/>
                    <w:bottom w:w="90" w:type="dxa"/>
                    <w:end w:w="150" w:type="dxa"/>
                  </w:tcMar>
                </w:tcPr>
                <w:p>
                  <w:pPr>
                    <w:pStyle w:val="Normal"/>
                    <w:spacing w:before="0" w:after="90"/>
                    <w:rPr/>
                  </w:pPr>
                  <w:r>
                    <w:rPr>
                      <w:b/>
                      <w:bCs/>
                      <w:color w:val="1A1A1A"/>
                      <w:sz w:val="17"/>
                      <w:szCs w:val="17"/>
                    </w:rPr>
                    <w:t xml:space="preserve">Captura de valor: </w:t>
                  </w:r>
                  <w:r>
                    <w:rPr>
                      <w:color w:val="1A1A1A"/>
                      <w:sz w:val="17"/>
                      <w:szCs w:val="17"/>
                    </w:rPr>
                    <w:t>suscripción por docente o por institución (según cantidad de alumnos o entregas corregidas), ya que el ahorro de tiempo y la mejora de feedback son directamente atribuibles y percibibles.</w:t>
                  </w:r>
                </w:p>
                <w:p>
                  <w:pPr>
                    <w:pStyle w:val="Normal"/>
                    <w:spacing w:before="0" w:after="0"/>
                    <w:rPr/>
                  </w:pPr>
                  <w:r>
                    <w:rPr>
                      <w:b/>
                      <w:bCs/>
                      <w:color w:val="1A1A1A"/>
                      <w:sz w:val="17"/>
                      <w:szCs w:val="17"/>
                    </w:rPr>
                    <w:t xml:space="preserve">Qué evita imitación: </w:t>
                  </w:r>
                  <w:r>
                    <w:rPr>
                      <w:color w:val="1A1A1A"/>
                      <w:sz w:val="17"/>
                      <w:szCs w:val="17"/>
                    </w:rPr>
                    <w:t>el LLM de base es genérico y accesible para cualquiera, por lo que la ventaja no está ahí. La defensa está en el flujo completo (rúbrica estructurada → prompt por criterio → revisión docente → agregación de curso) y en los datos de calibración acumulados por docente/cátedra, que generan un costo de cambio que un competidor nuevo no tiene.</w:t>
                  </w:r>
                </w:p>
              </w:tc>
            </w:tr>
          </w:tbl>
          <w:p>
            <w:pPr>
              <w:pStyle w:val="Normal"/>
              <w:rPr/>
            </w:pPr>
            <w:r>
              <w:rPr/>
            </w:r>
          </w:p>
        </w:tc>
        <w:tc>
          <w:tcPr>
            <w:tcW w:w="201" w:type="dxa"/>
            <w:tcBorders/>
          </w:tcPr>
          <w:p>
            <w:pPr>
              <w:pStyle w:val="Normal"/>
              <w:rPr/>
            </w:pPr>
            <w:r>
              <w:rPr/>
            </w:r>
          </w:p>
        </w:tc>
        <w:tc>
          <w:tcPr>
            <w:tcW w:w="4300" w:type="dxa"/>
            <w:tcBorders/>
          </w:tcPr>
          <w:tbl>
            <w:tblPr>
              <w:tblW w:w="4300" w:type="dxa"/>
              <w:jc w:val="start"/>
              <w:tblInd w:w="0" w:type="dxa"/>
              <w:tblLayout w:type="fixed"/>
              <w:tblCellMar>
                <w:top w:w="70" w:type="dxa"/>
                <w:start w:w="140" w:type="dxa"/>
                <w:bottom w:w="70" w:type="dxa"/>
                <w:end w:w="140" w:type="dxa"/>
              </w:tblCellMar>
            </w:tblPr>
            <w:tblGrid>
              <w:gridCol w:w="4300"/>
            </w:tblGrid>
            <w:tr>
              <w:trPr/>
              <w:tc>
                <w:tcPr>
                  <w:tcW w:w="4300" w:type="dxa"/>
                  <w:tcBorders/>
                  <w:shd w:color="auto" w:fill="EFA30D" w:val="clear"/>
                </w:tcPr>
                <w:p>
                  <w:pPr>
                    <w:pStyle w:val="Normal"/>
                    <w:rPr/>
                  </w:pPr>
                  <w:r>
                    <w:rPr>
                      <w:b/>
                      <w:bCs/>
                      <w:color w:val="FFFFFF"/>
                      <w:sz w:val="17"/>
                      <w:szCs w:val="17"/>
                    </w:rPr>
                    <w:t>6. HIPÓTESIS CRÍTICA</w:t>
                  </w:r>
                </w:p>
              </w:tc>
            </w:tr>
            <w:tr>
              <w:trPr/>
              <w:tc>
                <w:tcPr>
                  <w:tcW w:w="4300" w:type="dxa"/>
                  <w:tcBorders/>
                  <w:shd w:color="auto" w:fill="FFFFFF" w:val="clear"/>
                  <w:tcMar>
                    <w:top w:w="90" w:type="dxa"/>
                    <w:start w:w="150" w:type="dxa"/>
                    <w:bottom w:w="90" w:type="dxa"/>
                    <w:end w:w="150" w:type="dxa"/>
                  </w:tcMar>
                </w:tcPr>
                <w:p>
                  <w:pPr>
                    <w:pStyle w:val="Normal"/>
                    <w:spacing w:before="0" w:after="90"/>
                    <w:rPr/>
                  </w:pPr>
                  <w:r>
                    <w:rPr>
                      <w:color w:val="1A1A1A"/>
                      <w:sz w:val="17"/>
                      <w:szCs w:val="17"/>
                    </w:rPr>
                    <w:t>Que los docentes confíen lo suficiente en la calificación y el feedback generados por el LLM como para incorporarlos como base habitual de su corrección, sin sentir que delegan su criterio profesional ni que empobrecen el vínculo pedagógico con el alumno.</w:t>
                  </w:r>
                </w:p>
                <w:p>
                  <w:pPr>
                    <w:pStyle w:val="Normal"/>
                    <w:spacing w:before="0" w:after="0"/>
                    <w:rPr/>
                  </w:pPr>
                  <w:r>
                    <w:rPr>
                      <w:color w:val="1A1A1A"/>
                      <w:sz w:val="17"/>
                      <w:szCs w:val="17"/>
                    </w:rPr>
                    <w:t>Si esa confianza no se da —feedback percibido como genérico, nota alejada de la del docente, o alumnos que le restan valor por “ser de una IA”— la adopción cae aunque el ahorro de tiempo sea real, porque el docente terminaría revisando cada entrega con el mismo esfuerzo que corregirla desde cero.</w:t>
                  </w:r>
                </w:p>
              </w:tc>
            </w:tr>
          </w:tbl>
          <w:p>
            <w:pPr>
              <w:pStyle w:val="Normal"/>
              <w:rPr/>
            </w:pPr>
            <w:r>
              <w:rPr/>
            </w:r>
          </w:p>
        </w:tc>
      </w:tr>
    </w:tbl>
    <w:p>
      <w:pPr>
        <w:pStyle w:val="Normal"/>
        <w:spacing w:before="120" w:after="0"/>
        <w:rPr>
          <w:color w:val="5B6472"/>
          <w:sz w:val="15"/>
          <w:szCs w:val="15"/>
        </w:rPr>
      </w:pPr>
      <w:r>
        <w:rPr/>
      </w:r>
    </w:p>
    <w:p>
      <w:pPr>
        <w:pStyle w:val="Normal"/>
        <w:rPr>
          <w:b/>
          <w:bCs/>
          <w:color w:val="0D2350"/>
          <w:sz w:val="30"/>
          <w:szCs w:val="3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GB"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Pages>
  <Words>610</Words>
  <Characters>3245</Characters>
  <CharactersWithSpaces>3834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2026-09-16T00:53:09Z</dcterms:created>
  <dc:creator>Un-named</dc:creator>
  <dc:description/>
  <dc:language>en-GB</dc:language>
  <cp:lastModifiedBy/>
  <dcterms:modified xsi:type="dcterms:W3CDTF">2026-09-15T21:57:39Z</dcterms:modified>
  <cp:revision>2</cp:revision>
  <dc:subject/>
  <dc:title/>
</cp:coreProperties>
</file>