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3B550" w14:textId="77777777" w:rsidR="00312459" w:rsidRDefault="00312459" w:rsidP="00312459">
      <w:pPr>
        <w:pStyle w:val="Typedudocument"/>
      </w:pPr>
      <w:bookmarkStart w:id="0" w:name="DQC_RangeToBeChecked"/>
      <w:r w:rsidRPr="00200E43">
        <w:t>REGULATION (EU) 2025/…</w:t>
      </w:r>
      <w:r w:rsidR="00EE14A8">
        <w:br/>
      </w:r>
      <w:r w:rsidR="00EE14A8">
        <w:rPr>
          <w:bCs/>
          <w:szCs w:val="24"/>
        </w:rPr>
        <w:t xml:space="preserve">OF </w:t>
      </w:r>
      <w:r w:rsidR="00EE14A8" w:rsidRPr="00200E43">
        <w:rPr>
          <w:bCs/>
          <w:szCs w:val="24"/>
        </w:rPr>
        <w:t>THE EUROPEAN PARLIAMENT AND OF THE COUNCIL</w:t>
      </w:r>
    </w:p>
    <w:p w14:paraId="3C4F7A9B" w14:textId="1F7471C0" w:rsidR="00312459" w:rsidRDefault="00312459" w:rsidP="00312459">
      <w:pPr>
        <w:pStyle w:val="Datedadoption"/>
      </w:pPr>
      <w:r>
        <w:t>o</w:t>
      </w:r>
      <w:r w:rsidRPr="00200E43">
        <w:t>f</w:t>
      </w:r>
      <w:r w:rsidR="00AC7D7C">
        <w:t xml:space="preserve"> </w:t>
      </w:r>
      <w:r w:rsidR="00B879FF">
        <w:t>18 March 2025</w:t>
      </w:r>
    </w:p>
    <w:p w14:paraId="501F5D28" w14:textId="77777777" w:rsidR="00312459" w:rsidRPr="00200E43" w:rsidRDefault="00312459" w:rsidP="00312459">
      <w:pPr>
        <w:pStyle w:val="Titreobjet"/>
      </w:pPr>
      <w:bookmarkStart w:id="1" w:name="_DV_M1"/>
      <w:bookmarkStart w:id="2" w:name="_DV_M2"/>
      <w:bookmarkEnd w:id="1"/>
      <w:bookmarkEnd w:id="2"/>
      <w:r w:rsidRPr="00200E43">
        <w:t xml:space="preserve">establishing the Reform and Growth Facility </w:t>
      </w:r>
      <w:r>
        <w:br/>
      </w:r>
      <w:r w:rsidRPr="00200E43">
        <w:t>for the Republic of Moldova</w:t>
      </w:r>
    </w:p>
    <w:p w14:paraId="5E45A0FE" w14:textId="77777777" w:rsidR="00312459" w:rsidRPr="00F26674" w:rsidRDefault="00312459" w:rsidP="001A0AB8">
      <w:pPr>
        <w:pStyle w:val="Institutionquiagit"/>
      </w:pPr>
      <w:r w:rsidRPr="00F26674">
        <w:t>THE EUROPEAN PARLIAMENT AND THE COUNCIL OF THE EUROPEAN UNION,</w:t>
      </w:r>
    </w:p>
    <w:p w14:paraId="303E2BD5" w14:textId="77777777" w:rsidR="00312459" w:rsidRPr="00F26674" w:rsidRDefault="00312459" w:rsidP="00312459">
      <w:pPr>
        <w:rPr>
          <w:rFonts w:eastAsia="Calibri"/>
        </w:rPr>
      </w:pPr>
      <w:r w:rsidRPr="00F26674">
        <w:rPr>
          <w:rFonts w:eastAsia="Calibri"/>
        </w:rPr>
        <w:t>Having regard to the Treaty on the Functioning of the European Union, and in particular Article 212 thereof,</w:t>
      </w:r>
    </w:p>
    <w:p w14:paraId="5C245202" w14:textId="77777777" w:rsidR="00312459" w:rsidRPr="00F26674" w:rsidRDefault="00312459" w:rsidP="00312459">
      <w:pPr>
        <w:rPr>
          <w:rFonts w:eastAsia="Calibri"/>
        </w:rPr>
      </w:pPr>
      <w:r w:rsidRPr="00F26674">
        <w:rPr>
          <w:rFonts w:eastAsia="Calibri"/>
        </w:rPr>
        <w:t>Having regard to the proposal from the European Commission,</w:t>
      </w:r>
    </w:p>
    <w:p w14:paraId="786B0970" w14:textId="77777777" w:rsidR="00312459" w:rsidRPr="00F26674" w:rsidRDefault="00312459" w:rsidP="00CB623A">
      <w:pPr>
        <w:rPr>
          <w:rFonts w:eastAsia="Calibri"/>
        </w:rPr>
      </w:pPr>
      <w:r w:rsidRPr="00F26674">
        <w:rPr>
          <w:rFonts w:eastAsia="Calibri"/>
        </w:rPr>
        <w:t>Acting in accordance with the ordinary legislative procedure</w:t>
      </w:r>
      <w:r w:rsidRPr="00CB623A">
        <w:rPr>
          <w:rStyle w:val="FootnoteReference"/>
        </w:rPr>
        <w:footnoteReference w:id="1"/>
      </w:r>
      <w:r w:rsidRPr="00F26674">
        <w:rPr>
          <w:rFonts w:eastAsia="Calibri"/>
        </w:rPr>
        <w:t>,</w:t>
      </w:r>
    </w:p>
    <w:p w14:paraId="3D561169" w14:textId="77777777" w:rsidR="00312459" w:rsidRPr="00F26674" w:rsidRDefault="00312459" w:rsidP="00312459">
      <w:pPr>
        <w:rPr>
          <w:rFonts w:eastAsia="Calibri"/>
        </w:rPr>
      </w:pPr>
      <w:r w:rsidRPr="00F26674">
        <w:rPr>
          <w:rFonts w:eastAsia="Calibri"/>
        </w:rPr>
        <w:br w:type="page"/>
      </w:r>
      <w:r w:rsidRPr="00F26674">
        <w:rPr>
          <w:rFonts w:eastAsia="Calibri"/>
        </w:rPr>
        <w:lastRenderedPageBreak/>
        <w:t>Whereas:</w:t>
      </w:r>
    </w:p>
    <w:p w14:paraId="16B5F97F" w14:textId="4672F807" w:rsidR="00312459" w:rsidRPr="00017EFD" w:rsidRDefault="00312459" w:rsidP="00017EFD">
      <w:pPr>
        <w:pStyle w:val="ManualConsidrant"/>
      </w:pPr>
      <w:r w:rsidRPr="00F26674">
        <w:t>(1)</w:t>
      </w:r>
      <w:r w:rsidRPr="00F26674">
        <w:tab/>
      </w:r>
      <w:bookmarkStart w:id="3" w:name="OLE_LINK15"/>
      <w:r w:rsidRPr="00F26674">
        <w:t>The Union is founded on the values referred to in Article 2 of the Treaty on the European Union (TEU), which include democracy, the rule of law and respect for human rights. Those values form part of the accession criteria established at the Copenhagen European Council in June 1993 (Copenhagen criteria), which constitute the conditions of eligibility for Union membership.</w:t>
      </w:r>
    </w:p>
    <w:p w14:paraId="3AB0E13A" w14:textId="047E5672" w:rsidR="00312459" w:rsidRPr="00017EFD" w:rsidRDefault="00312459" w:rsidP="00017EFD">
      <w:pPr>
        <w:pStyle w:val="ManualConsidrant"/>
        <w:rPr>
          <w:rFonts w:eastAsia="Calibri"/>
        </w:rPr>
      </w:pPr>
      <w:r w:rsidRPr="00F26674">
        <w:rPr>
          <w:rFonts w:eastAsia="Calibri"/>
        </w:rPr>
        <w:t>(3)</w:t>
      </w:r>
      <w:r w:rsidRPr="00F26674">
        <w:rPr>
          <w:rFonts w:eastAsia="Calibri"/>
        </w:rPr>
        <w:tab/>
        <w:t xml:space="preserve">Russia’s war of aggression against Ukraine further showed that Union enlargement is a geo-strategic </w:t>
      </w:r>
      <w:r w:rsidRPr="00F26674">
        <w:t>investment</w:t>
      </w:r>
      <w:r w:rsidRPr="00F26674">
        <w:rPr>
          <w:rFonts w:eastAsia="Calibri"/>
        </w:rPr>
        <w:t xml:space="preserve"> in peace, security and stability. The Union is fully and unequivocally committed to the Union membership perspective of Moldova. Moldova’s orientation and commitment towards the Union is a strong expression of its strategic choice and </w:t>
      </w:r>
      <w:r w:rsidRPr="00F26674">
        <w:t>place</w:t>
      </w:r>
      <w:r w:rsidRPr="00F26674">
        <w:rPr>
          <w:rFonts w:eastAsia="Calibri"/>
        </w:rPr>
        <w:t xml:space="preserve"> in a community of values. Moldova’s EU path needs to be firmly anchored in tangible and concrete progress on reforms.</w:t>
      </w:r>
    </w:p>
    <w:p w14:paraId="60070B5D" w14:textId="0D57E2FE" w:rsidR="00D119C5" w:rsidRDefault="00312459" w:rsidP="00D119C5">
      <w:pPr>
        <w:pStyle w:val="ManualConsidrant"/>
        <w:ind w:left="0" w:firstLine="0"/>
        <w:rPr>
          <w:rFonts w:eastAsia="Calibri"/>
        </w:rPr>
      </w:pPr>
      <w:r w:rsidRPr="00F26674">
        <w:t>(12)</w:t>
      </w:r>
      <w:r w:rsidRPr="00F26674">
        <w:tab/>
        <w:t xml:space="preserve">The Facility should support investments and reforms that promote Moldova’s path to the digital transformation of the economy and society in line with the Union vision for 2030 presented in the Commission communication of 9 March 2021, entitled ‘2030 Digital Compass: </w:t>
      </w:r>
      <w:proofErr w:type="gramStart"/>
      <w:r w:rsidRPr="00F26674">
        <w:t>the</w:t>
      </w:r>
      <w:proofErr w:type="gramEnd"/>
      <w:r w:rsidRPr="00F26674">
        <w:t xml:space="preserve"> European way for the Digital Decade’, fostering an inclusive digital economy that benefits all citizens. The Facility should strive to facilitate Moldova’s achievement of the general objectives and digital targets </w:t>
      </w:r>
      <w:proofErr w:type="gramStart"/>
      <w:r w:rsidRPr="00F26674">
        <w:t>with regard to</w:t>
      </w:r>
      <w:proofErr w:type="gramEnd"/>
      <w:r w:rsidRPr="00F26674">
        <w:t xml:space="preserve"> the Union. As outlined by the Commission in its communication of 1</w:t>
      </w:r>
      <w:r w:rsidR="009F09EC" w:rsidRPr="009F09EC">
        <w:rPr>
          <w:highlight w:val="yellow"/>
        </w:rPr>
        <w:t>6</w:t>
      </w:r>
      <w:r w:rsidRPr="00F26674">
        <w:t> June 2023, entitled ‘Implementation of the 5G cybersecurity Toolbox’, the 5G cybersecurity Toolbox should be the reference for Union funding to ensure security, resilience and the protection of integrity of digital infrastructure projects in the region.</w:t>
      </w:r>
    </w:p>
    <w:p w14:paraId="2B0D92B1" w14:textId="28CE1CE0" w:rsidR="00312459" w:rsidRPr="00F26674" w:rsidRDefault="00312459" w:rsidP="00D119C5">
      <w:pPr>
        <w:pStyle w:val="ManualConsidrant"/>
        <w:ind w:left="0" w:firstLine="0"/>
        <w:rPr>
          <w:rFonts w:eastAsia="Calibri"/>
        </w:rPr>
      </w:pPr>
      <w:r w:rsidRPr="00F26674">
        <w:rPr>
          <w:rFonts w:eastAsia="Calibri"/>
        </w:rPr>
        <w:t>(26)</w:t>
      </w:r>
      <w:r w:rsidRPr="00F26674">
        <w:rPr>
          <w:rFonts w:eastAsia="Calibri"/>
        </w:rPr>
        <w:tab/>
      </w:r>
      <w:bookmarkStart w:id="4" w:name="OLE_LINK28"/>
      <w:r w:rsidRPr="00F26674">
        <w:rPr>
          <w:rFonts w:eastAsia="Calibri"/>
        </w:rPr>
        <w:t xml:space="preserve">Reflecting the European Green Deal as Europe’s sustainable growth strategy and the importance of tackling climate and biodiversity objectives in line with the commitments of the Interinstitutional Agreement between the European Parliament, the Council of the European Union and the </w:t>
      </w:r>
      <w:r w:rsidRPr="00F26674">
        <w:t>European</w:t>
      </w:r>
      <w:r w:rsidRPr="00F26674">
        <w:rPr>
          <w:rFonts w:eastAsia="Calibri"/>
        </w:rPr>
        <w:t xml:space="preserve"> Commission</w:t>
      </w:r>
      <w:r w:rsidRPr="00CB623A">
        <w:rPr>
          <w:rStyle w:val="FootnoteReference"/>
        </w:rPr>
        <w:footnoteReference w:id="2"/>
      </w:r>
      <w:r w:rsidRPr="00F26674">
        <w:rPr>
          <w:rFonts w:eastAsia="Calibri"/>
        </w:rPr>
        <w:t xml:space="preserve">, the Facility should contribute to the achievement of an overall target of </w:t>
      </w:r>
      <w:r w:rsidRPr="009F09EC">
        <w:rPr>
          <w:rFonts w:eastAsia="Calibri"/>
          <w:highlight w:val="yellow"/>
        </w:rPr>
        <w:t>3</w:t>
      </w:r>
      <w:r w:rsidR="009F09EC" w:rsidRPr="009F09EC">
        <w:rPr>
          <w:rFonts w:eastAsia="Calibri"/>
          <w:highlight w:val="yellow"/>
        </w:rPr>
        <w:t>2</w:t>
      </w:r>
      <w:r w:rsidRPr="00F26674">
        <w:rPr>
          <w:rFonts w:eastAsia="Calibri"/>
        </w:rPr>
        <w:t xml:space="preserve"> % of Union budget expenditure supporting climate objectives and 7,5 % in 2024 and 10 % in 2026 and 2027 biodiversity objectives. At least 37 % of the non-repayable financial </w:t>
      </w:r>
      <w:r w:rsidRPr="00F26674">
        <w:rPr>
          <w:rFonts w:eastAsia="Calibri"/>
        </w:rPr>
        <w:lastRenderedPageBreak/>
        <w:t>support, including provisioning, provided to investment projects approved under the Neighbourhood Investment Platform, one of the regional investment platforms referred to in Article 32 of Regulation (EU) 202</w:t>
      </w:r>
      <w:r w:rsidR="00D333BD" w:rsidRPr="00D333BD">
        <w:rPr>
          <w:rFonts w:eastAsia="Calibri"/>
          <w:highlight w:val="yellow"/>
        </w:rPr>
        <w:t>2</w:t>
      </w:r>
      <w:r w:rsidRPr="00F26674">
        <w:rPr>
          <w:rFonts w:eastAsia="Calibri"/>
        </w:rPr>
        <w:t>/947 of the European Parliament and of the Council</w:t>
      </w:r>
      <w:r w:rsidRPr="00CB623A">
        <w:rPr>
          <w:rStyle w:val="FootnoteReference"/>
        </w:rPr>
        <w:footnoteReference w:id="3"/>
      </w:r>
      <w:r w:rsidRPr="00F26674">
        <w:rPr>
          <w:rFonts w:eastAsia="Calibri"/>
        </w:rPr>
        <w:t>, should be attributed to climate objectives. That amount should be calculated using the ‘Rio markers’ following the obligation to report the EU’s international climate finance to the OECD, as well as obligations under other international agreements or frameworks. As early as June 2025, the EU climate coefficients, applicable across all programmes under the 2021-2027 Multi-annual Financing Framework (MFF) and set out in the Commission Staff Working Document entitled ‘Climate Mainstreaming Architecture in the 2021-202</w:t>
      </w:r>
      <w:r w:rsidR="00D333BD" w:rsidRPr="00D333BD">
        <w:rPr>
          <w:rFonts w:eastAsia="Calibri"/>
          <w:highlight w:val="yellow"/>
        </w:rPr>
        <w:t>8</w:t>
      </w:r>
      <w:r w:rsidRPr="00F26674">
        <w:rPr>
          <w:rFonts w:eastAsia="Calibri"/>
        </w:rPr>
        <w:t xml:space="preserve"> Multiannual Financial Framework’, will also be applied to climate expenditure under the MFF’s Heading 6 (‘Neighbourhood and the world’). The Facility will align with the approach of other Heading 6 instruments, </w:t>
      </w:r>
      <w:proofErr w:type="gramStart"/>
      <w:r w:rsidRPr="00F26674">
        <w:rPr>
          <w:rFonts w:eastAsia="Calibri"/>
        </w:rPr>
        <w:t>in order to</w:t>
      </w:r>
      <w:proofErr w:type="gramEnd"/>
      <w:r w:rsidRPr="00F26674">
        <w:rPr>
          <w:rFonts w:eastAsia="Calibri"/>
        </w:rPr>
        <w:t xml:space="preserve"> ensure consistent climate reporting in Moldova. The Facility should support activities that fully respect the climate and environmental standards and priorities of the Union and the principle of ‘do no significant harm’.</w:t>
      </w:r>
      <w:bookmarkEnd w:id="4"/>
    </w:p>
    <w:p w14:paraId="52E5A5C1" w14:textId="3F618580" w:rsidR="00312459" w:rsidRPr="00F26674" w:rsidRDefault="00312459" w:rsidP="00D119C5">
      <w:pPr>
        <w:pStyle w:val="ManualConsidrant"/>
        <w:ind w:left="0" w:firstLine="0"/>
        <w:rPr>
          <w:rFonts w:eastAsia="Calibri"/>
        </w:rPr>
      </w:pPr>
      <w:r w:rsidRPr="00F26674">
        <w:rPr>
          <w:rFonts w:eastAsia="Calibri"/>
        </w:rPr>
        <w:t>(29)</w:t>
      </w:r>
      <w:r w:rsidRPr="00F26674">
        <w:rPr>
          <w:rFonts w:eastAsia="Calibri"/>
        </w:rPr>
        <w:tab/>
      </w:r>
      <w:bookmarkStart w:id="5" w:name="OLE_LINK17"/>
      <w:r w:rsidRPr="00F26674">
        <w:rPr>
          <w:rFonts w:eastAsia="Calibri"/>
        </w:rPr>
        <w:t xml:space="preserve">The </w:t>
      </w:r>
      <w:r w:rsidRPr="00F26674">
        <w:t>Facility</w:t>
      </w:r>
      <w:r w:rsidRPr="00F26674">
        <w:rPr>
          <w:rFonts w:eastAsia="Calibri"/>
        </w:rPr>
        <w:t xml:space="preserve"> should be supported with resources from the Neighbourhood, Development and International Cooperation Instrument – Global Europe (NDICI – Global Europe), primarily from the financial allocation for Neighbourhood East, amounting to EUR</w:t>
      </w:r>
      <w:r w:rsidR="003404D2">
        <w:rPr>
          <w:rFonts w:eastAsia="Calibri"/>
        </w:rPr>
        <w:t> </w:t>
      </w:r>
      <w:r w:rsidRPr="00F26674">
        <w:rPr>
          <w:rFonts w:eastAsia="Calibri"/>
        </w:rPr>
        <w:t>520 million in non-repayable support and a maximum amount of EUR 1 500 million in loans for the period from 2025</w:t>
      </w:r>
      <w:r w:rsidRPr="00F26674">
        <w:rPr>
          <w:rFonts w:eastAsia="Calibri"/>
        </w:rPr>
        <w:noBreakHyphen/>
        <w:t>2027. The non-repayable support should cover the 9 % provisioning required for the loans corresponding to EUR 135 million, support provided by the Union for projects approved under the Neighbourhood Investment Platform, as referred to in Article 18(2) of this Regulation, and complementary support, including support to civil society organisations and technical assistance. The non-repayable support should be financed from the envelope allocated to the Neighbourhood geographic programme under Article 6(2), point (a), of Regulation (EU) 2021/947. All provisions under Regulation (EU) 2021/947 should apply unless otherwise mentioned in this Regulation.</w:t>
      </w:r>
    </w:p>
    <w:bookmarkEnd w:id="5"/>
    <w:p w14:paraId="4F14B587" w14:textId="77777777" w:rsidR="00312459" w:rsidRPr="00F26674" w:rsidRDefault="00312459" w:rsidP="00344939">
      <w:pPr>
        <w:pStyle w:val="ManualConsidrant"/>
        <w:rPr>
          <w:rFonts w:eastAsia="Calibri"/>
        </w:rPr>
      </w:pPr>
      <w:r w:rsidRPr="00F26674">
        <w:rPr>
          <w:rFonts w:eastAsia="Calibri"/>
        </w:rPr>
        <w:t>(30)</w:t>
      </w:r>
      <w:r w:rsidRPr="00F26674">
        <w:rPr>
          <w:rFonts w:eastAsia="Calibri"/>
        </w:rPr>
        <w:tab/>
      </w:r>
      <w:bookmarkStart w:id="6" w:name="OLE_LINK19"/>
      <w:r w:rsidRPr="00F26674">
        <w:rPr>
          <w:rFonts w:eastAsia="Calibri"/>
        </w:rPr>
        <w:t xml:space="preserve">Decisions on the release of funds referred to in Article 19(3) for the support in the form of loans should be adopted in the period from 1 January 2025 to 30 June 2029. This final date includes the time necessary for the Commission to evaluate the successful fulfilment of the </w:t>
      </w:r>
      <w:r w:rsidRPr="00F26674">
        <w:rPr>
          <w:rFonts w:eastAsia="Calibri"/>
        </w:rPr>
        <w:lastRenderedPageBreak/>
        <w:t>payment conditions concerned and to adopt the subsequent decision on the release of funds.</w:t>
      </w:r>
    </w:p>
    <w:bookmarkEnd w:id="6"/>
    <w:p w14:paraId="4CFC7A87" w14:textId="77777777" w:rsidR="00312459" w:rsidRPr="00F26674" w:rsidRDefault="00312459" w:rsidP="00344939">
      <w:pPr>
        <w:pStyle w:val="ManualConsidrant"/>
        <w:rPr>
          <w:rFonts w:eastAsia="Calibri"/>
        </w:rPr>
      </w:pPr>
      <w:r w:rsidRPr="00F26674">
        <w:rPr>
          <w:rFonts w:eastAsia="Calibri"/>
        </w:rPr>
        <w:t>(32)</w:t>
      </w:r>
      <w:r w:rsidRPr="00F26674">
        <w:rPr>
          <w:rFonts w:eastAsia="Calibri"/>
        </w:rPr>
        <w:tab/>
      </w:r>
      <w:bookmarkStart w:id="7" w:name="OLE_LINK29"/>
      <w:r w:rsidRPr="00F26674">
        <w:rPr>
          <w:rFonts w:eastAsia="Calibri"/>
        </w:rPr>
        <w:t>The financial liability from loans under the Facility should not constitute part of the amount of the External Action Guarantee within the meaning of Article 31(4) of Regulation (EU) 2021/947.</w:t>
      </w:r>
      <w:bookmarkEnd w:id="7"/>
    </w:p>
    <w:p w14:paraId="4069DBE4" w14:textId="3A55F90C" w:rsidR="00017EFD" w:rsidRPr="00F26674" w:rsidRDefault="00312459" w:rsidP="00017EFD">
      <w:pPr>
        <w:pStyle w:val="ManualConsidrant"/>
        <w:rPr>
          <w:rFonts w:eastAsia="Calibri"/>
        </w:rPr>
      </w:pPr>
      <w:r w:rsidRPr="00F26674">
        <w:rPr>
          <w:rFonts w:eastAsia="Calibri"/>
        </w:rPr>
        <w:t>(33)</w:t>
      </w:r>
      <w:r w:rsidRPr="00F26674">
        <w:rPr>
          <w:rFonts w:eastAsia="Calibri"/>
        </w:rPr>
        <w:tab/>
      </w:r>
      <w:bookmarkStart w:id="8" w:name="OLE_LINK21"/>
      <w:r w:rsidRPr="00F26674">
        <w:rPr>
          <w:rFonts w:eastAsia="Calibri"/>
        </w:rPr>
        <w:t xml:space="preserve">Horizontal financial rules adopted by the European Parliament and the Council </w:t>
      </w:r>
      <w:proofErr w:type="gramStart"/>
      <w:r w:rsidRPr="00F26674">
        <w:rPr>
          <w:rFonts w:eastAsia="Calibri"/>
        </w:rPr>
        <w:t>on the basis of</w:t>
      </w:r>
      <w:proofErr w:type="gramEnd"/>
      <w:r w:rsidRPr="00F26674">
        <w:rPr>
          <w:rFonts w:eastAsia="Calibri"/>
        </w:rPr>
        <w:t xml:space="preserve"> Article 322 of </w:t>
      </w:r>
      <w:r w:rsidRPr="00F26674">
        <w:t>the</w:t>
      </w:r>
      <w:r w:rsidRPr="00F26674">
        <w:rPr>
          <w:rFonts w:eastAsia="Calibri"/>
        </w:rPr>
        <w:t xml:space="preserve"> Treaty on the Functioning of the European Union (TFEU) should apply to </w:t>
      </w:r>
      <w:r w:rsidRPr="00F26674">
        <w:t>this</w:t>
      </w:r>
      <w:r w:rsidRPr="00F26674">
        <w:rPr>
          <w:rFonts w:eastAsia="Calibri"/>
        </w:rPr>
        <w:t xml:space="preserve"> Regulation. Those rules are laid down in Regulation (EU, </w:t>
      </w:r>
      <w:r w:rsidRPr="00D333BD">
        <w:rPr>
          <w:rFonts w:eastAsia="Calibri"/>
          <w:highlight w:val="yellow"/>
        </w:rPr>
        <w:t>Eurato</w:t>
      </w:r>
      <w:r w:rsidRPr="00F26674">
        <w:rPr>
          <w:rFonts w:eastAsia="Calibri"/>
        </w:rPr>
        <w:t>) 2024/2509 of the European Parliament and of the Council</w:t>
      </w:r>
      <w:r w:rsidRPr="00CB623A">
        <w:rPr>
          <w:rStyle w:val="FootnoteReference"/>
        </w:rPr>
        <w:footnoteReference w:id="4"/>
      </w:r>
      <w:r w:rsidRPr="00F26674">
        <w:rPr>
          <w:rFonts w:eastAsia="Calibri"/>
          <w:noProof/>
        </w:rPr>
        <w:t xml:space="preserve"> (‘the</w:t>
      </w:r>
      <w:r w:rsidR="003404D2">
        <w:rPr>
          <w:rFonts w:eastAsia="Calibri"/>
          <w:noProof/>
        </w:rPr>
        <w:t> </w:t>
      </w:r>
      <w:r w:rsidRPr="00F26674">
        <w:rPr>
          <w:rFonts w:eastAsia="Calibri"/>
          <w:noProof/>
        </w:rPr>
        <w:t>Financial</w:t>
      </w:r>
      <w:r w:rsidR="003404D2">
        <w:rPr>
          <w:rFonts w:eastAsia="Calibri"/>
          <w:noProof/>
        </w:rPr>
        <w:t> </w:t>
      </w:r>
      <w:r w:rsidRPr="00F26674">
        <w:rPr>
          <w:rFonts w:eastAsia="Calibri"/>
          <w:noProof/>
        </w:rPr>
        <w:t xml:space="preserve">Regulation’) </w:t>
      </w:r>
      <w:r w:rsidRPr="00F26674">
        <w:rPr>
          <w:rFonts w:eastAsia="Calibri"/>
        </w:rPr>
        <w:t>and determine in particular the procedure for establishing and implementing the budget in direct and indirect management through grants, procurement, financial assistance, blending operations and the reimbursement of external experts, and provide for checks on the responsibility of financial actors.</w:t>
      </w:r>
      <w:r w:rsidR="00017EFD" w:rsidRPr="00F26674">
        <w:rPr>
          <w:rFonts w:eastAsia="Calibri"/>
        </w:rPr>
        <w:t xml:space="preserve"> </w:t>
      </w:r>
      <w:bookmarkEnd w:id="8"/>
    </w:p>
    <w:p w14:paraId="34D73776" w14:textId="0D40B103" w:rsidR="00312459" w:rsidRPr="00F26674" w:rsidRDefault="00312459" w:rsidP="00344939">
      <w:pPr>
        <w:pStyle w:val="ManualConsidrant"/>
        <w:rPr>
          <w:rFonts w:eastAsia="Calibri"/>
        </w:rPr>
      </w:pPr>
      <w:r w:rsidRPr="00F26674">
        <w:rPr>
          <w:rFonts w:eastAsia="Calibri"/>
        </w:rPr>
        <w:t>(41)</w:t>
      </w:r>
      <w:r w:rsidRPr="00F26674">
        <w:rPr>
          <w:rFonts w:eastAsia="Calibri"/>
        </w:rPr>
        <w:tab/>
        <w:t xml:space="preserve">Measures under the Reform Agenda should contribute to improving an efficient public financial management and control system and an effective system of State aid control and to </w:t>
      </w:r>
      <w:r w:rsidRPr="00F26674">
        <w:t>preventing</w:t>
      </w:r>
      <w:r w:rsidRPr="00F26674">
        <w:rPr>
          <w:rFonts w:eastAsia="Calibri"/>
        </w:rPr>
        <w:t xml:space="preserve"> money laundering, tax avoidance, tax evasion, fraud and organised crime, with the aim of ensuring fair conditions for all undertakings. The Reform Agenda should contain a description of such systems as well as specific steps related to negotiation Chapter 32 </w:t>
      </w:r>
      <w:proofErr w:type="gramStart"/>
      <w:r w:rsidRPr="00F26674">
        <w:rPr>
          <w:rFonts w:eastAsia="Calibri"/>
        </w:rPr>
        <w:t>in order to</w:t>
      </w:r>
      <w:proofErr w:type="gramEnd"/>
      <w:r w:rsidRPr="00F26674">
        <w:rPr>
          <w:rFonts w:eastAsia="Calibri"/>
        </w:rPr>
        <w:t xml:space="preserve"> support Moldova in bringing its audit and controls requirements in line with Union standards. </w:t>
      </w:r>
      <w:proofErr w:type="gramStart"/>
      <w:r w:rsidRPr="00F26674">
        <w:rPr>
          <w:rFonts w:eastAsia="Calibri"/>
        </w:rPr>
        <w:t>In the event that</w:t>
      </w:r>
      <w:proofErr w:type="gramEnd"/>
      <w:r w:rsidRPr="00F26674">
        <w:rPr>
          <w:rFonts w:eastAsia="Calibri"/>
        </w:rPr>
        <w:t xml:space="preserve"> a request for the release of funds includes a step related to negotiation Chapter 32, referred to in Article 19(2), the Commission should not adopt a decision authorising the release of funds unless it assesses such step positively.</w:t>
      </w:r>
    </w:p>
    <w:p w14:paraId="63FC6B58" w14:textId="4FC1D6F3" w:rsidR="00312459" w:rsidRPr="00F26674" w:rsidRDefault="00312459" w:rsidP="00017EFD">
      <w:pPr>
        <w:pStyle w:val="ManualConsidrant"/>
        <w:ind w:left="0" w:firstLine="0"/>
        <w:rPr>
          <w:rFonts w:eastAsia="Calibri"/>
        </w:rPr>
      </w:pPr>
      <w:r w:rsidRPr="00F26674">
        <w:rPr>
          <w:rFonts w:eastAsia="Calibri"/>
        </w:rPr>
        <w:t>(43)</w:t>
      </w:r>
      <w:r w:rsidRPr="00F26674">
        <w:rPr>
          <w:rFonts w:eastAsia="Calibri"/>
        </w:rPr>
        <w:tab/>
        <w:t xml:space="preserve">The Commission should assess the Reform Agenda based on the list of criteria set out in this </w:t>
      </w:r>
      <w:r w:rsidRPr="00F26674">
        <w:t>Regulation</w:t>
      </w:r>
      <w:r w:rsidRPr="00F26674">
        <w:rPr>
          <w:rFonts w:eastAsia="Calibri"/>
        </w:rPr>
        <w:t xml:space="preserve">. </w:t>
      </w:r>
      <w:proofErr w:type="gramStart"/>
      <w:r w:rsidRPr="00F26674">
        <w:rPr>
          <w:rFonts w:eastAsia="Calibri"/>
        </w:rPr>
        <w:t>In order to</w:t>
      </w:r>
      <w:proofErr w:type="gramEnd"/>
      <w:r w:rsidRPr="00F26674">
        <w:rPr>
          <w:rFonts w:eastAsia="Calibri"/>
        </w:rPr>
        <w:t xml:space="preserve"> ensure uniform conditions for the implementation of this </w:t>
      </w:r>
      <w:r w:rsidRPr="00F26674">
        <w:t>Regulation</w:t>
      </w:r>
      <w:r w:rsidRPr="00F26674">
        <w:rPr>
          <w:rFonts w:eastAsia="Calibri"/>
        </w:rPr>
        <w:t>, implementing powers should be conferred on the Commission to approve the Reform Agenda. Those powers should be exercised in accordance with Regulation (EU)</w:t>
      </w:r>
      <w:r w:rsidR="003404D2">
        <w:t> </w:t>
      </w:r>
      <w:r w:rsidRPr="00F26674">
        <w:rPr>
          <w:rFonts w:eastAsia="Calibri"/>
        </w:rPr>
        <w:t>No 18</w:t>
      </w:r>
      <w:r w:rsidR="00EE74EC" w:rsidRPr="00EE74EC">
        <w:rPr>
          <w:rFonts w:eastAsia="Calibri"/>
          <w:highlight w:val="yellow"/>
        </w:rPr>
        <w:t>3</w:t>
      </w:r>
      <w:r w:rsidRPr="00F26674">
        <w:rPr>
          <w:rFonts w:eastAsia="Calibri"/>
        </w:rPr>
        <w:t>/2011 of the European Parliament and of the Council</w:t>
      </w:r>
      <w:r w:rsidRPr="00CB623A">
        <w:rPr>
          <w:rStyle w:val="FootnoteReference"/>
        </w:rPr>
        <w:footnoteReference w:id="5"/>
      </w:r>
      <w:r w:rsidRPr="00F26674">
        <w:rPr>
          <w:rFonts w:eastAsia="Calibri"/>
        </w:rPr>
        <w:t xml:space="preserve">. The Commission should duly </w:t>
      </w:r>
      <w:proofErr w:type="gramStart"/>
      <w:r w:rsidRPr="00F26674">
        <w:rPr>
          <w:rFonts w:eastAsia="Calibri"/>
        </w:rPr>
        <w:t>take into account</w:t>
      </w:r>
      <w:proofErr w:type="gramEnd"/>
      <w:r w:rsidRPr="00F26674">
        <w:rPr>
          <w:rFonts w:eastAsia="Calibri"/>
        </w:rPr>
        <w:t xml:space="preserve"> Council </w:t>
      </w:r>
      <w:r w:rsidR="00527E26">
        <w:rPr>
          <w:rFonts w:eastAsia="Calibri"/>
        </w:rPr>
        <w:lastRenderedPageBreak/>
        <w:t>D</w:t>
      </w:r>
      <w:r w:rsidRPr="00F26674">
        <w:rPr>
          <w:rFonts w:eastAsia="Calibri"/>
        </w:rPr>
        <w:t>ecision 2010/427/EU</w:t>
      </w:r>
      <w:r w:rsidRPr="00CB623A">
        <w:rPr>
          <w:rStyle w:val="FootnoteReference"/>
        </w:rPr>
        <w:footnoteReference w:id="6"/>
      </w:r>
      <w:r w:rsidRPr="00F26674">
        <w:rPr>
          <w:rFonts w:eastAsia="Calibri"/>
        </w:rPr>
        <w:t xml:space="preserve"> and the role of the European External Action Service (EEAS), where appropriate.</w:t>
      </w:r>
    </w:p>
    <w:p w14:paraId="65AEE882" w14:textId="0E9A9F19" w:rsidR="00312459" w:rsidRPr="00F26674" w:rsidRDefault="00312459" w:rsidP="00344939">
      <w:pPr>
        <w:pStyle w:val="ManualConsidrant"/>
        <w:rPr>
          <w:rFonts w:eastAsia="Calibri"/>
        </w:rPr>
      </w:pPr>
      <w:r w:rsidRPr="00F26674">
        <w:rPr>
          <w:rFonts w:eastAsia="Calibri"/>
        </w:rPr>
        <w:t>(44)</w:t>
      </w:r>
      <w:r w:rsidRPr="00F26674">
        <w:rPr>
          <w:rFonts w:eastAsia="Calibri"/>
        </w:rPr>
        <w:tab/>
      </w:r>
      <w:bookmarkStart w:id="9" w:name="OLE_LINK24"/>
      <w:r w:rsidRPr="00F26674">
        <w:rPr>
          <w:rFonts w:eastAsia="Calibri"/>
        </w:rPr>
        <w:t>The work programme within the meaning of Article </w:t>
      </w:r>
      <w:r w:rsidR="00EE74EC" w:rsidRPr="00EE74EC">
        <w:rPr>
          <w:rFonts w:eastAsia="Calibri"/>
          <w:highlight w:val="yellow"/>
        </w:rPr>
        <w:t>TOBEDEFINED</w:t>
      </w:r>
      <w:r w:rsidR="00EE74EC">
        <w:rPr>
          <w:rFonts w:eastAsia="Calibri"/>
        </w:rPr>
        <w:t xml:space="preserve"> </w:t>
      </w:r>
      <w:r w:rsidRPr="00F26674">
        <w:rPr>
          <w:rFonts w:eastAsia="Calibri"/>
        </w:rPr>
        <w:t>of the Financial Regulation adopted in accordance with the relevant provisions of Regulation (EU) 2021/947 should cover the amounts funded from the envelope allocated to the Neighbourhood geographic programme under Article 6(2), point (a) of Regulation (EU) 2021/947.</w:t>
      </w:r>
    </w:p>
    <w:bookmarkEnd w:id="9"/>
    <w:p w14:paraId="52A86238" w14:textId="77777777" w:rsidR="00312459" w:rsidRPr="00F26674" w:rsidRDefault="00312459" w:rsidP="00344939">
      <w:pPr>
        <w:pStyle w:val="ManualConsidrant"/>
        <w:rPr>
          <w:rFonts w:eastAsia="Calibri"/>
        </w:rPr>
      </w:pPr>
      <w:r w:rsidRPr="00F26674">
        <w:rPr>
          <w:rFonts w:eastAsia="Calibri"/>
        </w:rPr>
        <w:t>(48)</w:t>
      </w:r>
      <w:r w:rsidRPr="00F26674">
        <w:rPr>
          <w:rFonts w:eastAsia="Calibri"/>
        </w:rPr>
        <w:tab/>
        <w:t xml:space="preserve">Considering that the financial risks associated with the support to Moldova in the form of loans </w:t>
      </w:r>
      <w:r w:rsidRPr="00F26674">
        <w:t>under</w:t>
      </w:r>
      <w:r w:rsidRPr="00F26674">
        <w:rPr>
          <w:rFonts w:eastAsia="Calibri"/>
        </w:rPr>
        <w:t xml:space="preserve"> the Facility are comparable to the financial risks associated with lending operations under Regulation (EU) 2021/947, provisioning for the financial liability from loans under this Regulation should be constituted at the rate of 9 %, in line with Article 214 of the Financial Regulation and the funding of the provisioning should be sourced from the envelope allocated to the Neighbourhood geographic programme under Article 6(2), point (a), of Regulation (EU) 2021/947.</w:t>
      </w:r>
    </w:p>
    <w:p w14:paraId="20CCED51" w14:textId="0CB28EE1" w:rsidR="00312459" w:rsidRPr="00F26674" w:rsidRDefault="00312459" w:rsidP="00344939">
      <w:pPr>
        <w:pStyle w:val="ManualConsidrant"/>
      </w:pPr>
      <w:r w:rsidRPr="00F26674">
        <w:t>(49)</w:t>
      </w:r>
      <w:r w:rsidRPr="00F26674">
        <w:tab/>
      </w:r>
      <w:bookmarkStart w:id="10" w:name="OLE_LINK25"/>
      <w:bookmarkStart w:id="11" w:name="OLE_LINK32"/>
      <w:r w:rsidRPr="00F26674">
        <w:t xml:space="preserve">The provisioning rate for the financial liability from loans under this Regulation should be set at the rate of 9 % to be reviewed at least every three years from the date of entry into force of this Regulation. The Commission is empowered to adopt a delegated act established under Article 31(5), </w:t>
      </w:r>
      <w:proofErr w:type="gramStart"/>
      <w:r w:rsidR="00EE74EC" w:rsidRPr="00EE74EC">
        <w:rPr>
          <w:highlight w:val="yellow"/>
        </w:rPr>
        <w:t>fifth</w:t>
      </w:r>
      <w:r w:rsidRPr="00F26674">
        <w:t xml:space="preserve"> subparagraph,</w:t>
      </w:r>
      <w:proofErr w:type="gramEnd"/>
      <w:r w:rsidRPr="00F26674">
        <w:t xml:space="preserve"> of the Regulation (EU) 2021/947.</w:t>
      </w:r>
      <w:bookmarkEnd w:id="10"/>
    </w:p>
    <w:bookmarkEnd w:id="11"/>
    <w:p w14:paraId="01FBDD14" w14:textId="77777777" w:rsidR="00312459" w:rsidRPr="00F26674" w:rsidRDefault="00312459" w:rsidP="00344939">
      <w:pPr>
        <w:pStyle w:val="ManualConsidrant"/>
        <w:rPr>
          <w:rFonts w:eastAsia="Calibri"/>
        </w:rPr>
      </w:pPr>
      <w:r w:rsidRPr="00F26674">
        <w:rPr>
          <w:rFonts w:eastAsia="Calibri"/>
        </w:rPr>
        <w:t>(55)</w:t>
      </w:r>
      <w:r w:rsidRPr="00F26674">
        <w:rPr>
          <w:rFonts w:eastAsia="Calibri"/>
        </w:rPr>
        <w:tab/>
        <w:t>In the interest of transparency and accountability, Moldova should publish data on final recipients receiving amounts of funding exceeding the equivalent of EUR 50 000 cumulatively during the implementation of reforms and investments under the Facility.</w:t>
      </w:r>
    </w:p>
    <w:p w14:paraId="365D04BC" w14:textId="54CCAA52" w:rsidR="00312459" w:rsidRPr="00F26674" w:rsidRDefault="00312459" w:rsidP="00017EFD">
      <w:pPr>
        <w:pStyle w:val="ManualConsidrant"/>
        <w:ind w:left="0" w:firstLine="0"/>
        <w:rPr>
          <w:rFonts w:eastAsia="Calibri"/>
        </w:rPr>
      </w:pPr>
      <w:r w:rsidRPr="00F26674">
        <w:rPr>
          <w:rFonts w:eastAsia="Calibri"/>
        </w:rPr>
        <w:t>(56)</w:t>
      </w:r>
      <w:r w:rsidRPr="00F26674">
        <w:rPr>
          <w:rFonts w:eastAsia="Calibri"/>
        </w:rPr>
        <w:tab/>
        <w:t>In accordance with the Financial Regulation, Regulation (EU, Euratom) No 883/2013 of the European Parliament and of the Council</w:t>
      </w:r>
      <w:r w:rsidRPr="00CB623A">
        <w:rPr>
          <w:rStyle w:val="FootnoteReference"/>
        </w:rPr>
        <w:footnoteReference w:id="7"/>
      </w:r>
      <w:r w:rsidRPr="00F26674">
        <w:rPr>
          <w:rFonts w:eastAsia="Calibri"/>
        </w:rPr>
        <w:t xml:space="preserve"> and Council Regulations (EC, Euratom) No </w:t>
      </w:r>
      <w:r w:rsidRPr="00F26674">
        <w:t>2988</w:t>
      </w:r>
      <w:r w:rsidRPr="00F26674">
        <w:rPr>
          <w:rFonts w:eastAsia="Calibri"/>
        </w:rPr>
        <w:t>/95</w:t>
      </w:r>
      <w:r w:rsidRPr="00CB623A">
        <w:rPr>
          <w:rStyle w:val="FootnoteReference"/>
        </w:rPr>
        <w:footnoteReference w:id="8"/>
      </w:r>
      <w:r w:rsidRPr="00F26674">
        <w:rPr>
          <w:rFonts w:eastAsia="Calibri"/>
        </w:rPr>
        <w:t xml:space="preserve">, </w:t>
      </w:r>
      <w:r w:rsidRPr="00F26674">
        <w:rPr>
          <w:rFonts w:eastAsia="Calibri"/>
        </w:rPr>
        <w:lastRenderedPageBreak/>
        <w:t>(Euratom, EC) No 2185/9</w:t>
      </w:r>
      <w:r w:rsidR="00EE74EC" w:rsidRPr="00EE74EC">
        <w:rPr>
          <w:rFonts w:eastAsia="Calibri"/>
          <w:highlight w:val="yellow"/>
        </w:rPr>
        <w:t>7</w:t>
      </w:r>
      <w:r w:rsidRPr="00CB623A">
        <w:rPr>
          <w:rStyle w:val="FootnoteReference"/>
        </w:rPr>
        <w:footnoteReference w:id="9"/>
      </w:r>
      <w:r w:rsidRPr="00F26674">
        <w:rPr>
          <w:rFonts w:eastAsia="Calibri"/>
        </w:rPr>
        <w:t xml:space="preserve"> and (EU) 2017/1939</w:t>
      </w:r>
      <w:r w:rsidRPr="00CB623A">
        <w:rPr>
          <w:rStyle w:val="FootnoteReference"/>
        </w:rPr>
        <w:footnoteReference w:id="10"/>
      </w:r>
      <w:r w:rsidRPr="00F26674">
        <w:rPr>
          <w:rFonts w:eastAsia="Calibri"/>
        </w:rPr>
        <w:t>, the financial interests of the Union are to be protected by means of proportionate measures, including measures relating to the prevention, detection, correction and investigation of irregularities, fraud, corruption, conflicts of interest, double funding, to the recovery of funds lost, wrongly paid or incorrectly used.</w:t>
      </w:r>
    </w:p>
    <w:p w14:paraId="298B6A2E" w14:textId="77777777" w:rsidR="00312459" w:rsidRPr="00F26674" w:rsidRDefault="00312459" w:rsidP="00344939">
      <w:pPr>
        <w:pStyle w:val="ManualConsidrant"/>
        <w:rPr>
          <w:rFonts w:eastAsia="Calibri"/>
        </w:rPr>
      </w:pPr>
      <w:r w:rsidRPr="00F26674">
        <w:rPr>
          <w:rFonts w:eastAsia="Calibri"/>
        </w:rPr>
        <w:t>(57)</w:t>
      </w:r>
      <w:r w:rsidRPr="00F26674">
        <w:rPr>
          <w:rFonts w:eastAsia="Calibri"/>
        </w:rPr>
        <w:tab/>
        <w:t xml:space="preserve">In particular, in accordance with Regulations (Euratom, EC) No 2185/96 and (EU, Euratom) No 883/2013, the European Anti-Fraud Office (OLAF) should be in a position </w:t>
      </w:r>
      <w:r w:rsidRPr="00F26674">
        <w:t>to</w:t>
      </w:r>
      <w:r w:rsidRPr="00F26674">
        <w:rPr>
          <w:rFonts w:eastAsia="Calibri"/>
        </w:rPr>
        <w:t xml:space="preserve"> carry out administrative investigations, including on-the-spot checks and inspections, with a view to establishing whether there has been fraud, corruption or any other illegal activity affecting the financial interests of the Union.</w:t>
      </w:r>
    </w:p>
    <w:p w14:paraId="7F7CA6F0" w14:textId="6B0FCD30" w:rsidR="00017EFD" w:rsidRPr="00017EFD" w:rsidRDefault="00312459" w:rsidP="00D119C5">
      <w:pPr>
        <w:pStyle w:val="ManualConsidrant"/>
        <w:ind w:left="0" w:firstLine="0"/>
        <w:rPr>
          <w:rFonts w:eastAsia="Calibri"/>
        </w:rPr>
      </w:pPr>
      <w:r w:rsidRPr="00F26674">
        <w:rPr>
          <w:rFonts w:eastAsia="Calibri"/>
        </w:rPr>
        <w:t>(58)</w:t>
      </w:r>
      <w:r w:rsidRPr="00F26674">
        <w:rPr>
          <w:rFonts w:eastAsia="Calibri"/>
        </w:rPr>
        <w:tab/>
        <w:t>In accordance with Article 129 of the Financial Regulation, the necessary rights and access should be granted to the Commission, OLAF, the Court of Auditors and, where applicable the European Public Prosecutor’s Office (EPPO), including by third parties involved in the implementation of Union funds.</w:t>
      </w:r>
    </w:p>
    <w:p w14:paraId="43B740FC" w14:textId="58518EB9" w:rsidR="00312459" w:rsidRPr="00F26674" w:rsidRDefault="00312459" w:rsidP="00344939">
      <w:pPr>
        <w:pStyle w:val="ChapterTitle"/>
        <w:rPr>
          <w:rFonts w:eastAsia="Calibri"/>
          <w:bCs/>
          <w:szCs w:val="24"/>
        </w:rPr>
      </w:pPr>
      <w:r w:rsidRPr="00F26674">
        <w:rPr>
          <w:bCs/>
        </w:rPr>
        <w:t>C</w:t>
      </w:r>
      <w:r w:rsidR="008B5F01" w:rsidRPr="00F26674">
        <w:rPr>
          <w:bCs/>
        </w:rPr>
        <w:t>hapter</w:t>
      </w:r>
      <w:r w:rsidRPr="00F26674">
        <w:rPr>
          <w:bCs/>
        </w:rPr>
        <w:t xml:space="preserve"> II </w:t>
      </w:r>
      <w:r w:rsidRPr="00F26674">
        <w:rPr>
          <w:bCs/>
        </w:rPr>
        <w:br/>
        <w:t>Financing and implementation</w:t>
      </w:r>
    </w:p>
    <w:p w14:paraId="6844D777" w14:textId="77777777" w:rsidR="00312459" w:rsidRPr="00F26674" w:rsidRDefault="00312459" w:rsidP="00F26674">
      <w:pPr>
        <w:pStyle w:val="Titrearticle"/>
      </w:pPr>
      <w:r w:rsidRPr="00F26674">
        <w:t>Article 6</w:t>
      </w:r>
      <w:r w:rsidRPr="00F26674">
        <w:br/>
        <w:t>Implementation</w:t>
      </w:r>
    </w:p>
    <w:p w14:paraId="340ADADB" w14:textId="77777777" w:rsidR="00312459" w:rsidRPr="00F26674" w:rsidRDefault="00312459" w:rsidP="00026BC5">
      <w:pPr>
        <w:pStyle w:val="ManualNumPar1"/>
        <w:rPr>
          <w:rFonts w:eastAsia="Calibri"/>
        </w:rPr>
      </w:pPr>
      <w:r w:rsidRPr="00F26674">
        <w:rPr>
          <w:rFonts w:eastAsia="Calibri"/>
        </w:rPr>
        <w:t>1.</w:t>
      </w:r>
      <w:r w:rsidRPr="00F26674">
        <w:rPr>
          <w:rFonts w:eastAsia="Calibri"/>
        </w:rPr>
        <w:tab/>
        <w:t>The Facility shall be supported with resources from the NDICI – Global Europe amounting to EUR </w:t>
      </w:r>
      <w:r w:rsidRPr="00026BC5">
        <w:t>520</w:t>
      </w:r>
      <w:r w:rsidRPr="00F26674">
        <w:rPr>
          <w:rFonts w:eastAsia="Calibri"/>
        </w:rPr>
        <w:t> million in non-repayable support and a maximum amount of EUR 1 500 million in loans. The amount for loans shall not constitute part of the amount of the External Action Guarantee within the meaning of Article 31(4) of Regulation (EU) 2021/947.</w:t>
      </w:r>
    </w:p>
    <w:p w14:paraId="1F7AC93F" w14:textId="77777777" w:rsidR="00312459" w:rsidRPr="00F26674" w:rsidRDefault="00312459" w:rsidP="00026BC5">
      <w:pPr>
        <w:pStyle w:val="ManualNumPar1"/>
        <w:rPr>
          <w:rFonts w:eastAsia="Calibri"/>
        </w:rPr>
      </w:pPr>
      <w:r w:rsidRPr="00F26674">
        <w:rPr>
          <w:rFonts w:eastAsia="Calibri"/>
        </w:rPr>
        <w:t>2.</w:t>
      </w:r>
      <w:r w:rsidRPr="00F26674">
        <w:rPr>
          <w:rFonts w:eastAsia="Calibri"/>
        </w:rPr>
        <w:tab/>
        <w:t xml:space="preserve">The non-repayable financial support shall be financed for the period from 1 January 2025 to 31 December 2027 from the envelope allocated to the Neighbourhood geographic </w:t>
      </w:r>
      <w:r w:rsidRPr="00F26674">
        <w:rPr>
          <w:rFonts w:eastAsia="Calibri"/>
        </w:rPr>
        <w:lastRenderedPageBreak/>
        <w:t>programme under Article 6(2), point (a), of Regulation (EU) 2021/947. It shall cover provisioning for loans amounting to EUR 135 million, support provided by the Union for projects approved under the Neighbourhood Investment Platform, as referred to in Article 18(2) and complementary support, including support to civil society organisations and technical assistance. That funding shall be implemented in accordance with Regulation (EU) 2021/947.</w:t>
      </w:r>
    </w:p>
    <w:p w14:paraId="44872684" w14:textId="77777777" w:rsidR="00312459" w:rsidRPr="00F26674" w:rsidRDefault="00312459" w:rsidP="00E30703">
      <w:pPr>
        <w:pStyle w:val="Text1"/>
      </w:pPr>
      <w:r w:rsidRPr="00F26674">
        <w:t>Decisions on the release of funds referred to in Article 19(3) for the support in the form of loans shall be adopted in the period from 1 January 2025 to 30 June 2029.</w:t>
      </w:r>
    </w:p>
    <w:p w14:paraId="0FDD6B60" w14:textId="4CA0B4CF" w:rsidR="00312459" w:rsidRPr="00F26674" w:rsidRDefault="00312459" w:rsidP="00D119C5">
      <w:pPr>
        <w:pStyle w:val="ManualNumPar1"/>
        <w:ind w:left="0" w:firstLine="0"/>
        <w:rPr>
          <w:rFonts w:eastAsia="Calibri"/>
        </w:rPr>
      </w:pPr>
      <w:r w:rsidRPr="00F26674">
        <w:rPr>
          <w:rFonts w:eastAsia="Calibri"/>
        </w:rPr>
        <w:t>3.</w:t>
      </w:r>
      <w:r w:rsidRPr="00F26674">
        <w:rPr>
          <w:rFonts w:eastAsia="Calibri"/>
        </w:rPr>
        <w:tab/>
        <w:t xml:space="preserve">The release of the Union’s assistance shall be managed by the Commission in a manner consistent with the key principles and objectives of reforms set out in the Reform Agenda. All funds, </w:t>
      </w:r>
      <w:proofErr w:type="gramStart"/>
      <w:r w:rsidRPr="00026BC5">
        <w:t>with</w:t>
      </w:r>
      <w:r w:rsidRPr="00F26674">
        <w:rPr>
          <w:rFonts w:eastAsia="Calibri"/>
        </w:rPr>
        <w:t xml:space="preserve"> the exception of</w:t>
      </w:r>
      <w:proofErr w:type="gramEnd"/>
      <w:r w:rsidRPr="00F26674">
        <w:rPr>
          <w:rFonts w:eastAsia="Calibri"/>
        </w:rPr>
        <w:t xml:space="preserve"> complementary support referred to in paragraph 2, and resources referred to in paragraph 6, shall be provided in twice-yearly instalments based on the completion of the necessary reforms in the specified timelines as agreed in the Reform Agenda and agreed in the Commission implementing decision.</w:t>
      </w:r>
    </w:p>
    <w:p w14:paraId="3C6CF80C" w14:textId="77777777" w:rsidR="00312459" w:rsidRPr="00F26674" w:rsidRDefault="00312459" w:rsidP="00026BC5">
      <w:pPr>
        <w:pStyle w:val="ManualNumPar1"/>
        <w:rPr>
          <w:rFonts w:eastAsia="Calibri"/>
        </w:rPr>
      </w:pPr>
      <w:r w:rsidRPr="00F26674">
        <w:rPr>
          <w:rFonts w:eastAsia="Calibri"/>
        </w:rPr>
        <w:t>4.</w:t>
      </w:r>
      <w:r w:rsidRPr="00F26674">
        <w:rPr>
          <w:rFonts w:eastAsia="Calibri"/>
        </w:rPr>
        <w:tab/>
        <w:t xml:space="preserve">At least 25 % of the loan released to Moldova shall be made available by Moldova to investment projects approved under the Neighbourhood Investment Platform, one of the regional investment platforms referred to in Article 32 of Regulation (EU) 2021/947. The Facility Agreement shall detail this obligation, as well as the detailed rules and principles for its </w:t>
      </w:r>
      <w:r w:rsidRPr="00026BC5">
        <w:t>implementation</w:t>
      </w:r>
      <w:r w:rsidRPr="00F26674">
        <w:rPr>
          <w:rFonts w:eastAsia="Calibri"/>
        </w:rPr>
        <w:t>. Failure to comply with this obligation shall trigger suspension of further operations under the Facility and recovery of said amounts from Moldova, as referred to in Article 19 of this Regulation.</w:t>
      </w:r>
    </w:p>
    <w:p w14:paraId="3B74CAB6" w14:textId="77777777" w:rsidR="00312459" w:rsidRPr="00F26674" w:rsidRDefault="00312459" w:rsidP="00026BC5">
      <w:pPr>
        <w:pStyle w:val="ManualNumPar1"/>
        <w:rPr>
          <w:rFonts w:eastAsia="Calibri"/>
        </w:rPr>
      </w:pPr>
      <w:r w:rsidRPr="00F26674">
        <w:rPr>
          <w:rFonts w:eastAsia="Calibri"/>
        </w:rPr>
        <w:t>5.</w:t>
      </w:r>
      <w:r w:rsidRPr="00F26674">
        <w:rPr>
          <w:rFonts w:eastAsia="Calibri"/>
        </w:rPr>
        <w:tab/>
        <w:t xml:space="preserve">Complementary support shall correspond to at least 20 % of total non-repayable financial </w:t>
      </w:r>
      <w:r w:rsidRPr="00026BC5">
        <w:t>support</w:t>
      </w:r>
      <w:r w:rsidRPr="00F26674">
        <w:rPr>
          <w:rFonts w:eastAsia="Calibri"/>
        </w:rPr>
        <w:t xml:space="preserve"> as referred to in paragraph 2.</w:t>
      </w:r>
    </w:p>
    <w:p w14:paraId="0A91869B" w14:textId="17531482" w:rsidR="00D119C5" w:rsidRDefault="00A202D3" w:rsidP="00D119C5">
      <w:pPr>
        <w:pStyle w:val="ManualNumPar1"/>
        <w:rPr>
          <w:i/>
        </w:rPr>
      </w:pPr>
      <w:r w:rsidRPr="00F26674">
        <w:rPr>
          <w:rFonts w:eastAsia="Calibri"/>
        </w:rPr>
        <w:br w:type="page"/>
      </w:r>
    </w:p>
    <w:p w14:paraId="63CA3711" w14:textId="44732BB2" w:rsidR="00C41049" w:rsidRDefault="00C41049">
      <w:pPr>
        <w:spacing w:before="0" w:after="160" w:line="259" w:lineRule="auto"/>
        <w:rPr>
          <w:i/>
        </w:rPr>
      </w:pPr>
    </w:p>
    <w:p w14:paraId="2FF3B86B" w14:textId="13B00C07" w:rsidR="00312459" w:rsidRPr="00F26674" w:rsidRDefault="00312459" w:rsidP="00F26674">
      <w:pPr>
        <w:pStyle w:val="Titrearticle"/>
      </w:pPr>
      <w:r w:rsidRPr="00F26674">
        <w:t>Article 30</w:t>
      </w:r>
      <w:r w:rsidRPr="00F26674">
        <w:br/>
        <w:t>Entry into force</w:t>
      </w:r>
    </w:p>
    <w:p w14:paraId="33F6A44F" w14:textId="77777777" w:rsidR="00312459" w:rsidRPr="00F26674" w:rsidRDefault="00312459" w:rsidP="00312459">
      <w:pPr>
        <w:rPr>
          <w:rFonts w:eastAsia="Calibri"/>
        </w:rPr>
      </w:pPr>
      <w:r w:rsidRPr="00F26674">
        <w:rPr>
          <w:rFonts w:eastAsia="Calibri"/>
        </w:rPr>
        <w:t xml:space="preserve">This Regulation shall enter into force on the day following that of its publication in the </w:t>
      </w:r>
      <w:r w:rsidRPr="00F26674">
        <w:rPr>
          <w:rFonts w:eastAsia="Calibri"/>
          <w:i/>
          <w:iCs/>
        </w:rPr>
        <w:t>Official Journal of the European Union</w:t>
      </w:r>
      <w:r w:rsidRPr="00F26674">
        <w:rPr>
          <w:rFonts w:eastAsia="Calibri"/>
        </w:rPr>
        <w:t>.</w:t>
      </w:r>
    </w:p>
    <w:p w14:paraId="180A3076" w14:textId="77777777" w:rsidR="00312459" w:rsidRPr="00F26674" w:rsidRDefault="00312459" w:rsidP="00026BC5">
      <w:pPr>
        <w:pStyle w:val="Applicationdirecte"/>
      </w:pPr>
      <w:r w:rsidRPr="00F26674">
        <w:t>This Regulation shall be binding in its entirety and directly applicable in all Member States.</w:t>
      </w:r>
    </w:p>
    <w:p w14:paraId="59F1D676" w14:textId="4E8EE065" w:rsidR="00312459" w:rsidRPr="00F26674" w:rsidRDefault="00312459" w:rsidP="00026BC5">
      <w:pPr>
        <w:pStyle w:val="Fait"/>
      </w:pPr>
      <w:r w:rsidRPr="00F26674">
        <w:t xml:space="preserve">Done at </w:t>
      </w:r>
      <w:r w:rsidR="00B879FF">
        <w:t>Brussels</w:t>
      </w:r>
      <w:r w:rsidRPr="00F26674">
        <w:t>,</w:t>
      </w:r>
      <w:r w:rsidR="003829BF">
        <w:t xml:space="preserve"> </w:t>
      </w:r>
      <w:r w:rsidR="003829BF" w:rsidRPr="003829BF">
        <w:t>18 March 2025</w:t>
      </w:r>
      <w:r w:rsidR="003829BF">
        <w:t>.</w:t>
      </w:r>
    </w:p>
    <w:bookmarkEnd w:id="0"/>
    <w:bookmarkEnd w:id="3"/>
    <w:p w14:paraId="38285279" w14:textId="70C94AD6" w:rsidR="00810C92" w:rsidRDefault="00810C92">
      <w:pPr>
        <w:spacing w:before="0" w:after="160" w:line="259" w:lineRule="auto"/>
        <w:rPr>
          <w:iCs/>
        </w:rPr>
      </w:pPr>
      <w:r>
        <w:rPr>
          <w:i/>
          <w:iCs/>
        </w:rPr>
        <w:br w:type="page"/>
      </w:r>
    </w:p>
    <w:p w14:paraId="2DFEC92A" w14:textId="77777777" w:rsidR="00810C92" w:rsidRPr="004E11C5" w:rsidRDefault="00810C92" w:rsidP="00810C92">
      <w:pPr>
        <w:pStyle w:val="Personnequisigne"/>
        <w:rPr>
          <w:b/>
          <w:bCs/>
          <w:i w:val="0"/>
          <w:iCs/>
        </w:rPr>
      </w:pPr>
      <w:r w:rsidRPr="004E11C5">
        <w:rPr>
          <w:b/>
          <w:bCs/>
          <w:i w:val="0"/>
          <w:iCs/>
        </w:rPr>
        <w:lastRenderedPageBreak/>
        <w:t>The action before the General Court and the judgment under appeal</w:t>
      </w:r>
    </w:p>
    <w:p w14:paraId="22781831" w14:textId="77777777" w:rsidR="00810C92" w:rsidRPr="004E11C5" w:rsidRDefault="00810C92" w:rsidP="00810C92">
      <w:pPr>
        <w:pStyle w:val="Personnequisigne"/>
        <w:rPr>
          <w:i w:val="0"/>
          <w:iCs/>
        </w:rPr>
      </w:pPr>
    </w:p>
    <w:p w14:paraId="7444D1A9" w14:textId="1F692C41" w:rsidR="00810C92" w:rsidRPr="004E11C5" w:rsidRDefault="00810C92" w:rsidP="00810C92">
      <w:pPr>
        <w:pStyle w:val="Personnequisigne"/>
        <w:rPr>
          <w:i w:val="0"/>
          <w:iCs/>
        </w:rPr>
      </w:pPr>
      <w:r w:rsidRPr="004E11C5">
        <w:rPr>
          <w:i w:val="0"/>
          <w:iCs/>
        </w:rPr>
        <w:t>28      By application lodged at the Registry of the General Court on 20 Ju</w:t>
      </w:r>
      <w:r w:rsidR="0028762D" w:rsidRPr="0028762D">
        <w:rPr>
          <w:i w:val="0"/>
          <w:iCs/>
          <w:highlight w:val="yellow"/>
        </w:rPr>
        <w:t>ly</w:t>
      </w:r>
      <w:r w:rsidRPr="004E11C5">
        <w:rPr>
          <w:i w:val="0"/>
          <w:iCs/>
        </w:rPr>
        <w:t xml:space="preserve"> 2019, the Parliament brought an action under Article 272 TFEU, by which it requested the General Court:</w:t>
      </w:r>
    </w:p>
    <w:p w14:paraId="0F2C33A3" w14:textId="77777777" w:rsidR="00810C92" w:rsidRPr="004E11C5" w:rsidRDefault="00810C92" w:rsidP="00810C92">
      <w:pPr>
        <w:pStyle w:val="Personnequisigne"/>
        <w:rPr>
          <w:i w:val="0"/>
          <w:iCs/>
        </w:rPr>
      </w:pPr>
    </w:p>
    <w:p w14:paraId="2DC5B5C7" w14:textId="77777777" w:rsidR="00810C92" w:rsidRPr="004E11C5" w:rsidRDefault="00810C92" w:rsidP="00810C92">
      <w:pPr>
        <w:pStyle w:val="Personnequisigne"/>
        <w:rPr>
          <w:i w:val="0"/>
          <w:iCs/>
        </w:rPr>
      </w:pPr>
      <w:r w:rsidRPr="004E11C5">
        <w:rPr>
          <w:i w:val="0"/>
          <w:iCs/>
        </w:rPr>
        <w:t xml:space="preserve">–        to find that the water damage caused at the KAD building construction site when heavy rainfall occurred on 27 and 30 May 2016 falls within the scope of the CAR </w:t>
      </w:r>
      <w:proofErr w:type="gramStart"/>
      <w:r w:rsidRPr="004E11C5">
        <w:rPr>
          <w:i w:val="0"/>
          <w:iCs/>
        </w:rPr>
        <w:t>contract;</w:t>
      </w:r>
      <w:proofErr w:type="gramEnd"/>
    </w:p>
    <w:p w14:paraId="14DB6AAA" w14:textId="77777777" w:rsidR="00810C92" w:rsidRPr="004E11C5" w:rsidRDefault="00810C92" w:rsidP="00810C92">
      <w:pPr>
        <w:pStyle w:val="Personnequisigne"/>
        <w:rPr>
          <w:i w:val="0"/>
          <w:iCs/>
        </w:rPr>
      </w:pPr>
      <w:r w:rsidRPr="004E11C5">
        <w:rPr>
          <w:i w:val="0"/>
          <w:iCs/>
        </w:rPr>
        <w:t>–        accordingly, to order the defendants at first instance to pay it the expenses claimed</w:t>
      </w:r>
      <w:proofErr w:type="gramStart"/>
      <w:r w:rsidRPr="004E11C5">
        <w:rPr>
          <w:i w:val="0"/>
          <w:iCs/>
        </w:rPr>
        <w:t>, that is to say, EUR 779 902.87</w:t>
      </w:r>
      <w:proofErr w:type="gramEnd"/>
      <w:r w:rsidRPr="004E11C5">
        <w:rPr>
          <w:i w:val="0"/>
          <w:iCs/>
        </w:rPr>
        <w:t>, and in particular:</w:t>
      </w:r>
    </w:p>
    <w:p w14:paraId="4097A74B" w14:textId="77777777" w:rsidR="00810C92" w:rsidRPr="004E11C5" w:rsidRDefault="00810C92" w:rsidP="00810C92">
      <w:pPr>
        <w:pStyle w:val="Personnequisigne"/>
        <w:rPr>
          <w:i w:val="0"/>
          <w:iCs/>
        </w:rPr>
      </w:pPr>
      <w:r w:rsidRPr="004E11C5">
        <w:rPr>
          <w:i w:val="0"/>
          <w:iCs/>
        </w:rPr>
        <w:t xml:space="preserve">–        to order AXA Assurance Luxembourg to pay 50%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389 951.44;</w:t>
      </w:r>
      <w:proofErr w:type="gramEnd"/>
    </w:p>
    <w:p w14:paraId="14F9B02E" w14:textId="77777777" w:rsidR="00810C92" w:rsidRPr="004E11C5" w:rsidRDefault="00810C92" w:rsidP="00810C92">
      <w:pPr>
        <w:pStyle w:val="Personnequisigne"/>
        <w:rPr>
          <w:i w:val="0"/>
          <w:iCs/>
        </w:rPr>
      </w:pPr>
      <w:r w:rsidRPr="004E11C5">
        <w:rPr>
          <w:i w:val="0"/>
          <w:iCs/>
        </w:rPr>
        <w:t xml:space="preserve">–        to order </w:t>
      </w:r>
      <w:proofErr w:type="spellStart"/>
      <w:r w:rsidRPr="004E11C5">
        <w:rPr>
          <w:i w:val="0"/>
          <w:iCs/>
        </w:rPr>
        <w:t>Bâloise</w:t>
      </w:r>
      <w:proofErr w:type="spellEnd"/>
      <w:r w:rsidRPr="004E11C5">
        <w:rPr>
          <w:i w:val="0"/>
          <w:iCs/>
        </w:rPr>
        <w:t xml:space="preserve"> Assurances Luxembourg to pay 20%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155 980.57;</w:t>
      </w:r>
      <w:proofErr w:type="gramEnd"/>
    </w:p>
    <w:p w14:paraId="49E89693" w14:textId="77777777" w:rsidR="00810C92" w:rsidRPr="004E11C5" w:rsidRDefault="00810C92" w:rsidP="00810C92">
      <w:pPr>
        <w:pStyle w:val="Personnequisigne"/>
        <w:rPr>
          <w:i w:val="0"/>
          <w:iCs/>
        </w:rPr>
      </w:pPr>
      <w:r w:rsidRPr="004E11C5">
        <w:rPr>
          <w:i w:val="0"/>
          <w:iCs/>
        </w:rPr>
        <w:t xml:space="preserve">–        to order La </w:t>
      </w:r>
      <w:proofErr w:type="spellStart"/>
      <w:r w:rsidRPr="004E11C5">
        <w:rPr>
          <w:i w:val="0"/>
          <w:iCs/>
        </w:rPr>
        <w:t>Luxembourgeoise</w:t>
      </w:r>
      <w:proofErr w:type="spellEnd"/>
      <w:r w:rsidRPr="004E11C5">
        <w:rPr>
          <w:i w:val="0"/>
          <w:iCs/>
        </w:rPr>
        <w:t xml:space="preserve"> to pay 20%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155 980.57;</w:t>
      </w:r>
      <w:proofErr w:type="gramEnd"/>
    </w:p>
    <w:p w14:paraId="7AE55247" w14:textId="77777777" w:rsidR="00810C92" w:rsidRPr="004E11C5" w:rsidRDefault="00810C92" w:rsidP="00810C92">
      <w:pPr>
        <w:pStyle w:val="Personnequisigne"/>
        <w:rPr>
          <w:i w:val="0"/>
          <w:iCs/>
        </w:rPr>
      </w:pPr>
      <w:r w:rsidRPr="004E11C5">
        <w:rPr>
          <w:i w:val="0"/>
          <w:iCs/>
        </w:rPr>
        <w:t xml:space="preserve">–        to order NN to pay 10%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77 990.29;</w:t>
      </w:r>
      <w:proofErr w:type="gramEnd"/>
    </w:p>
    <w:p w14:paraId="4A925591" w14:textId="77777777" w:rsidR="00810C92" w:rsidRPr="004E11C5" w:rsidRDefault="00810C92" w:rsidP="00810C92">
      <w:pPr>
        <w:pStyle w:val="Personnequisigne"/>
        <w:rPr>
          <w:i w:val="0"/>
          <w:iCs/>
        </w:rPr>
      </w:pPr>
      <w:r w:rsidRPr="004E11C5">
        <w:rPr>
          <w:i w:val="0"/>
          <w:iCs/>
        </w:rPr>
        <w:t xml:space="preserve">–        to order the defendants at first instance to pay it statutory interest for late payment on those amounts, from 22 December 2017, at a rate which is the sum of the interest rate applied by the European Central Bank (ECB) to its main refinancing operations and eight percentage </w:t>
      </w:r>
      <w:proofErr w:type="gramStart"/>
      <w:r w:rsidRPr="004E11C5">
        <w:rPr>
          <w:i w:val="0"/>
          <w:iCs/>
        </w:rPr>
        <w:t>points;</w:t>
      </w:r>
      <w:proofErr w:type="gramEnd"/>
    </w:p>
    <w:p w14:paraId="6AE98B8B" w14:textId="69914296" w:rsidR="00810C92" w:rsidRPr="004E11C5" w:rsidRDefault="00810C92" w:rsidP="00810C92">
      <w:pPr>
        <w:pStyle w:val="Personnequisigne"/>
        <w:rPr>
          <w:i w:val="0"/>
          <w:iCs/>
        </w:rPr>
      </w:pPr>
      <w:r w:rsidRPr="004E11C5">
        <w:rPr>
          <w:i w:val="0"/>
          <w:iCs/>
        </w:rPr>
        <w:t xml:space="preserve">–        in the alternative, should the first and second claims not be upheld, to order the defendants at first instance jointly and severally to pay for the loss caused by failure to fulfil the obligations under Article I.13.2 of the CAR contract, that is to say, </w:t>
      </w:r>
      <w:proofErr w:type="gramStart"/>
      <w:r w:rsidRPr="004E11C5">
        <w:rPr>
          <w:i w:val="0"/>
          <w:iCs/>
        </w:rPr>
        <w:t>EUR 779 902.</w:t>
      </w:r>
      <w:r w:rsidR="0028762D" w:rsidRPr="0028762D">
        <w:rPr>
          <w:i w:val="0"/>
          <w:iCs/>
          <w:highlight w:val="yellow"/>
        </w:rPr>
        <w:t>9</w:t>
      </w:r>
      <w:r w:rsidRPr="004E11C5">
        <w:rPr>
          <w:i w:val="0"/>
          <w:iCs/>
        </w:rPr>
        <w:t>7;</w:t>
      </w:r>
      <w:proofErr w:type="gramEnd"/>
    </w:p>
    <w:p w14:paraId="1C9B349B" w14:textId="77777777" w:rsidR="00810C92" w:rsidRPr="004E11C5" w:rsidRDefault="00810C92" w:rsidP="00810C92">
      <w:pPr>
        <w:pStyle w:val="Personnequisigne"/>
        <w:rPr>
          <w:i w:val="0"/>
          <w:iCs/>
        </w:rPr>
      </w:pPr>
      <w:r w:rsidRPr="004E11C5">
        <w:rPr>
          <w:i w:val="0"/>
          <w:iCs/>
        </w:rPr>
        <w:t>–        to order the defendants at first instance to pay it the costs of the expert reports</w:t>
      </w:r>
      <w:proofErr w:type="gramStart"/>
      <w:r w:rsidRPr="004E11C5">
        <w:rPr>
          <w:i w:val="0"/>
          <w:iCs/>
        </w:rPr>
        <w:t>, that is to say, EUR 16 636</w:t>
      </w:r>
      <w:proofErr w:type="gramEnd"/>
      <w:r w:rsidRPr="004E11C5">
        <w:rPr>
          <w:i w:val="0"/>
          <w:iCs/>
        </w:rPr>
        <w:t>, and specifically:</w:t>
      </w:r>
    </w:p>
    <w:p w14:paraId="093DE160" w14:textId="3B0C9E8B" w:rsidR="00810C92" w:rsidRPr="004E11C5" w:rsidRDefault="00810C92" w:rsidP="00810C92">
      <w:pPr>
        <w:pStyle w:val="Personnequisigne"/>
        <w:rPr>
          <w:i w:val="0"/>
          <w:iCs/>
        </w:rPr>
      </w:pPr>
      <w:r w:rsidRPr="004E11C5">
        <w:rPr>
          <w:i w:val="0"/>
          <w:iCs/>
        </w:rPr>
        <w:t xml:space="preserve">–        to order AXA Assurance Luxembourg to pay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8 318;</w:t>
      </w:r>
      <w:proofErr w:type="gramEnd"/>
    </w:p>
    <w:p w14:paraId="25FBC2CB" w14:textId="77777777" w:rsidR="00810C92" w:rsidRPr="004E11C5" w:rsidRDefault="00810C92" w:rsidP="00810C92">
      <w:pPr>
        <w:pStyle w:val="Personnequisigne"/>
        <w:rPr>
          <w:i w:val="0"/>
          <w:iCs/>
        </w:rPr>
      </w:pPr>
      <w:r w:rsidRPr="004E11C5">
        <w:rPr>
          <w:i w:val="0"/>
          <w:iCs/>
        </w:rPr>
        <w:t xml:space="preserve">–        to order </w:t>
      </w:r>
      <w:proofErr w:type="spellStart"/>
      <w:r w:rsidRPr="004E11C5">
        <w:rPr>
          <w:i w:val="0"/>
          <w:iCs/>
        </w:rPr>
        <w:t>Bâloise</w:t>
      </w:r>
      <w:proofErr w:type="spellEnd"/>
      <w:r w:rsidRPr="004E11C5">
        <w:rPr>
          <w:i w:val="0"/>
          <w:iCs/>
        </w:rPr>
        <w:t xml:space="preserve"> Assurances Luxembourg to pay 20%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3 327.20;</w:t>
      </w:r>
      <w:proofErr w:type="gramEnd"/>
    </w:p>
    <w:p w14:paraId="466CB1F3" w14:textId="77777777" w:rsidR="00810C92" w:rsidRPr="004E11C5" w:rsidRDefault="00810C92" w:rsidP="00810C92">
      <w:pPr>
        <w:pStyle w:val="Personnequisigne"/>
        <w:rPr>
          <w:i w:val="0"/>
          <w:iCs/>
        </w:rPr>
      </w:pPr>
      <w:r w:rsidRPr="004E11C5">
        <w:rPr>
          <w:i w:val="0"/>
          <w:iCs/>
        </w:rPr>
        <w:t xml:space="preserve">–        to order La </w:t>
      </w:r>
      <w:proofErr w:type="spellStart"/>
      <w:r w:rsidRPr="004E11C5">
        <w:rPr>
          <w:i w:val="0"/>
          <w:iCs/>
        </w:rPr>
        <w:t>Luxembourgeoise</w:t>
      </w:r>
      <w:proofErr w:type="spellEnd"/>
      <w:r w:rsidRPr="004E11C5">
        <w:rPr>
          <w:i w:val="0"/>
          <w:iCs/>
        </w:rPr>
        <w:t xml:space="preserve"> to pay 20%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3 327.20;</w:t>
      </w:r>
      <w:proofErr w:type="gramEnd"/>
    </w:p>
    <w:p w14:paraId="52F386B3" w14:textId="77777777" w:rsidR="00810C92" w:rsidRPr="004E11C5" w:rsidRDefault="00810C92" w:rsidP="00810C92">
      <w:pPr>
        <w:pStyle w:val="Personnequisigne"/>
        <w:rPr>
          <w:i w:val="0"/>
          <w:iCs/>
        </w:rPr>
      </w:pPr>
      <w:r w:rsidRPr="004E11C5">
        <w:rPr>
          <w:i w:val="0"/>
          <w:iCs/>
        </w:rPr>
        <w:t xml:space="preserve">–        to order NN to pay 10%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1 663.60;</w:t>
      </w:r>
      <w:proofErr w:type="gramEnd"/>
    </w:p>
    <w:p w14:paraId="63836F8B" w14:textId="77777777" w:rsidR="00810C92" w:rsidRPr="004E11C5" w:rsidRDefault="00810C92" w:rsidP="00810C92">
      <w:pPr>
        <w:pStyle w:val="Personnequisigne"/>
        <w:rPr>
          <w:i w:val="0"/>
          <w:iCs/>
        </w:rPr>
      </w:pPr>
      <w:r w:rsidRPr="004E11C5">
        <w:rPr>
          <w:i w:val="0"/>
          <w:iCs/>
        </w:rPr>
        <w:t>–        to order the defendants at first instance to pay it statutory interest for late payment on those amounts, from 22 December 2017, at a rate which is the sum of the interest rate applied by the ECB to its main refinancing operations and eight percentage points; and</w:t>
      </w:r>
    </w:p>
    <w:p w14:paraId="445B24A0" w14:textId="77777777" w:rsidR="00810C92" w:rsidRPr="004E11C5" w:rsidRDefault="00810C92" w:rsidP="00810C92">
      <w:pPr>
        <w:pStyle w:val="Personnequisigne"/>
        <w:rPr>
          <w:i w:val="0"/>
          <w:iCs/>
        </w:rPr>
      </w:pPr>
      <w:r w:rsidRPr="004E11C5">
        <w:rPr>
          <w:i w:val="0"/>
          <w:iCs/>
        </w:rPr>
        <w:t>–        to order the defendants at first instance to pay the costs.</w:t>
      </w:r>
    </w:p>
    <w:p w14:paraId="7798F500" w14:textId="77777777" w:rsidR="00810C92" w:rsidRPr="004E11C5" w:rsidRDefault="00810C92" w:rsidP="00810C92">
      <w:pPr>
        <w:spacing w:before="0" w:after="240" w:line="240" w:lineRule="auto"/>
        <w:ind w:left="567"/>
        <w:jc w:val="both"/>
        <w:rPr>
          <w:rFonts w:ascii="Times" w:eastAsia="Times New Roman" w:hAnsi="Times"/>
          <w:color w:val="000000"/>
          <w:sz w:val="27"/>
          <w:szCs w:val="27"/>
          <w:lang w:eastAsia="en-GB"/>
        </w:rPr>
      </w:pPr>
      <w:r w:rsidRPr="004E11C5">
        <w:rPr>
          <w:rFonts w:ascii="Times" w:eastAsia="Times New Roman" w:hAnsi="Times"/>
          <w:color w:val="000000"/>
          <w:sz w:val="27"/>
          <w:szCs w:val="27"/>
          <w:lang w:eastAsia="en-GB"/>
        </w:rPr>
        <w:lastRenderedPageBreak/>
        <w:t> </w:t>
      </w:r>
      <w:r w:rsidRPr="004E11C5">
        <w:rPr>
          <w:rFonts w:ascii="Times" w:eastAsia="Times New Roman" w:hAnsi="Times"/>
          <w:i/>
          <w:iCs/>
          <w:color w:val="000000"/>
          <w:sz w:val="27"/>
          <w:szCs w:val="27"/>
          <w:lang w:eastAsia="en-GB"/>
        </w:rPr>
        <w:t>Arguments of the parties</w:t>
      </w:r>
    </w:p>
    <w:p w14:paraId="41FBE9E6" w14:textId="2F4EACA4" w:rsidR="00810C92" w:rsidRPr="004E11C5" w:rsidRDefault="00810C92" w:rsidP="00810C92">
      <w:pPr>
        <w:spacing w:before="100" w:beforeAutospacing="1" w:after="240" w:line="240" w:lineRule="auto"/>
        <w:ind w:left="567" w:hanging="539"/>
        <w:jc w:val="both"/>
        <w:rPr>
          <w:rFonts w:ascii="Times" w:eastAsia="Times New Roman" w:hAnsi="Times"/>
          <w:color w:val="000000"/>
          <w:sz w:val="27"/>
          <w:szCs w:val="27"/>
          <w:lang w:eastAsia="en-GB"/>
        </w:rPr>
      </w:pPr>
      <w:bookmarkStart w:id="12" w:name="point42"/>
      <w:r w:rsidRPr="004E11C5">
        <w:rPr>
          <w:rFonts w:ascii="Times" w:eastAsia="Times New Roman" w:hAnsi="Times"/>
          <w:color w:val="000000"/>
          <w:sz w:val="27"/>
          <w:szCs w:val="27"/>
          <w:lang w:eastAsia="en-GB"/>
        </w:rPr>
        <w:t>42</w:t>
      </w:r>
      <w:bookmarkEnd w:id="12"/>
      <w:r w:rsidRPr="004E11C5">
        <w:rPr>
          <w:rFonts w:ascii="Times" w:eastAsia="Times New Roman" w:hAnsi="Times"/>
          <w:color w:val="000000"/>
          <w:sz w:val="27"/>
          <w:szCs w:val="27"/>
          <w:lang w:eastAsia="en-GB"/>
        </w:rPr>
        <w:t>      According to the Parliament, the judgment of 18 January 2024, </w:t>
      </w:r>
      <w:r w:rsidRPr="004E11C5">
        <w:rPr>
          <w:rFonts w:ascii="Times" w:eastAsia="Times New Roman" w:hAnsi="Times"/>
          <w:i/>
          <w:iCs/>
          <w:color w:val="000000"/>
          <w:sz w:val="27"/>
          <w:szCs w:val="27"/>
          <w:lang w:eastAsia="en-GB"/>
        </w:rPr>
        <w:t>Eulex Kosovo</w:t>
      </w:r>
      <w:r w:rsidRPr="004E11C5">
        <w:rPr>
          <w:rFonts w:ascii="Times" w:eastAsia="Times New Roman" w:hAnsi="Times"/>
          <w:color w:val="000000"/>
          <w:sz w:val="27"/>
          <w:szCs w:val="27"/>
          <w:lang w:eastAsia="en-GB"/>
        </w:rPr>
        <w:t> v </w:t>
      </w:r>
      <w:r w:rsidRPr="004E11C5">
        <w:rPr>
          <w:rFonts w:ascii="Times" w:eastAsia="Times New Roman" w:hAnsi="Times"/>
          <w:i/>
          <w:iCs/>
          <w:color w:val="000000"/>
          <w:sz w:val="27"/>
          <w:szCs w:val="27"/>
          <w:lang w:eastAsia="en-GB"/>
        </w:rPr>
        <w:t>SC </w:t>
      </w:r>
      <w:r w:rsidRPr="004E11C5">
        <w:rPr>
          <w:rFonts w:ascii="Times" w:eastAsia="Times New Roman" w:hAnsi="Times"/>
          <w:color w:val="000000"/>
          <w:sz w:val="27"/>
          <w:szCs w:val="27"/>
          <w:lang w:eastAsia="en-GB"/>
        </w:rPr>
        <w:t>(C</w:t>
      </w:r>
      <w:r w:rsidRPr="004E11C5">
        <w:rPr>
          <w:rFonts w:ascii="Times" w:eastAsia="Times New Roman" w:hAnsi="Times"/>
          <w:color w:val="000000"/>
          <w:sz w:val="27"/>
          <w:szCs w:val="27"/>
          <w:lang w:eastAsia="en-GB"/>
        </w:rPr>
        <w:noBreakHyphen/>
        <w:t>785/22 P, EU:C:2024:52), has no impact on the admissibility of the appeal by which that party is seeking the setting aside of points 2 and 4 of the operative part of the judgment under appeal. </w:t>
      </w:r>
      <w:r w:rsidRPr="004E11C5">
        <w:rPr>
          <w:rFonts w:ascii="Times" w:eastAsia="Times New Roman" w:hAnsi="Times"/>
          <w:i/>
          <w:iCs/>
          <w:color w:val="000000"/>
          <w:sz w:val="27"/>
          <w:szCs w:val="27"/>
          <w:lang w:eastAsia="en-GB"/>
        </w:rPr>
        <w:t> </w:t>
      </w:r>
      <w:r w:rsidRPr="004E11C5">
        <w:rPr>
          <w:rFonts w:ascii="Times" w:eastAsia="Times New Roman" w:hAnsi="Times"/>
          <w:color w:val="000000"/>
          <w:sz w:val="27"/>
          <w:szCs w:val="27"/>
          <w:lang w:eastAsia="en-GB"/>
        </w:rPr>
        <w:t>Whereas in the case that gave rise to the former judgment, the Court was hearing an application to set aside the judgment of the General Court of 19 October 2022, </w:t>
      </w:r>
      <w:r w:rsidRPr="004E11C5">
        <w:rPr>
          <w:rFonts w:ascii="Times" w:eastAsia="Times New Roman" w:hAnsi="Times"/>
          <w:i/>
          <w:iCs/>
          <w:color w:val="000000"/>
          <w:sz w:val="27"/>
          <w:szCs w:val="27"/>
          <w:lang w:eastAsia="en-GB"/>
        </w:rPr>
        <w:t>SC </w:t>
      </w:r>
      <w:r w:rsidRPr="004E11C5">
        <w:rPr>
          <w:rFonts w:ascii="Times" w:eastAsia="Times New Roman" w:hAnsi="Times"/>
          <w:color w:val="000000"/>
          <w:sz w:val="27"/>
          <w:szCs w:val="27"/>
          <w:lang w:eastAsia="en-GB"/>
        </w:rPr>
        <w:t>v </w:t>
      </w:r>
      <w:r w:rsidRPr="004E11C5">
        <w:rPr>
          <w:rFonts w:ascii="Times" w:eastAsia="Times New Roman" w:hAnsi="Times"/>
          <w:i/>
          <w:iCs/>
          <w:color w:val="000000"/>
          <w:sz w:val="27"/>
          <w:szCs w:val="27"/>
          <w:lang w:eastAsia="en-GB"/>
        </w:rPr>
        <w:t>Eulex Kosovo</w:t>
      </w:r>
      <w:r w:rsidRPr="004E11C5">
        <w:rPr>
          <w:rFonts w:ascii="Times" w:eastAsia="Times New Roman" w:hAnsi="Times"/>
          <w:color w:val="000000"/>
          <w:sz w:val="27"/>
          <w:szCs w:val="27"/>
          <w:lang w:eastAsia="en-GB"/>
        </w:rPr>
        <w:t> (T</w:t>
      </w:r>
      <w:r w:rsidRPr="004E11C5">
        <w:rPr>
          <w:rFonts w:ascii="Times" w:eastAsia="Times New Roman" w:hAnsi="Times"/>
          <w:color w:val="000000"/>
          <w:sz w:val="27"/>
          <w:szCs w:val="27"/>
          <w:lang w:eastAsia="en-GB"/>
        </w:rPr>
        <w:noBreakHyphen/>
        <w:t>242/17 RENV, EU:T:2022:63</w:t>
      </w:r>
      <w:r w:rsidR="0028762D" w:rsidRPr="0028762D">
        <w:rPr>
          <w:rFonts w:ascii="Times" w:eastAsia="Times New Roman" w:hAnsi="Times"/>
          <w:color w:val="000000"/>
          <w:sz w:val="27"/>
          <w:szCs w:val="27"/>
          <w:highlight w:val="yellow"/>
          <w:lang w:eastAsia="en-GB"/>
        </w:rPr>
        <w:t>8</w:t>
      </w:r>
      <w:r w:rsidRPr="004E11C5">
        <w:rPr>
          <w:rFonts w:ascii="Times" w:eastAsia="Times New Roman" w:hAnsi="Times"/>
          <w:color w:val="000000"/>
          <w:sz w:val="27"/>
          <w:szCs w:val="27"/>
          <w:lang w:eastAsia="en-GB"/>
        </w:rPr>
        <w:t>), by which the General Court had ruled by default in respect of a single defendant, the judgment under appeal was delivered by default in respect only of one of the four defendants, namely NN. Accordingly, the present appeal, which is directed against those points of the operative part that were delivered after an exchange of arguments, and which cannot be the subject of an application to set aside, is admissible.</w:t>
      </w:r>
    </w:p>
    <w:p w14:paraId="784901C8" w14:textId="6FD28FDB" w:rsidR="00810C92" w:rsidRPr="004E11C5" w:rsidRDefault="00810C92" w:rsidP="00810C92">
      <w:pPr>
        <w:spacing w:before="100" w:beforeAutospacing="1" w:after="240" w:line="240" w:lineRule="auto"/>
        <w:ind w:left="567" w:hanging="539"/>
        <w:jc w:val="both"/>
        <w:rPr>
          <w:rFonts w:ascii="Times" w:eastAsia="Times New Roman" w:hAnsi="Times"/>
          <w:color w:val="000000"/>
          <w:sz w:val="27"/>
          <w:szCs w:val="27"/>
          <w:lang w:eastAsia="en-GB"/>
        </w:rPr>
      </w:pPr>
      <w:bookmarkStart w:id="13" w:name="point43"/>
      <w:r w:rsidRPr="004E11C5">
        <w:rPr>
          <w:rFonts w:ascii="Times" w:eastAsia="Times New Roman" w:hAnsi="Times"/>
          <w:color w:val="000000"/>
          <w:sz w:val="27"/>
          <w:szCs w:val="27"/>
          <w:lang w:eastAsia="en-GB"/>
        </w:rPr>
        <w:t>43</w:t>
      </w:r>
      <w:bookmarkEnd w:id="13"/>
      <w:r w:rsidRPr="004E11C5">
        <w:rPr>
          <w:rFonts w:ascii="Times" w:eastAsia="Times New Roman" w:hAnsi="Times"/>
          <w:color w:val="000000"/>
          <w:sz w:val="27"/>
          <w:szCs w:val="27"/>
          <w:lang w:eastAsia="en-GB"/>
        </w:rPr>
        <w:t>      In the Parliament’s view, it is clear from paragraphs 31, 3</w:t>
      </w:r>
      <w:r w:rsidR="0028762D" w:rsidRPr="0028762D">
        <w:rPr>
          <w:rFonts w:ascii="Times" w:eastAsia="Times New Roman" w:hAnsi="Times"/>
          <w:color w:val="000000"/>
          <w:sz w:val="27"/>
          <w:szCs w:val="27"/>
          <w:highlight w:val="yellow"/>
          <w:lang w:eastAsia="en-GB"/>
        </w:rPr>
        <w:t>4</w:t>
      </w:r>
      <w:r w:rsidRPr="004E11C5">
        <w:rPr>
          <w:rFonts w:ascii="Times" w:eastAsia="Times New Roman" w:hAnsi="Times"/>
          <w:color w:val="000000"/>
          <w:sz w:val="27"/>
          <w:szCs w:val="27"/>
          <w:lang w:eastAsia="en-GB"/>
        </w:rPr>
        <w:t xml:space="preserve"> and 35 of the judgment of 18 January 2024, </w:t>
      </w:r>
      <w:r w:rsidRPr="004E11C5">
        <w:rPr>
          <w:rFonts w:ascii="Times" w:eastAsia="Times New Roman" w:hAnsi="Times"/>
          <w:i/>
          <w:iCs/>
          <w:color w:val="000000"/>
          <w:sz w:val="27"/>
          <w:szCs w:val="27"/>
          <w:lang w:eastAsia="en-GB"/>
        </w:rPr>
        <w:t>Eulex Kosovo</w:t>
      </w:r>
      <w:r w:rsidRPr="004E11C5">
        <w:rPr>
          <w:rFonts w:ascii="Times" w:eastAsia="Times New Roman" w:hAnsi="Times"/>
          <w:color w:val="000000"/>
          <w:sz w:val="27"/>
          <w:szCs w:val="27"/>
          <w:lang w:eastAsia="en-GB"/>
        </w:rPr>
        <w:t> v </w:t>
      </w:r>
      <w:r w:rsidRPr="004E11C5">
        <w:rPr>
          <w:rFonts w:ascii="Times" w:eastAsia="Times New Roman" w:hAnsi="Times"/>
          <w:i/>
          <w:iCs/>
          <w:color w:val="000000"/>
          <w:sz w:val="27"/>
          <w:szCs w:val="27"/>
          <w:lang w:eastAsia="en-GB"/>
        </w:rPr>
        <w:t>SC </w:t>
      </w:r>
      <w:r w:rsidRPr="004E11C5">
        <w:rPr>
          <w:rFonts w:ascii="Times" w:eastAsia="Times New Roman" w:hAnsi="Times"/>
          <w:color w:val="000000"/>
          <w:sz w:val="27"/>
          <w:szCs w:val="27"/>
          <w:lang w:eastAsia="en-GB"/>
        </w:rPr>
        <w:t>(C</w:t>
      </w:r>
      <w:r w:rsidRPr="004E11C5">
        <w:rPr>
          <w:rFonts w:ascii="Times" w:eastAsia="Times New Roman" w:hAnsi="Times"/>
          <w:color w:val="000000"/>
          <w:sz w:val="27"/>
          <w:szCs w:val="27"/>
          <w:lang w:eastAsia="en-GB"/>
        </w:rPr>
        <w:noBreakHyphen/>
        <w:t>785/22 P, EU:C:2024:52), that only those points of the operative part of a judgment that are the subject of an application to set aside lead to the inadmissibility of an appeal seeking to set aside those points, on the ground that, as a result of such an application, that appeal does not relate to a ‘final’ decision within the meaning of Article 56 of the Statute of the Court of Justice of the European Union. The foregoing interpretation is borne out by Article 163 of the Rules of Procedure of the General Court, pursuant to which, where an appeal before the Court of Justice and an application to set aside a judgment given by default concern the same decision of the General Court, the President of the General Court may stay the procedure to set aside until the Court of Justice delivers its ruling on the appeal.</w:t>
      </w:r>
    </w:p>
    <w:p w14:paraId="23D63EB5" w14:textId="77777777" w:rsidR="00810C92" w:rsidRPr="004E11C5" w:rsidRDefault="00810C92" w:rsidP="00810C92">
      <w:pPr>
        <w:spacing w:before="100" w:beforeAutospacing="1" w:after="240" w:line="240" w:lineRule="auto"/>
        <w:ind w:left="567" w:hanging="539"/>
        <w:jc w:val="both"/>
        <w:rPr>
          <w:rFonts w:ascii="Times" w:eastAsia="Times New Roman" w:hAnsi="Times"/>
          <w:color w:val="000000"/>
          <w:sz w:val="27"/>
          <w:szCs w:val="27"/>
          <w:lang w:eastAsia="en-GB"/>
        </w:rPr>
      </w:pPr>
      <w:bookmarkStart w:id="14" w:name="point44"/>
      <w:r w:rsidRPr="004E11C5">
        <w:rPr>
          <w:rFonts w:ascii="Times" w:eastAsia="Times New Roman" w:hAnsi="Times"/>
          <w:color w:val="000000"/>
          <w:sz w:val="27"/>
          <w:szCs w:val="27"/>
          <w:lang w:eastAsia="en-GB"/>
        </w:rPr>
        <w:t>44</w:t>
      </w:r>
      <w:bookmarkEnd w:id="14"/>
      <w:r w:rsidRPr="004E11C5">
        <w:rPr>
          <w:rFonts w:ascii="Times" w:eastAsia="Times New Roman" w:hAnsi="Times"/>
          <w:color w:val="000000"/>
          <w:sz w:val="27"/>
          <w:szCs w:val="27"/>
          <w:lang w:eastAsia="en-GB"/>
        </w:rPr>
        <w:t>      The respondents, for their part, claim that the appeal brought by the Parliament is inadmissible, in accordance with the principles flowing from the judgment of 18 January 2024, </w:t>
      </w:r>
      <w:r w:rsidRPr="004E11C5">
        <w:rPr>
          <w:rFonts w:ascii="Times" w:eastAsia="Times New Roman" w:hAnsi="Times"/>
          <w:i/>
          <w:iCs/>
          <w:color w:val="000000"/>
          <w:sz w:val="27"/>
          <w:szCs w:val="27"/>
          <w:lang w:eastAsia="en-GB"/>
        </w:rPr>
        <w:t>Eulex Kosovo</w:t>
      </w:r>
      <w:r w:rsidRPr="004E11C5">
        <w:rPr>
          <w:rFonts w:ascii="Times" w:eastAsia="Times New Roman" w:hAnsi="Times"/>
          <w:color w:val="000000"/>
          <w:sz w:val="27"/>
          <w:szCs w:val="27"/>
          <w:lang w:eastAsia="en-GB"/>
        </w:rPr>
        <w:t> v </w:t>
      </w:r>
      <w:r w:rsidRPr="004E11C5">
        <w:rPr>
          <w:rFonts w:ascii="Times" w:eastAsia="Times New Roman" w:hAnsi="Times"/>
          <w:i/>
          <w:iCs/>
          <w:color w:val="000000"/>
          <w:sz w:val="27"/>
          <w:szCs w:val="27"/>
          <w:lang w:eastAsia="en-GB"/>
        </w:rPr>
        <w:t>SC </w:t>
      </w:r>
      <w:r w:rsidRPr="004E11C5">
        <w:rPr>
          <w:rFonts w:ascii="Times" w:eastAsia="Times New Roman" w:hAnsi="Times"/>
          <w:color w:val="000000"/>
          <w:sz w:val="27"/>
          <w:szCs w:val="27"/>
          <w:lang w:eastAsia="en-GB"/>
        </w:rPr>
        <w:t>(C</w:t>
      </w:r>
      <w:r w:rsidRPr="004E11C5">
        <w:rPr>
          <w:rFonts w:ascii="Times" w:eastAsia="Times New Roman" w:hAnsi="Times"/>
          <w:color w:val="000000"/>
          <w:sz w:val="27"/>
          <w:szCs w:val="27"/>
          <w:lang w:eastAsia="en-GB"/>
        </w:rPr>
        <w:noBreakHyphen/>
        <w:t>785/22 P, EU:C:2024:52), from which it is apparent that a judgment of the General Court that is the subject of an application to set it aside, and which is therefore not final, may only be the subject of an appeal once the procedure to set aside has been closed.</w:t>
      </w:r>
    </w:p>
    <w:p w14:paraId="6D3072B4" w14:textId="77777777" w:rsidR="00810C92" w:rsidRPr="004E11C5" w:rsidRDefault="00810C92" w:rsidP="00810C92">
      <w:pPr>
        <w:spacing w:before="0" w:after="0" w:line="240" w:lineRule="auto"/>
        <w:rPr>
          <w:rFonts w:eastAsia="Times New Roman"/>
          <w:szCs w:val="24"/>
          <w:lang w:eastAsia="en-GB"/>
        </w:rPr>
      </w:pPr>
    </w:p>
    <w:p w14:paraId="7548F152" w14:textId="77777777" w:rsidR="00784272" w:rsidRPr="00810C92" w:rsidRDefault="00784272" w:rsidP="00B879FF">
      <w:pPr>
        <w:pStyle w:val="Personnequisigne"/>
        <w:rPr>
          <w:i w:val="0"/>
          <w:iCs/>
          <w:lang/>
        </w:rPr>
      </w:pPr>
    </w:p>
    <w:sectPr w:rsidR="00784272" w:rsidRPr="00810C92" w:rsidSect="000F2185">
      <w:headerReference w:type="even" r:id="rId11"/>
      <w:headerReference w:type="default" r:id="rId12"/>
      <w:footerReference w:type="even" r:id="rId13"/>
      <w:headerReference w:type="first" r:id="rId14"/>
      <w:footerReference w:type="first" r:id="rId15"/>
      <w:endnotePr>
        <w:numFmt w:val="decimal"/>
      </w:endnotePr>
      <w:pgSz w:w="11906" w:h="16838" w:code="9"/>
      <w:pgMar w:top="1134" w:right="1134" w:bottom="1134" w:left="1134"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9D813" w14:textId="77777777" w:rsidR="00980A4D" w:rsidRPr="00245855" w:rsidRDefault="00980A4D" w:rsidP="00245855">
      <w:pPr>
        <w:spacing w:before="0" w:after="0"/>
      </w:pPr>
      <w:r w:rsidRPr="00245855">
        <w:separator/>
      </w:r>
    </w:p>
  </w:endnote>
  <w:endnote w:type="continuationSeparator" w:id="0">
    <w:p w14:paraId="6BB2C7B9" w14:textId="77777777" w:rsidR="00980A4D" w:rsidRDefault="00980A4D" w:rsidP="002458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ew Roman">
    <w:altName w:val="Arial"/>
    <w:panose1 w:val="020B0604020202020204"/>
    <w:charset w:val="00"/>
    <w:family w:val="roman"/>
    <w:notTrueType/>
    <w:pitch w:val="default"/>
  </w:font>
  <w:font w:name="Time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C3B7D" w14:textId="6B5CD753" w:rsidR="00B45E27" w:rsidRPr="000F2185" w:rsidRDefault="00B45E27" w:rsidP="000F2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630C8" w14:textId="5B4118AF" w:rsidR="00B45E27" w:rsidRPr="000F2185" w:rsidRDefault="00B45E27" w:rsidP="000F2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A8391" w14:textId="77777777" w:rsidR="00980A4D" w:rsidRPr="00245855" w:rsidRDefault="00980A4D" w:rsidP="00245855">
      <w:pPr>
        <w:spacing w:before="0" w:after="0"/>
      </w:pPr>
      <w:r w:rsidRPr="00245855">
        <w:separator/>
      </w:r>
    </w:p>
  </w:footnote>
  <w:footnote w:type="continuationSeparator" w:id="0">
    <w:p w14:paraId="0841B82B" w14:textId="77777777" w:rsidR="00980A4D" w:rsidRDefault="00980A4D" w:rsidP="00245855">
      <w:pPr>
        <w:spacing w:before="0" w:after="0" w:line="240" w:lineRule="auto"/>
      </w:pPr>
      <w:r>
        <w:continuationSeparator/>
      </w:r>
    </w:p>
  </w:footnote>
  <w:footnote w:id="1">
    <w:p w14:paraId="60E4AF8A" w14:textId="1D7955CE" w:rsidR="00312459" w:rsidRPr="00EE14A8" w:rsidRDefault="00312459" w:rsidP="00344939">
      <w:pPr>
        <w:pStyle w:val="FootnoteText"/>
      </w:pPr>
      <w:r w:rsidRPr="00200E43">
        <w:rPr>
          <w:rStyle w:val="FootnoteReference"/>
          <w:szCs w:val="24"/>
        </w:rPr>
        <w:footnoteRef/>
      </w:r>
      <w:r w:rsidRPr="00200E43">
        <w:rPr>
          <w:szCs w:val="24"/>
        </w:rPr>
        <w:tab/>
        <w:t>Position of the European Parliament of 11 March 2025</w:t>
      </w:r>
      <w:r w:rsidR="00EE14A8">
        <w:rPr>
          <w:szCs w:val="24"/>
        </w:rPr>
        <w:t xml:space="preserve"> </w:t>
      </w:r>
      <w:r w:rsidR="00EE14A8" w:rsidRPr="00040FD5">
        <w:t xml:space="preserve">(not yet published in the </w:t>
      </w:r>
      <w:r w:rsidR="00EE14A8" w:rsidRPr="00C03C2B">
        <w:t>Official Journal</w:t>
      </w:r>
      <w:r w:rsidR="00EE14A8" w:rsidRPr="00040FD5">
        <w:t xml:space="preserve">) and decision of the Council of </w:t>
      </w:r>
      <w:r w:rsidR="00B879FF">
        <w:t>18 March 2025.</w:t>
      </w:r>
    </w:p>
  </w:footnote>
  <w:footnote w:id="2">
    <w:p w14:paraId="6CB716C5" w14:textId="4417B779" w:rsidR="00312459" w:rsidRPr="00B45E27" w:rsidRDefault="00312459" w:rsidP="00CB623A">
      <w:pPr>
        <w:pStyle w:val="FootnoteText"/>
      </w:pPr>
      <w:r w:rsidRPr="00CB623A">
        <w:rPr>
          <w:rStyle w:val="FootnoteReference"/>
        </w:rPr>
        <w:footnoteRef/>
      </w:r>
      <w:r w:rsidR="00CB623A">
        <w:tab/>
      </w:r>
      <w:r w:rsidRPr="00200E43">
        <w:t>Interinstitutional Agreement of 16 December 2020 between the European Parliament, the Council of the European Union and the European Commission on budgetary discipline, on cooperation in budgetary matters and on sound financial management, as well as on new own resources, including a roadmap towards the introduction of new own resources (</w:t>
      </w:r>
      <w:r w:rsidRPr="00B45E27">
        <w:t>OJ L 433 I, 22.12.2020, p. 28, ELI:</w:t>
      </w:r>
      <w:r w:rsidR="00907DF6">
        <w:t> </w:t>
      </w:r>
      <w:r w:rsidR="00907DF6" w:rsidRPr="00907DF6">
        <w:rPr>
          <w:rStyle w:val="Hyperlink1"/>
          <w:color w:val="auto"/>
          <w:szCs w:val="24"/>
          <w:u w:val="none"/>
        </w:rPr>
        <w:t>http://data.europa.eu/eli/agree_interinstit/2020/1222/oj</w:t>
      </w:r>
      <w:r w:rsidRPr="00B45E27">
        <w:t>).</w:t>
      </w:r>
    </w:p>
  </w:footnote>
  <w:footnote w:id="3">
    <w:p w14:paraId="46F1748F" w14:textId="77777777" w:rsidR="00312459" w:rsidRPr="00B45E27" w:rsidRDefault="00312459" w:rsidP="00CB623A">
      <w:pPr>
        <w:pStyle w:val="FootnoteText"/>
        <w:rPr>
          <w:szCs w:val="24"/>
        </w:rPr>
      </w:pPr>
      <w:r w:rsidRPr="00B45E27">
        <w:rPr>
          <w:rStyle w:val="FootnoteReference"/>
          <w:szCs w:val="24"/>
        </w:rPr>
        <w:footnoteRef/>
      </w:r>
      <w:r w:rsidRPr="00B45E27">
        <w:rPr>
          <w:szCs w:val="24"/>
        </w:rPr>
        <w:tab/>
        <w:t xml:space="preserve">Regulation (EU) 2021/947 of the European Parliament and of the Council of 9 June 2021 establishing the Neighbourhood, Development and International Cooperation Instrument – Global Europe, amending and repealing Decision No 466/2014/EU of the European Parliament and of the Council and repealing Regulation (EU) 2017/1601 of the European Parliament and of the Council and Council Regulation (EC, Euratom) No 480/2009 (OJ L 209, 14.6.2021, p. 1, ELI: </w:t>
      </w:r>
      <w:hyperlink r:id="rId1" w:history="1">
        <w:r w:rsidRPr="00B45E27">
          <w:rPr>
            <w:rStyle w:val="Hyperlink1"/>
            <w:color w:val="auto"/>
            <w:szCs w:val="24"/>
            <w:u w:val="none"/>
          </w:rPr>
          <w:t>http://data.europa.eu/eli/reg/2021/947/oj</w:t>
        </w:r>
      </w:hyperlink>
      <w:r w:rsidRPr="00B45E27">
        <w:rPr>
          <w:szCs w:val="24"/>
        </w:rPr>
        <w:t>).</w:t>
      </w:r>
    </w:p>
  </w:footnote>
  <w:footnote w:id="4">
    <w:p w14:paraId="3811687E" w14:textId="77777777" w:rsidR="00312459" w:rsidRPr="00200E43" w:rsidRDefault="00312459" w:rsidP="0070771D">
      <w:pPr>
        <w:pStyle w:val="FootnoteText"/>
        <w:rPr>
          <w:szCs w:val="24"/>
        </w:rPr>
      </w:pPr>
      <w:r w:rsidRPr="00CB623A">
        <w:rPr>
          <w:rStyle w:val="FootnoteReference"/>
        </w:rPr>
        <w:footnoteRef/>
      </w:r>
      <w:r w:rsidR="00CB623A">
        <w:rPr>
          <w:szCs w:val="24"/>
        </w:rPr>
        <w:tab/>
      </w:r>
      <w:r w:rsidRPr="00200E43">
        <w:rPr>
          <w:szCs w:val="24"/>
        </w:rPr>
        <w:t>Regulation (EU, Euratom) 2024/2509 of the European Parliament and of the Council of 23 September 2024 on the financial rules applicable to the general budget of the Union (OJ L, 2024/2509, 26.9.2024, ELI: http://data.europa.eu/eli/reg/2024/2509/oj).</w:t>
      </w:r>
    </w:p>
  </w:footnote>
  <w:footnote w:id="5">
    <w:p w14:paraId="21B21D4A" w14:textId="0CE23EC1" w:rsidR="00312459" w:rsidRPr="00200E43" w:rsidRDefault="00312459" w:rsidP="00CB623A">
      <w:pPr>
        <w:pStyle w:val="FootnoteText"/>
        <w:rPr>
          <w:szCs w:val="24"/>
        </w:rPr>
      </w:pPr>
      <w:r w:rsidRPr="00CB623A">
        <w:rPr>
          <w:rStyle w:val="FootnoteReference"/>
        </w:rPr>
        <w:footnoteRef/>
      </w:r>
      <w:r w:rsidR="00CB623A">
        <w:rPr>
          <w:szCs w:val="24"/>
        </w:rPr>
        <w:tab/>
      </w:r>
      <w:r w:rsidRPr="00200E43">
        <w:rPr>
          <w:szCs w:val="24"/>
        </w:rPr>
        <w:t>Regulation (EU) No 182/2011 of the European Parliament and of the Council of 16 February 2011 laying down the rules and general principles concerning mechanisms for control by Member States of the Commission’s exercise of implementing powers (OJ L 55,</w:t>
      </w:r>
      <w:r w:rsidR="003404D2">
        <w:rPr>
          <w:szCs w:val="24"/>
        </w:rPr>
        <w:t> </w:t>
      </w:r>
      <w:r w:rsidRPr="00200E43">
        <w:rPr>
          <w:szCs w:val="24"/>
        </w:rPr>
        <w:t>28.2.2011, p. 13, ELI: http://data.europa.eu/eli/reg/2011/182/oj).</w:t>
      </w:r>
    </w:p>
  </w:footnote>
  <w:footnote w:id="6">
    <w:p w14:paraId="491A5DA0" w14:textId="0F1C79D5" w:rsidR="00312459" w:rsidRPr="00200E43" w:rsidRDefault="00312459" w:rsidP="00CB623A">
      <w:pPr>
        <w:pStyle w:val="FootnoteText"/>
        <w:rPr>
          <w:szCs w:val="24"/>
        </w:rPr>
      </w:pPr>
      <w:r w:rsidRPr="00CB623A">
        <w:rPr>
          <w:rStyle w:val="FootnoteReference"/>
        </w:rPr>
        <w:footnoteRef/>
      </w:r>
      <w:r w:rsidR="00CB623A">
        <w:rPr>
          <w:szCs w:val="24"/>
        </w:rPr>
        <w:tab/>
      </w:r>
      <w:r w:rsidRPr="00200E43">
        <w:rPr>
          <w:szCs w:val="24"/>
        </w:rPr>
        <w:t>Council Decision 2010/427/EU of 26 July 2010 establishing the organisation and functioning of the European External Action Service (OJ L 201, 3.8.2010, p. 30, ELI:</w:t>
      </w:r>
      <w:r w:rsidR="003404D2">
        <w:rPr>
          <w:szCs w:val="24"/>
        </w:rPr>
        <w:t> </w:t>
      </w:r>
      <w:r w:rsidRPr="00200E43">
        <w:rPr>
          <w:szCs w:val="24"/>
        </w:rPr>
        <w:t>http://data.europa.eu/eli/dec/2010/427/oj).</w:t>
      </w:r>
    </w:p>
  </w:footnote>
  <w:footnote w:id="7">
    <w:p w14:paraId="13869061" w14:textId="77777777" w:rsidR="00312459" w:rsidRPr="00200E43" w:rsidRDefault="00312459" w:rsidP="00CB623A">
      <w:pPr>
        <w:pStyle w:val="FootnoteText"/>
        <w:rPr>
          <w:szCs w:val="24"/>
        </w:rPr>
      </w:pPr>
      <w:r w:rsidRPr="00CB623A">
        <w:rPr>
          <w:rStyle w:val="FootnoteReference"/>
        </w:rPr>
        <w:footnoteRef/>
      </w:r>
      <w:r w:rsidR="00CB623A">
        <w:rPr>
          <w:szCs w:val="24"/>
        </w:rPr>
        <w:tab/>
      </w:r>
      <w:r w:rsidRPr="00200E43">
        <w:rPr>
          <w:szCs w:val="24"/>
        </w:rPr>
        <w:t>Regulation (EU, Euratom) No 883/2013 of the European Parliament and of the Council of 11 September 2013 concerning investigations conducted by the European Anti-Fraud Office (OLAF) and repealing Regulation (EC) No 1073/1999 of the European Parliament and of the Council and Council Regulation (Euratom) No 1074/1999 (OJ L 248, 18.9.2013, p. 1, ELI: http://data.europa.eu/eli/reg/2013/883/oj).</w:t>
      </w:r>
    </w:p>
  </w:footnote>
  <w:footnote w:id="8">
    <w:p w14:paraId="2C5D9721" w14:textId="64273FC7" w:rsidR="00312459" w:rsidRPr="00200E43" w:rsidRDefault="00312459" w:rsidP="00CB623A">
      <w:pPr>
        <w:pStyle w:val="FootnoteText"/>
        <w:rPr>
          <w:szCs w:val="24"/>
        </w:rPr>
      </w:pPr>
      <w:r w:rsidRPr="00CB623A">
        <w:rPr>
          <w:rStyle w:val="FootnoteReference"/>
        </w:rPr>
        <w:footnoteRef/>
      </w:r>
      <w:r w:rsidR="00CB623A">
        <w:rPr>
          <w:szCs w:val="24"/>
        </w:rPr>
        <w:tab/>
      </w:r>
      <w:r w:rsidRPr="00200E43">
        <w:rPr>
          <w:szCs w:val="24"/>
        </w:rPr>
        <w:t>Council Regulation (EC, Euratom) No 2988/95 of 18 December 1995 on the protection of the European Communities financial interests (OJ L 312, 23.12.1995, p. 1, ELI:</w:t>
      </w:r>
      <w:r w:rsidR="003404D2">
        <w:rPr>
          <w:szCs w:val="24"/>
        </w:rPr>
        <w:t> </w:t>
      </w:r>
      <w:r w:rsidRPr="00200E43">
        <w:rPr>
          <w:szCs w:val="24"/>
        </w:rPr>
        <w:t>http://data.europa.eu/eli/reg/1995/2988/oj).</w:t>
      </w:r>
    </w:p>
  </w:footnote>
  <w:footnote w:id="9">
    <w:p w14:paraId="1D7BA82E" w14:textId="5381FF96" w:rsidR="00312459" w:rsidRPr="00200E43" w:rsidRDefault="00312459" w:rsidP="00CB623A">
      <w:pPr>
        <w:pStyle w:val="FootnoteText"/>
        <w:rPr>
          <w:szCs w:val="24"/>
        </w:rPr>
      </w:pPr>
      <w:r w:rsidRPr="00CB623A">
        <w:rPr>
          <w:rStyle w:val="FootnoteReference"/>
        </w:rPr>
        <w:footnoteRef/>
      </w:r>
      <w:r w:rsidR="00CB623A">
        <w:rPr>
          <w:szCs w:val="24"/>
        </w:rPr>
        <w:tab/>
      </w:r>
      <w:r w:rsidRPr="00200E43">
        <w:rPr>
          <w:szCs w:val="24"/>
        </w:rPr>
        <w:t xml:space="preserve">Council Regulation (Euratom, EC) No 2185/96 of 11 November 1996 concerning on-the-spot checks and inspections carried out by the Commission </w:t>
      </w:r>
      <w:proofErr w:type="gramStart"/>
      <w:r w:rsidRPr="00200E43">
        <w:rPr>
          <w:szCs w:val="24"/>
        </w:rPr>
        <w:t>in order to</w:t>
      </w:r>
      <w:proofErr w:type="gramEnd"/>
      <w:r w:rsidRPr="00200E43">
        <w:rPr>
          <w:szCs w:val="24"/>
        </w:rPr>
        <w:t xml:space="preserve"> protect the European Communities</w:t>
      </w:r>
      <w:r w:rsidR="00527E26">
        <w:rPr>
          <w:szCs w:val="24"/>
        </w:rPr>
        <w:t>’</w:t>
      </w:r>
      <w:r w:rsidRPr="00200E43">
        <w:rPr>
          <w:szCs w:val="24"/>
        </w:rPr>
        <w:t xml:space="preserve"> financial interests against fraud and other irregularities (OJ L 292,</w:t>
      </w:r>
      <w:r w:rsidR="003404D2">
        <w:rPr>
          <w:szCs w:val="24"/>
        </w:rPr>
        <w:t> </w:t>
      </w:r>
      <w:r w:rsidRPr="00200E43">
        <w:rPr>
          <w:szCs w:val="24"/>
        </w:rPr>
        <w:t>15.11.1996, p. 2, ELI: http://data.europa.eu/eli/reg/1996/2185/oj).</w:t>
      </w:r>
    </w:p>
  </w:footnote>
  <w:footnote w:id="10">
    <w:p w14:paraId="2BEFA25C" w14:textId="77777777" w:rsidR="00312459" w:rsidRPr="00200E43" w:rsidRDefault="00312459" w:rsidP="00CB623A">
      <w:pPr>
        <w:pStyle w:val="FootnoteText"/>
        <w:rPr>
          <w:szCs w:val="24"/>
        </w:rPr>
      </w:pPr>
      <w:r w:rsidRPr="00CB623A">
        <w:rPr>
          <w:rStyle w:val="FootnoteReference"/>
        </w:rPr>
        <w:footnoteRef/>
      </w:r>
      <w:r w:rsidR="00CB623A">
        <w:rPr>
          <w:szCs w:val="24"/>
        </w:rPr>
        <w:tab/>
      </w:r>
      <w:r w:rsidRPr="00200E43">
        <w:rPr>
          <w:szCs w:val="24"/>
        </w:rPr>
        <w:t>Council Regulation (EU) 2017/1939 of 12 October 2017 implementing enhanced cooperation on the establishment of the European Public Prosecutor’s Office (‘the EPPO’) (OJ L 283, 31.10.2017, p. 1, ELI: http://data.europa.eu/eli/reg/2017/1939/oj).</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73D7B" w14:textId="2000D6E7" w:rsidR="00B45E27" w:rsidRPr="000F2185" w:rsidRDefault="00B45E27" w:rsidP="000F2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E72B8" w14:textId="00CC34EB" w:rsidR="00E30745" w:rsidRPr="000F2185" w:rsidRDefault="00E30745" w:rsidP="000F21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2E634" w14:textId="27526BDD" w:rsidR="00B45E27" w:rsidRPr="000F2185" w:rsidRDefault="00B45E27" w:rsidP="000F2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A75"/>
    <w:multiLevelType w:val="multilevel"/>
    <w:tmpl w:val="12A223CE"/>
    <w:name w:val="Heading"/>
    <w:lvl w:ilvl="0">
      <w:start w:val="1"/>
      <w:numFmt w:val="decimal"/>
      <w:lvlRestart w:val="0"/>
      <w:pStyle w:val="Heading1"/>
      <w:lvlText w:val="%1."/>
      <w:lvlJc w:val="left"/>
      <w:pPr>
        <w:tabs>
          <w:tab w:val="num" w:pos="850"/>
        </w:tabs>
        <w:ind w:left="850" w:hanging="850"/>
      </w:pPr>
      <w:rPr>
        <w:bdr w:val="none" w:sz="0" w:space="0" w:color="auto"/>
      </w:rPr>
    </w:lvl>
    <w:lvl w:ilvl="1">
      <w:start w:val="1"/>
      <w:numFmt w:val="decimal"/>
      <w:pStyle w:val="Heading2"/>
      <w:lvlText w:val="%1.%2."/>
      <w:lvlJc w:val="left"/>
      <w:pPr>
        <w:tabs>
          <w:tab w:val="num" w:pos="850"/>
        </w:tabs>
        <w:ind w:left="850" w:hanging="850"/>
      </w:pPr>
      <w:rPr>
        <w:bdr w:val="none" w:sz="0" w:space="0" w:color="auto"/>
      </w:rPr>
    </w:lvl>
    <w:lvl w:ilvl="2">
      <w:start w:val="1"/>
      <w:numFmt w:val="decimal"/>
      <w:pStyle w:val="Heading3"/>
      <w:lvlText w:val="%1.%2.%3."/>
      <w:lvlJc w:val="left"/>
      <w:pPr>
        <w:tabs>
          <w:tab w:val="num" w:pos="850"/>
        </w:tabs>
        <w:ind w:left="850" w:hanging="850"/>
      </w:pPr>
      <w:rPr>
        <w:bdr w:val="none" w:sz="0" w:space="0" w:color="auto"/>
      </w:rPr>
    </w:lvl>
    <w:lvl w:ilvl="3">
      <w:start w:val="1"/>
      <w:numFmt w:val="decimal"/>
      <w:pStyle w:val="Heading4"/>
      <w:lvlText w:val="%1.%2.%3.%4."/>
      <w:lvlJc w:val="left"/>
      <w:pPr>
        <w:tabs>
          <w:tab w:val="num" w:pos="850"/>
        </w:tabs>
        <w:ind w:left="850" w:hanging="850"/>
      </w:pPr>
      <w:rPr>
        <w:bdr w:val="none" w:sz="0" w:space="0" w:color="auto"/>
      </w:rPr>
    </w:lvl>
    <w:lvl w:ilvl="4">
      <w:start w:val="1"/>
      <w:numFmt w:val="decimal"/>
      <w:pStyle w:val="Heading5"/>
      <w:lvlText w:val="%1.%2.%3.%4.%5."/>
      <w:lvlJc w:val="left"/>
      <w:pPr>
        <w:tabs>
          <w:tab w:val="num" w:pos="1417"/>
        </w:tabs>
        <w:ind w:left="1417" w:hanging="1417"/>
      </w:pPr>
      <w:rPr>
        <w:bdr w:val="none" w:sz="0" w:space="0" w:color="auto"/>
      </w:rPr>
    </w:lvl>
    <w:lvl w:ilvl="5">
      <w:start w:val="1"/>
      <w:numFmt w:val="decimal"/>
      <w:pStyle w:val="Heading6"/>
      <w:lvlText w:val="%1.%2.%3.%4.%5.%6."/>
      <w:lvlJc w:val="left"/>
      <w:pPr>
        <w:tabs>
          <w:tab w:val="num" w:pos="1417"/>
        </w:tabs>
        <w:ind w:left="1417" w:hanging="1417"/>
      </w:pPr>
      <w:rPr>
        <w:bdr w:val="none" w:sz="0" w:space="0" w:color="auto"/>
      </w:rPr>
    </w:lvl>
    <w:lvl w:ilvl="6">
      <w:start w:val="1"/>
      <w:numFmt w:val="decimal"/>
      <w:pStyle w:val="Heading7"/>
      <w:lvlText w:val="%1.%2.%3.%4.%5.%6.%7."/>
      <w:lvlJc w:val="left"/>
      <w:pPr>
        <w:tabs>
          <w:tab w:val="num" w:pos="1417"/>
        </w:tabs>
        <w:ind w:left="1417" w:hanging="1417"/>
      </w:pPr>
      <w:rPr>
        <w:bdr w:val="none" w:sz="0" w:space="0" w:color="auto"/>
      </w:rPr>
    </w:lvl>
    <w:lvl w:ilvl="7">
      <w:start w:val="1"/>
      <w:numFmt w:val="lowerLetter"/>
      <w:lvlText w:val="%8."/>
      <w:lvlJc w:val="left"/>
      <w:pPr>
        <w:ind w:left="2880" w:hanging="360"/>
      </w:pPr>
      <w:rPr>
        <w:bdr w:val="none" w:sz="0" w:space="0" w:color="auto"/>
      </w:rPr>
    </w:lvl>
    <w:lvl w:ilvl="8">
      <w:start w:val="1"/>
      <w:numFmt w:val="lowerRoman"/>
      <w:lvlText w:val="%9."/>
      <w:lvlJc w:val="left"/>
      <w:pPr>
        <w:ind w:left="3240" w:hanging="360"/>
      </w:pPr>
      <w:rPr>
        <w:bdr w:val="none" w:sz="0" w:space="0" w:color="auto"/>
      </w:rPr>
    </w:lvl>
  </w:abstractNum>
  <w:abstractNum w:abstractNumId="1" w15:restartNumberingAfterBreak="0">
    <w:nsid w:val="0A225A2D"/>
    <w:multiLevelType w:val="singleLevel"/>
    <w:tmpl w:val="5EAA04A8"/>
    <w:name w:val="Bullet 2"/>
    <w:lvl w:ilvl="0">
      <w:start w:val="1"/>
      <w:numFmt w:val="bullet"/>
      <w:lvlRestart w:val="0"/>
      <w:pStyle w:val="Bullet2"/>
      <w:lvlText w:val=""/>
      <w:lvlJc w:val="left"/>
      <w:pPr>
        <w:tabs>
          <w:tab w:val="num" w:pos="1984"/>
        </w:tabs>
        <w:ind w:left="1984" w:hanging="567"/>
      </w:pPr>
      <w:rPr>
        <w:rFonts w:ascii="Symbol" w:hAnsi="Symbol" w:hint="default"/>
        <w:bdr w:val="none" w:sz="0" w:space="0" w:color="auto"/>
      </w:rPr>
    </w:lvl>
  </w:abstractNum>
  <w:abstractNum w:abstractNumId="2" w15:restartNumberingAfterBreak="0">
    <w:nsid w:val="0BD52520"/>
    <w:multiLevelType w:val="singleLevel"/>
    <w:tmpl w:val="C8D4FE30"/>
    <w:name w:val="Bullet 1"/>
    <w:lvl w:ilvl="0">
      <w:start w:val="1"/>
      <w:numFmt w:val="bullet"/>
      <w:lvlRestart w:val="0"/>
      <w:pStyle w:val="Bullet1"/>
      <w:lvlText w:val=""/>
      <w:lvlJc w:val="left"/>
      <w:pPr>
        <w:tabs>
          <w:tab w:val="num" w:pos="1417"/>
        </w:tabs>
        <w:ind w:left="1417" w:hanging="567"/>
      </w:pPr>
      <w:rPr>
        <w:rFonts w:ascii="Symbol" w:hAnsi="Symbol" w:hint="default"/>
        <w:bdr w:val="none" w:sz="0" w:space="0" w:color="auto"/>
      </w:rPr>
    </w:lvl>
  </w:abstractNum>
  <w:abstractNum w:abstractNumId="3" w15:restartNumberingAfterBreak="0">
    <w:nsid w:val="0CC176F9"/>
    <w:multiLevelType w:val="singleLevel"/>
    <w:tmpl w:val="4282F5D2"/>
    <w:name w:val="Considérant"/>
    <w:lvl w:ilvl="0">
      <w:start w:val="1"/>
      <w:numFmt w:val="decimal"/>
      <w:lvlRestart w:val="0"/>
      <w:pStyle w:val="Considrant"/>
      <w:lvlText w:val="(%1)"/>
      <w:lvlJc w:val="left"/>
      <w:pPr>
        <w:tabs>
          <w:tab w:val="num" w:pos="850"/>
        </w:tabs>
        <w:ind w:left="850" w:hanging="850"/>
      </w:pPr>
      <w:rPr>
        <w:bdr w:val="none" w:sz="0" w:space="0" w:color="auto"/>
      </w:rPr>
    </w:lvl>
  </w:abstractNum>
  <w:abstractNum w:abstractNumId="4" w15:restartNumberingAfterBreak="0">
    <w:nsid w:val="0EEA6825"/>
    <w:multiLevelType w:val="singleLevel"/>
    <w:tmpl w:val="F14A3676"/>
    <w:name w:val="Tiret 0"/>
    <w:lvl w:ilvl="0">
      <w:start w:val="1"/>
      <w:numFmt w:val="bullet"/>
      <w:lvlRestart w:val="0"/>
      <w:pStyle w:val="Tiret0"/>
      <w:lvlText w:val="–"/>
      <w:lvlJc w:val="left"/>
      <w:pPr>
        <w:tabs>
          <w:tab w:val="num" w:pos="850"/>
        </w:tabs>
        <w:ind w:left="850" w:hanging="850"/>
      </w:pPr>
      <w:rPr>
        <w:bdr w:val="none" w:sz="0" w:space="0" w:color="auto"/>
      </w:rPr>
    </w:lvl>
  </w:abstractNum>
  <w:abstractNum w:abstractNumId="5" w15:restartNumberingAfterBreak="0">
    <w:nsid w:val="1A777BB9"/>
    <w:multiLevelType w:val="multilevel"/>
    <w:tmpl w:val="0E762C96"/>
    <w:name w:val="NumPar"/>
    <w:lvl w:ilvl="0">
      <w:start w:val="1"/>
      <w:numFmt w:val="decimal"/>
      <w:lvlRestart w:val="0"/>
      <w:pStyle w:val="NumPar1"/>
      <w:lvlText w:val="%1."/>
      <w:lvlJc w:val="left"/>
      <w:pPr>
        <w:tabs>
          <w:tab w:val="num" w:pos="850"/>
        </w:tabs>
        <w:ind w:left="850" w:hanging="850"/>
      </w:pPr>
      <w:rPr>
        <w:bdr w:val="none" w:sz="0" w:space="0" w:color="auto"/>
      </w:rPr>
    </w:lvl>
    <w:lvl w:ilvl="1">
      <w:start w:val="1"/>
      <w:numFmt w:val="decimal"/>
      <w:pStyle w:val="NumPar2"/>
      <w:lvlText w:val="%1.%2."/>
      <w:lvlJc w:val="left"/>
      <w:pPr>
        <w:tabs>
          <w:tab w:val="num" w:pos="850"/>
        </w:tabs>
        <w:ind w:left="850" w:hanging="850"/>
      </w:pPr>
      <w:rPr>
        <w:bdr w:val="none" w:sz="0" w:space="0" w:color="auto"/>
      </w:rPr>
    </w:lvl>
    <w:lvl w:ilvl="2">
      <w:start w:val="1"/>
      <w:numFmt w:val="decimal"/>
      <w:pStyle w:val="NumPar3"/>
      <w:lvlText w:val="%1.%2.%3."/>
      <w:lvlJc w:val="left"/>
      <w:pPr>
        <w:tabs>
          <w:tab w:val="num" w:pos="850"/>
        </w:tabs>
        <w:ind w:left="850" w:hanging="850"/>
      </w:pPr>
      <w:rPr>
        <w:bdr w:val="none" w:sz="0" w:space="0" w:color="auto"/>
      </w:rPr>
    </w:lvl>
    <w:lvl w:ilvl="3">
      <w:start w:val="1"/>
      <w:numFmt w:val="decimal"/>
      <w:pStyle w:val="NumPar4"/>
      <w:lvlText w:val="%1.%2.%3.%4."/>
      <w:lvlJc w:val="left"/>
      <w:pPr>
        <w:tabs>
          <w:tab w:val="num" w:pos="850"/>
        </w:tabs>
        <w:ind w:left="850" w:hanging="850"/>
      </w:pPr>
      <w:rPr>
        <w:bdr w:val="none" w:sz="0" w:space="0" w:color="auto"/>
      </w:rPr>
    </w:lvl>
    <w:lvl w:ilvl="4">
      <w:start w:val="1"/>
      <w:numFmt w:val="decimal"/>
      <w:pStyle w:val="NumPar5"/>
      <w:lvlText w:val="%1.%2.%3.%4.%5."/>
      <w:lvlJc w:val="left"/>
      <w:pPr>
        <w:tabs>
          <w:tab w:val="num" w:pos="1417"/>
        </w:tabs>
        <w:ind w:left="1417" w:hanging="1417"/>
      </w:pPr>
      <w:rPr>
        <w:bdr w:val="none" w:sz="0" w:space="0" w:color="auto"/>
      </w:rPr>
    </w:lvl>
    <w:lvl w:ilvl="5">
      <w:start w:val="1"/>
      <w:numFmt w:val="decimal"/>
      <w:pStyle w:val="NumPar6"/>
      <w:lvlText w:val="%1.%2.%3.%4.%5.%6."/>
      <w:lvlJc w:val="left"/>
      <w:pPr>
        <w:tabs>
          <w:tab w:val="num" w:pos="1417"/>
        </w:tabs>
        <w:ind w:left="1417" w:hanging="1417"/>
      </w:pPr>
      <w:rPr>
        <w:bdr w:val="none" w:sz="0" w:space="0" w:color="auto"/>
      </w:rPr>
    </w:lvl>
    <w:lvl w:ilvl="6">
      <w:start w:val="1"/>
      <w:numFmt w:val="decimal"/>
      <w:pStyle w:val="NumPar7"/>
      <w:lvlText w:val="%1.%2.%3.%4.%5.%6.%7."/>
      <w:lvlJc w:val="left"/>
      <w:pPr>
        <w:tabs>
          <w:tab w:val="num" w:pos="1417"/>
        </w:tabs>
        <w:ind w:left="1417" w:hanging="1417"/>
      </w:pPr>
      <w:rPr>
        <w:bdr w:val="none" w:sz="0" w:space="0" w:color="auto"/>
      </w:rPr>
    </w:lvl>
    <w:lvl w:ilvl="7">
      <w:start w:val="1"/>
      <w:numFmt w:val="lowerLetter"/>
      <w:lvlText w:val="%8."/>
      <w:lvlJc w:val="left"/>
      <w:pPr>
        <w:ind w:left="2880" w:hanging="360"/>
      </w:pPr>
      <w:rPr>
        <w:bdr w:val="none" w:sz="0" w:space="0" w:color="auto"/>
      </w:rPr>
    </w:lvl>
    <w:lvl w:ilvl="8">
      <w:start w:val="1"/>
      <w:numFmt w:val="lowerRoman"/>
      <w:lvlText w:val="%9."/>
      <w:lvlJc w:val="left"/>
      <w:pPr>
        <w:ind w:left="3240" w:hanging="360"/>
      </w:pPr>
      <w:rPr>
        <w:bdr w:val="none" w:sz="0" w:space="0" w:color="auto"/>
      </w:rPr>
    </w:lvl>
  </w:abstractNum>
  <w:abstractNum w:abstractNumId="6" w15:restartNumberingAfterBreak="0">
    <w:nsid w:val="33A56F26"/>
    <w:multiLevelType w:val="singleLevel"/>
    <w:tmpl w:val="FE964A34"/>
    <w:name w:val="Bullet 0"/>
    <w:lvl w:ilvl="0">
      <w:start w:val="1"/>
      <w:numFmt w:val="bullet"/>
      <w:lvlRestart w:val="0"/>
      <w:pStyle w:val="Bullet0"/>
      <w:lvlText w:val=""/>
      <w:lvlJc w:val="left"/>
      <w:pPr>
        <w:tabs>
          <w:tab w:val="num" w:pos="850"/>
        </w:tabs>
        <w:ind w:left="850" w:hanging="850"/>
      </w:pPr>
      <w:rPr>
        <w:rFonts w:ascii="Symbol" w:hAnsi="Symbol" w:hint="default"/>
        <w:bdr w:val="none" w:sz="0" w:space="0" w:color="auto"/>
      </w:rPr>
    </w:lvl>
  </w:abstractNum>
  <w:abstractNum w:abstractNumId="7" w15:restartNumberingAfterBreak="0">
    <w:nsid w:val="408198C2"/>
    <w:multiLevelType w:val="singleLevel"/>
    <w:tmpl w:val="B172D000"/>
    <w:name w:val="Tiret 5"/>
    <w:lvl w:ilvl="0">
      <w:start w:val="1"/>
      <w:numFmt w:val="bullet"/>
      <w:lvlRestart w:val="0"/>
      <w:pStyle w:val="Tiret5"/>
      <w:lvlText w:val="–"/>
      <w:lvlJc w:val="left"/>
      <w:pPr>
        <w:tabs>
          <w:tab w:val="num" w:pos="3685"/>
        </w:tabs>
        <w:ind w:left="3685" w:hanging="567"/>
      </w:pPr>
      <w:rPr>
        <w:bdr w:val="none" w:sz="0" w:space="0" w:color="auto"/>
      </w:rPr>
    </w:lvl>
  </w:abstractNum>
  <w:abstractNum w:abstractNumId="8" w15:restartNumberingAfterBreak="0">
    <w:nsid w:val="40AF6750"/>
    <w:multiLevelType w:val="singleLevel"/>
    <w:tmpl w:val="B1821A11"/>
    <w:name w:val="Tiret 6"/>
    <w:lvl w:ilvl="0">
      <w:start w:val="1"/>
      <w:numFmt w:val="bullet"/>
      <w:lvlRestart w:val="0"/>
      <w:pStyle w:val="Tiret6"/>
      <w:lvlText w:val="–"/>
      <w:lvlJc w:val="left"/>
      <w:pPr>
        <w:tabs>
          <w:tab w:val="num" w:pos="4252"/>
        </w:tabs>
        <w:ind w:left="4252" w:hanging="567"/>
      </w:pPr>
      <w:rPr>
        <w:bdr w:val="none" w:sz="0" w:space="0" w:color="auto"/>
      </w:rPr>
    </w:lvl>
  </w:abstractNum>
  <w:abstractNum w:abstractNumId="9" w15:restartNumberingAfterBreak="0">
    <w:nsid w:val="40BE9DD9"/>
    <w:multiLevelType w:val="singleLevel"/>
    <w:tmpl w:val="B1915096"/>
    <w:name w:val="Tiret 7"/>
    <w:lvl w:ilvl="0">
      <w:start w:val="1"/>
      <w:numFmt w:val="bullet"/>
      <w:lvlRestart w:val="0"/>
      <w:pStyle w:val="Tiret7"/>
      <w:lvlText w:val="–"/>
      <w:lvlJc w:val="left"/>
      <w:pPr>
        <w:tabs>
          <w:tab w:val="num" w:pos="4819"/>
        </w:tabs>
        <w:ind w:left="4819" w:hanging="567"/>
      </w:pPr>
      <w:rPr>
        <w:bdr w:val="none" w:sz="0" w:space="0" w:color="auto"/>
      </w:rPr>
    </w:lvl>
  </w:abstractNum>
  <w:abstractNum w:abstractNumId="10" w15:restartNumberingAfterBreak="0">
    <w:nsid w:val="4B013CF3"/>
    <w:multiLevelType w:val="singleLevel"/>
    <w:tmpl w:val="5D7CB33C"/>
    <w:name w:val="Tiret 1"/>
    <w:lvl w:ilvl="0">
      <w:start w:val="1"/>
      <w:numFmt w:val="bullet"/>
      <w:lvlRestart w:val="0"/>
      <w:pStyle w:val="Tiret1"/>
      <w:lvlText w:val="–"/>
      <w:lvlJc w:val="left"/>
      <w:pPr>
        <w:tabs>
          <w:tab w:val="num" w:pos="1417"/>
        </w:tabs>
        <w:ind w:left="1417" w:hanging="567"/>
      </w:pPr>
      <w:rPr>
        <w:bdr w:val="none" w:sz="0" w:space="0" w:color="auto"/>
      </w:rPr>
    </w:lvl>
  </w:abstractNum>
  <w:abstractNum w:abstractNumId="11" w15:restartNumberingAfterBreak="0">
    <w:nsid w:val="4C6D4F0B"/>
    <w:multiLevelType w:val="singleLevel"/>
    <w:tmpl w:val="B0DA3597"/>
    <w:name w:val="Tiret 8"/>
    <w:lvl w:ilvl="0">
      <w:start w:val="1"/>
      <w:numFmt w:val="bullet"/>
      <w:lvlRestart w:val="0"/>
      <w:pStyle w:val="Tiret8"/>
      <w:lvlText w:val="–"/>
      <w:lvlJc w:val="left"/>
      <w:pPr>
        <w:tabs>
          <w:tab w:val="num" w:pos="5386"/>
        </w:tabs>
        <w:ind w:left="5386" w:hanging="567"/>
      </w:pPr>
      <w:rPr>
        <w:bdr w:val="none" w:sz="0" w:space="0" w:color="auto"/>
      </w:rPr>
    </w:lvl>
  </w:abstractNum>
  <w:abstractNum w:abstractNumId="12" w15:restartNumberingAfterBreak="0">
    <w:nsid w:val="523628EF"/>
    <w:multiLevelType w:val="singleLevel"/>
    <w:tmpl w:val="34FC1884"/>
    <w:name w:val="Tiret 3"/>
    <w:lvl w:ilvl="0">
      <w:start w:val="1"/>
      <w:numFmt w:val="bullet"/>
      <w:lvlRestart w:val="0"/>
      <w:pStyle w:val="Tiret3"/>
      <w:lvlText w:val="–"/>
      <w:lvlJc w:val="left"/>
      <w:pPr>
        <w:tabs>
          <w:tab w:val="num" w:pos="2551"/>
        </w:tabs>
        <w:ind w:left="2551" w:hanging="567"/>
      </w:pPr>
      <w:rPr>
        <w:bdr w:val="none" w:sz="0" w:space="0" w:color="auto"/>
      </w:rPr>
    </w:lvl>
  </w:abstractNum>
  <w:abstractNum w:abstractNumId="13" w15:restartNumberingAfterBreak="0">
    <w:nsid w:val="561226A2"/>
    <w:multiLevelType w:val="singleLevel"/>
    <w:tmpl w:val="E5081854"/>
    <w:name w:val="Tiret 2"/>
    <w:lvl w:ilvl="0">
      <w:start w:val="1"/>
      <w:numFmt w:val="bullet"/>
      <w:lvlRestart w:val="0"/>
      <w:pStyle w:val="Tiret2"/>
      <w:lvlText w:val="–"/>
      <w:lvlJc w:val="left"/>
      <w:pPr>
        <w:tabs>
          <w:tab w:val="num" w:pos="1984"/>
        </w:tabs>
        <w:ind w:left="1984" w:hanging="567"/>
      </w:pPr>
      <w:rPr>
        <w:bdr w:val="none" w:sz="0" w:space="0" w:color="auto"/>
      </w:rPr>
    </w:lvl>
  </w:abstractNum>
  <w:abstractNum w:abstractNumId="14" w15:restartNumberingAfterBreak="0">
    <w:nsid w:val="587A2BDD"/>
    <w:multiLevelType w:val="singleLevel"/>
    <w:tmpl w:val="E38EEEF1"/>
    <w:name w:val="Bullet 5"/>
    <w:lvl w:ilvl="0">
      <w:start w:val="1"/>
      <w:numFmt w:val="bullet"/>
      <w:lvlRestart w:val="0"/>
      <w:pStyle w:val="Bullet5"/>
      <w:lvlText w:val=""/>
      <w:lvlJc w:val="left"/>
      <w:pPr>
        <w:tabs>
          <w:tab w:val="num" w:pos="3685"/>
        </w:tabs>
        <w:ind w:left="3685" w:hanging="567"/>
      </w:pPr>
      <w:rPr>
        <w:rFonts w:ascii="Symbol" w:hAnsi="Symbol" w:hint="default"/>
        <w:bdr w:val="none" w:sz="0" w:space="0" w:color="auto"/>
      </w:rPr>
    </w:lvl>
  </w:abstractNum>
  <w:abstractNum w:abstractNumId="15" w15:restartNumberingAfterBreak="0">
    <w:nsid w:val="7056573C"/>
    <w:multiLevelType w:val="singleLevel"/>
    <w:tmpl w:val="DD8E481C"/>
    <w:name w:val="Bullet 4"/>
    <w:lvl w:ilvl="0">
      <w:start w:val="1"/>
      <w:numFmt w:val="bullet"/>
      <w:lvlRestart w:val="0"/>
      <w:pStyle w:val="Bullet4"/>
      <w:lvlText w:val=""/>
      <w:lvlJc w:val="left"/>
      <w:pPr>
        <w:tabs>
          <w:tab w:val="num" w:pos="3118"/>
        </w:tabs>
        <w:ind w:left="3118" w:hanging="567"/>
      </w:pPr>
      <w:rPr>
        <w:rFonts w:ascii="Symbol" w:hAnsi="Symbol" w:hint="default"/>
        <w:bdr w:val="none" w:sz="0" w:space="0" w:color="auto"/>
      </w:rPr>
    </w:lvl>
  </w:abstractNum>
  <w:abstractNum w:abstractNumId="16" w15:restartNumberingAfterBreak="0">
    <w:nsid w:val="75EE0BEC"/>
    <w:multiLevelType w:val="singleLevel"/>
    <w:tmpl w:val="A3162760"/>
    <w:name w:val="Bullet 3"/>
    <w:lvl w:ilvl="0">
      <w:start w:val="1"/>
      <w:numFmt w:val="bullet"/>
      <w:lvlRestart w:val="0"/>
      <w:pStyle w:val="Bullet3"/>
      <w:lvlText w:val=""/>
      <w:lvlJc w:val="left"/>
      <w:pPr>
        <w:tabs>
          <w:tab w:val="num" w:pos="2551"/>
        </w:tabs>
        <w:ind w:left="2551" w:hanging="567"/>
      </w:pPr>
      <w:rPr>
        <w:rFonts w:ascii="Symbol" w:hAnsi="Symbol" w:hint="default"/>
        <w:bdr w:val="none" w:sz="0" w:space="0" w:color="auto"/>
      </w:rPr>
    </w:lvl>
  </w:abstractNum>
  <w:abstractNum w:abstractNumId="17" w15:restartNumberingAfterBreak="0">
    <w:nsid w:val="7A23B303"/>
    <w:multiLevelType w:val="singleLevel"/>
    <w:tmpl w:val="48CBA32B"/>
    <w:name w:val="Bullet 7"/>
    <w:lvl w:ilvl="0">
      <w:start w:val="1"/>
      <w:numFmt w:val="bullet"/>
      <w:lvlRestart w:val="0"/>
      <w:pStyle w:val="Bullet7"/>
      <w:lvlText w:val=""/>
      <w:lvlJc w:val="left"/>
      <w:pPr>
        <w:tabs>
          <w:tab w:val="num" w:pos="4819"/>
        </w:tabs>
        <w:ind w:left="4819" w:hanging="567"/>
      </w:pPr>
      <w:rPr>
        <w:rFonts w:ascii="Symbol" w:hAnsi="Symbol" w:hint="default"/>
        <w:bdr w:val="none" w:sz="0" w:space="0" w:color="auto"/>
      </w:rPr>
    </w:lvl>
  </w:abstractNum>
  <w:abstractNum w:abstractNumId="18" w15:restartNumberingAfterBreak="0">
    <w:nsid w:val="7A2A69C2"/>
    <w:multiLevelType w:val="singleLevel"/>
    <w:tmpl w:val="4EC31A6C"/>
    <w:name w:val="Bullet 6"/>
    <w:lvl w:ilvl="0">
      <w:start w:val="1"/>
      <w:numFmt w:val="bullet"/>
      <w:lvlRestart w:val="0"/>
      <w:pStyle w:val="Bullet6"/>
      <w:lvlText w:val=""/>
      <w:lvlJc w:val="left"/>
      <w:pPr>
        <w:tabs>
          <w:tab w:val="num" w:pos="4252"/>
        </w:tabs>
        <w:ind w:left="4252" w:hanging="567"/>
      </w:pPr>
      <w:rPr>
        <w:rFonts w:ascii="Symbol" w:hAnsi="Symbol" w:hint="default"/>
        <w:bdr w:val="none" w:sz="0" w:space="0" w:color="auto"/>
      </w:rPr>
    </w:lvl>
  </w:abstractNum>
  <w:abstractNum w:abstractNumId="19" w15:restartNumberingAfterBreak="0">
    <w:nsid w:val="7AC1799C"/>
    <w:multiLevelType w:val="singleLevel"/>
    <w:tmpl w:val="42D5CA02"/>
    <w:name w:val="Bullet 8"/>
    <w:lvl w:ilvl="0">
      <w:start w:val="1"/>
      <w:numFmt w:val="bullet"/>
      <w:lvlRestart w:val="0"/>
      <w:pStyle w:val="Bullet8"/>
      <w:lvlText w:val=""/>
      <w:lvlJc w:val="left"/>
      <w:pPr>
        <w:tabs>
          <w:tab w:val="num" w:pos="5386"/>
        </w:tabs>
        <w:ind w:left="5386" w:hanging="567"/>
      </w:pPr>
      <w:rPr>
        <w:rFonts w:ascii="Symbol" w:hAnsi="Symbol" w:hint="default"/>
        <w:bdr w:val="none" w:sz="0" w:space="0" w:color="auto"/>
      </w:rPr>
    </w:lvl>
  </w:abstractNum>
  <w:abstractNum w:abstractNumId="20" w15:restartNumberingAfterBreak="0">
    <w:nsid w:val="7C2B56E3"/>
    <w:multiLevelType w:val="singleLevel"/>
    <w:tmpl w:val="930CD47C"/>
    <w:name w:val="Tiret 4"/>
    <w:lvl w:ilvl="0">
      <w:start w:val="1"/>
      <w:numFmt w:val="bullet"/>
      <w:lvlRestart w:val="0"/>
      <w:pStyle w:val="Tiret4"/>
      <w:lvlText w:val="–"/>
      <w:lvlJc w:val="left"/>
      <w:pPr>
        <w:tabs>
          <w:tab w:val="num" w:pos="3118"/>
        </w:tabs>
        <w:ind w:left="3118" w:hanging="567"/>
      </w:pPr>
      <w:rPr>
        <w:bdr w:val="none" w:sz="0" w:space="0" w:color="auto"/>
      </w:rPr>
    </w:lvl>
  </w:abstractNum>
  <w:abstractNum w:abstractNumId="21" w15:restartNumberingAfterBreak="0">
    <w:nsid w:val="7D784AA0"/>
    <w:multiLevelType w:val="multilevel"/>
    <w:tmpl w:val="E7764E8A"/>
    <w:name w:val="Point"/>
    <w:lvl w:ilvl="0">
      <w:start w:val="1"/>
      <w:numFmt w:val="decimal"/>
      <w:lvlRestart w:val="0"/>
      <w:pStyle w:val="Point0number"/>
      <w:lvlText w:val="(%1)"/>
      <w:lvlJc w:val="left"/>
      <w:pPr>
        <w:tabs>
          <w:tab w:val="num" w:pos="850"/>
        </w:tabs>
        <w:ind w:left="850" w:hanging="850"/>
      </w:pPr>
      <w:rPr>
        <w:bdr w:val="none" w:sz="0" w:space="0" w:color="auto"/>
      </w:rPr>
    </w:lvl>
    <w:lvl w:ilvl="1">
      <w:start w:val="1"/>
      <w:numFmt w:val="lowerLetter"/>
      <w:pStyle w:val="Point0letter"/>
      <w:lvlText w:val="(%2)"/>
      <w:lvlJc w:val="left"/>
      <w:pPr>
        <w:tabs>
          <w:tab w:val="num" w:pos="850"/>
        </w:tabs>
        <w:ind w:left="850" w:hanging="850"/>
      </w:pPr>
      <w:rPr>
        <w:bdr w:val="none" w:sz="0" w:space="0" w:color="auto"/>
      </w:rPr>
    </w:lvl>
    <w:lvl w:ilvl="2">
      <w:start w:val="1"/>
      <w:numFmt w:val="decimal"/>
      <w:pStyle w:val="Point1number"/>
      <w:lvlText w:val="(%3)"/>
      <w:lvlJc w:val="left"/>
      <w:pPr>
        <w:tabs>
          <w:tab w:val="num" w:pos="1417"/>
        </w:tabs>
        <w:ind w:left="1417" w:hanging="567"/>
      </w:pPr>
      <w:rPr>
        <w:bdr w:val="none" w:sz="0" w:space="0" w:color="auto"/>
      </w:rPr>
    </w:lvl>
    <w:lvl w:ilvl="3">
      <w:start w:val="1"/>
      <w:numFmt w:val="lowerLetter"/>
      <w:pStyle w:val="Point1letter"/>
      <w:lvlText w:val="(%4)"/>
      <w:lvlJc w:val="left"/>
      <w:pPr>
        <w:tabs>
          <w:tab w:val="num" w:pos="1417"/>
        </w:tabs>
        <w:ind w:left="1417" w:hanging="567"/>
      </w:pPr>
      <w:rPr>
        <w:bdr w:val="none" w:sz="0" w:space="0" w:color="auto"/>
      </w:rPr>
    </w:lvl>
    <w:lvl w:ilvl="4">
      <w:start w:val="1"/>
      <w:numFmt w:val="decimal"/>
      <w:pStyle w:val="Point2number"/>
      <w:lvlText w:val="(%5)"/>
      <w:lvlJc w:val="left"/>
      <w:pPr>
        <w:tabs>
          <w:tab w:val="num" w:pos="1984"/>
        </w:tabs>
        <w:ind w:left="1984" w:hanging="567"/>
      </w:pPr>
      <w:rPr>
        <w:bdr w:val="none" w:sz="0" w:space="0" w:color="auto"/>
      </w:rPr>
    </w:lvl>
    <w:lvl w:ilvl="5">
      <w:start w:val="1"/>
      <w:numFmt w:val="lowerLetter"/>
      <w:pStyle w:val="Point2letter"/>
      <w:lvlText w:val="(%6)"/>
      <w:lvlJc w:val="left"/>
      <w:pPr>
        <w:tabs>
          <w:tab w:val="num" w:pos="1984"/>
        </w:tabs>
        <w:ind w:left="1984" w:hanging="567"/>
      </w:pPr>
      <w:rPr>
        <w:bdr w:val="none" w:sz="0" w:space="0" w:color="auto"/>
      </w:rPr>
    </w:lvl>
    <w:lvl w:ilvl="6">
      <w:start w:val="1"/>
      <w:numFmt w:val="decimal"/>
      <w:pStyle w:val="Point3number"/>
      <w:lvlText w:val="(%7)"/>
      <w:lvlJc w:val="left"/>
      <w:pPr>
        <w:tabs>
          <w:tab w:val="num" w:pos="2551"/>
        </w:tabs>
        <w:ind w:left="2551" w:hanging="567"/>
      </w:pPr>
      <w:rPr>
        <w:bdr w:val="none" w:sz="0" w:space="0" w:color="auto"/>
      </w:rPr>
    </w:lvl>
    <w:lvl w:ilvl="7">
      <w:start w:val="1"/>
      <w:numFmt w:val="lowerLetter"/>
      <w:pStyle w:val="Point3letter"/>
      <w:lvlText w:val="(%8)"/>
      <w:lvlJc w:val="left"/>
      <w:pPr>
        <w:tabs>
          <w:tab w:val="num" w:pos="2551"/>
        </w:tabs>
        <w:ind w:left="2551" w:hanging="567"/>
      </w:pPr>
      <w:rPr>
        <w:bdr w:val="none" w:sz="0" w:space="0" w:color="auto"/>
      </w:rPr>
    </w:lvl>
    <w:lvl w:ilvl="8">
      <w:start w:val="1"/>
      <w:numFmt w:val="lowerLetter"/>
      <w:pStyle w:val="Point4letter"/>
      <w:lvlText w:val="(%9)"/>
      <w:lvlJc w:val="left"/>
      <w:pPr>
        <w:tabs>
          <w:tab w:val="num" w:pos="3118"/>
        </w:tabs>
        <w:ind w:left="3118" w:hanging="567"/>
      </w:pPr>
      <w:rPr>
        <w:bdr w:val="none" w:sz="0" w:space="0" w:color="auto"/>
      </w:rPr>
    </w:lvl>
  </w:abstractNum>
  <w:num w:numId="1" w16cid:durableId="1371224461">
    <w:abstractNumId w:val="4"/>
  </w:num>
  <w:num w:numId="2" w16cid:durableId="1583297739">
    <w:abstractNumId w:val="10"/>
  </w:num>
  <w:num w:numId="3" w16cid:durableId="493028266">
    <w:abstractNumId w:val="13"/>
  </w:num>
  <w:num w:numId="4" w16cid:durableId="19748251">
    <w:abstractNumId w:val="12"/>
  </w:num>
  <w:num w:numId="5" w16cid:durableId="194975596">
    <w:abstractNumId w:val="20"/>
  </w:num>
  <w:num w:numId="6" w16cid:durableId="2051998500">
    <w:abstractNumId w:val="7"/>
  </w:num>
  <w:num w:numId="7" w16cid:durableId="920985168">
    <w:abstractNumId w:val="8"/>
  </w:num>
  <w:num w:numId="8" w16cid:durableId="859395038">
    <w:abstractNumId w:val="9"/>
  </w:num>
  <w:num w:numId="9" w16cid:durableId="1884709445">
    <w:abstractNumId w:val="11"/>
  </w:num>
  <w:num w:numId="10" w16cid:durableId="907809623">
    <w:abstractNumId w:val="5"/>
  </w:num>
  <w:num w:numId="11" w16cid:durableId="147790786">
    <w:abstractNumId w:val="0"/>
  </w:num>
  <w:num w:numId="12" w16cid:durableId="1276255905">
    <w:abstractNumId w:val="21"/>
  </w:num>
  <w:num w:numId="13" w16cid:durableId="641539383">
    <w:abstractNumId w:val="6"/>
  </w:num>
  <w:num w:numId="14" w16cid:durableId="1463424940">
    <w:abstractNumId w:val="2"/>
  </w:num>
  <w:num w:numId="15" w16cid:durableId="1445808034">
    <w:abstractNumId w:val="1"/>
  </w:num>
  <w:num w:numId="16" w16cid:durableId="1852645536">
    <w:abstractNumId w:val="16"/>
  </w:num>
  <w:num w:numId="17" w16cid:durableId="850142578">
    <w:abstractNumId w:val="15"/>
  </w:num>
  <w:num w:numId="18" w16cid:durableId="9839530">
    <w:abstractNumId w:val="14"/>
  </w:num>
  <w:num w:numId="19" w16cid:durableId="1073358758">
    <w:abstractNumId w:val="18"/>
  </w:num>
  <w:num w:numId="20" w16cid:durableId="1326860946">
    <w:abstractNumId w:val="17"/>
  </w:num>
  <w:num w:numId="21" w16cid:durableId="1663196454">
    <w:abstractNumId w:val="19"/>
  </w:num>
  <w:num w:numId="22" w16cid:durableId="808937615">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uncil" w:val="true"/>
    <w:docVar w:name="DocuWriteMetaData" w:val="&lt;metadataset docuwriteversion=&quot;4.11.5&quot; technicalblockguid=&quot;5007217609296217080&quot;&gt;_x000d__x000a_  &lt;metadata key=&quot;md_DocumentLanguages&quot;&gt;_x000d__x000a_    &lt;basicdatatypelist&gt;_x000d__x000a_      &lt;language key=&quot;EN&quot; text=&quot;EN&quot; /&gt;_x000d__x000a_    &lt;/basicdatatypelist&gt;_x000d__x000a_  &lt;/metadata&gt;_x000d__x000a_  &lt;metadata key=&quot;md_OriginalLanguages&quot;&gt;_x000d__x000a_    &lt;basicdatatypelist&gt;_x000d__x000a_      &lt;language key=&quot;EN&quot; text=&quot;EN&quot; /&gt;_x000d__x000a_    &lt;/basicdatatypelist&gt;_x000d__x000a_  &lt;/metadata&gt;_x000d__x000a_  &lt;metadata key=&quot;md_DocumentLanguagesAutomatic&quot;&gt;_x000d__x000a_    &lt;text&gt;&lt;/text&gt;_x000d__x000a_  &lt;/metadata&gt;_x000d__x000a_  &lt;metadata key=&quot;md_UniqueHeading&quot;&gt;_x000d__x000a_    &lt;basicdatatype&gt;_x000d__x000a_      &lt;heading key=&quot;uh_22&quot; text=&quot;LEGISLATIVE ACTS AND OTHER INSTRUMENTS&quot; /&gt;_x000d__x000a_    &lt;/basicdatatype&gt;_x000d__x000a_  &lt;/metadata&gt;_x000d__x000a_  &lt;metadata key=&quot;md_HeadingText&quot;&gt;_x000d__x000a_    &lt;headingtext text=&quot;LEGISLATIVE ACTS AND OTHER INSTRUMENTS&quot;&gt;_x000d__x000a_      &lt;formattedtext&gt;_x000d__x000a_        &lt;xaml text=&quot;LEGISLATIVE ACTS AND OTHER INSTRUMENTS&quot;&gt;&amp;lt;FlowDocument xmlns=&quot;http://schemas.microsoft.com/winfx/2006/xaml/presentation&quot;&amp;gt;&amp;lt;Paragraph&amp;gt;LEGISLATIVE ACTS AND OTHER INSTRUMENTS&amp;lt;/Paragraph&amp;gt;&amp;lt;/FlowDocument&amp;gt;&lt;/xaml&gt;_x000d__x000a_      &lt;/formattedtext&gt;_x000d__x000a_    &lt;/headingtext&gt;_x000d__x000a_  &lt;/metadata&gt;_x000d__x000a_  &lt;metadata key=&quot;md_CustomFootnote&quot; /&gt;_x000d__x000a_  &lt;metadata key=&quot;md_DocumentGroup&quot;&gt;_x000d__x000a_    &lt;basicdatatype&gt;_x000d__x000a_      &lt;document_group key=&quot;dg_05&quot; text=&quot;Legislative Act&quot; /&gt;_x000d__x000a_    &lt;/basicdatatype&gt;_x000d__x000a_  &lt;/metadata&gt;_x000d__x000a_  &lt;metadata key=&quot;md_DocumentType&quot;&gt;_x000d__x000a_    &lt;basicdatatype&gt;_x000d__x000a_      &lt;doc_type key=&quot;dt_PE&quot; text=&quot;PE&quot; /&gt;_x000d__x000a_    &lt;/basicdatatype&gt;_x000d__x000a_  &lt;/metadata&gt;_x000d__x000a_  &lt;metadata key=&quot;md_InstitutionalFramework&quot;&gt;_x000d__x000a_    &lt;basicdatatype&gt;_x000d__x000a_      &lt;framework key=&quot;if_22&quot; text=&quot;EUROPEAN UNION THE EUROPEAN PARLIAMENT THE COUNCIL&quot; institution=&quot;instfr_institution&quot; acronym=&quot;instfr_acronym&quot; /&gt;_x000d__x000a_    &lt;/basicdatatype&gt;_x000d__x000a_  &lt;/metadata&gt;_x000d__x000a_  &lt;metadata key=&quot;md_DraftNote&quot; /&gt;_x000d__x000a_  &lt;metadata key=&quot;md_DGName&quot; /&gt;_x000d__x000a_  &lt;metadata key=&quot;md_ContributingService&quot;&gt;_x000d__x000a_    &lt;text&gt;&lt;/text&gt;_x000d__x000a_  &lt;/metadata&gt;_x000d__x000a_  &lt;metadata key=&quot;md_DocumentLocation&quot;&gt;_x000d__x000a_    &lt;basicdatatype&gt;_x000d__x000a_      &lt;location key=&quot;loc_01&quot; text=&quot;Brussels&quot; /&gt;_x000d__x000a_    &lt;/basicdatatype&gt;_x000d__x000a_  &lt;/metadata&gt;_x000d__x000a_  &lt;metadata key=&quot;md_DocumentDate&quot;&gt;_x000d__x000a_    &lt;text&gt;2025-03-18&lt;/text&gt;_x000d__x000a_  &lt;/metadata&gt;_x000d__x000a_  &lt;metadata key=&quot;md_Prefix&quot;&gt;_x000d__x000a_    &lt;text&gt;PE-CONS&lt;/text&gt;_x000d__x000a_  &lt;/metadata&gt;_x000d__x000a_  &lt;metadata key=&quot;md_DocumentNumber&quot;&gt;_x000d__x000a_    &lt;text&gt;1&lt;/text&gt;_x000d__x000a_  &lt;/metadata&gt;_x000d__x000a_  &lt;metadata key=&quot;md_YearDocumentNumber&quot;&gt;_x000d__x000a_    &lt;text&gt;2025&lt;/text&gt;_x000d__x000a_  &lt;/metadata&gt;_x000d__x000a_  &lt;metadata key=&quot;md_Suffixes&quot;&gt;_x000d__x000a_    &lt;text&gt;REV 1&lt;/text&gt;_x000d__x000a_  &lt;/metadata&gt;_x000d__x000a_  &lt;metadata key=&quot;md_SuffixLanguagesInvolved&quot;&gt;_x000d__x000a_    &lt;text&gt;&lt;/text&gt;_x000d__x000a_  &lt;/metadata&gt;_x000d__x000a_  &lt;metadata key=&quot;md_FirstRevNumber&quot;&gt;_x000d__x000a_    &lt;text&gt;1&lt;/text&gt;_x000d__x000a_  &lt;/metadata&gt;_x000d__x000a_  &lt;metadata key=&quot;md_Distribution&quot;&gt;_x000d__x000a_    &lt;basicdatatype&gt;_x000d__x000a_      &lt;distribution key=&quot;dis_01&quot; text=&quot;PUBLIC&quot; /&gt;_x000d__x000a_    &lt;/basicdatatype&gt;_x000d__x000a_  &lt;/metadata&gt;_x000d__x000a_  &lt;metadata key=&quot;md_SubjectCodes&quot;&gt;_x000d__x000a_    &lt;textlist&gt;_x000d__x000a_      &lt;text&gt;ELARG 21&lt;/text&gt;_x000d__x000a_      &lt;text&gt;COEST 157&lt;/text&gt;_x000d__x000a_      &lt;text&gt;CADREFIN 10&lt;/text&gt;_x000d__x000a_      &lt;text&gt;FIN 210&lt;/text&gt;_x000d__x000a_      &lt;text&gt;ECOFIN 166&lt;/text&gt;_x000d__x000a_      &lt;text&gt;BUDGET 7&lt;/text&gt;_x000d__x000a_      &lt;text&gt;CODEC 151&lt;/text&gt;_x000d__x000a_    &lt;/textlist&gt;_x000d__x000a_  &lt;/metadata&gt;_x000d__x000a_  &lt;metadata key=&quot;md_ThirdPartyDistributionMarkers&quot;&gt;_x000d__x000a_    &lt;textlist /&gt;_x000d__x000a_  &lt;/metadata&gt;_x000d__x000a_  &lt;metadata key=&quot;md_Contact&quot; /&gt;_x000d__x000a_  &lt;metadata key=&quot;md_ContactPhoneFax&quot; /&gt;_x000d__x000a_  &lt;metadata key=&quot;md_MeetingVenue&quot; /&gt;_x000d__x000a_  &lt;metadata key=&quot;md_ProvisionalVersion&quot;&gt;_x000d__x000a_    &lt;text&gt;&lt;/text&gt;_x000d__x000a_  &lt;/metadata&gt;_x000d__x000a_  &lt;metadata key=&quot;md_PresidentInformation&quot; /&gt;_x000d__x000a_  &lt;metadata key=&quot;md_MeetingNumber&quot; /&gt;_x000d__x000a_  &lt;metadata key=&quot;md_CouncilConfiguration&quot; /&gt;_x000d__x000a_  &lt;metadata key=&quot;md_CouncilIssue&quot; /&gt;_x000d__x000a_  &lt;metadata key=&quot;md_PhoneNumber&quot; /&gt;_x000d__x000a_  &lt;metadata key=&quot;md_TypeOfHeading&quot;&gt;_x000d__x000a_    &lt;basicdatatype&gt;_x000d__x000a_      &lt;typeofheading key=&quot;&quot; /&gt;_x000d__x000a_    &lt;/basicdatatype&gt;_x000d__x000a_  &lt;/metadata&gt;_x000d__x000a_  &lt;metadata key=&quot;md_ReplyName&quot; /&gt;_x000d__x000a_  &lt;metadata key=&quot;md_EPQuestionsData&quot; /&gt;_x000d__x000a_  &lt;metadata key=&quot;md_Deadline&quot; /&gt;_x000d__x000a_  &lt;metadata key=&quot;md_InterinstitutionalFiles&quot;&gt;_x000d__x000a_    &lt;textlist&gt;_x000d__x000a_      &lt;text&gt;2024/0258(COD)&lt;/text&gt;_x000d__x000a_    &lt;/textlist&gt;_x000d__x000a_  &lt;/metadata&gt;_x000d__x000a_  &lt;metadata key=&quot;md_AdditionalReferences&quot;&gt;_x000d__x000a_    &lt;textlist /&gt;_x000d__x000a_  &lt;/metadata&gt;_x000d__x000a_  &lt;metadata key=&quot;md_LEXNumber&quot;&gt;_x000d__x000a_    &lt;text&gt;LEX 2437&lt;/text&gt;_x000d__x000a_  &lt;/metadata&gt;_x000d__x000a_  &lt;metadata key=&quot;md_SousEmbargo&quot;&gt;_x000d__x000a_    &lt;text&gt;&lt;/text&gt;_x000d__x000a_  &lt;/metadata&gt;_x000d__x000a_  &lt;metadata key=&quot;md_DraftVersion&quot;&gt;_x000d__x000a_    &lt;text&gt;&lt;/text&gt;_x000d__x000a_  &lt;/metadata&gt;_x000d__x000a_  &lt;metadata key=&quot;md_Originator&quot;&gt;_x000d__x000a_    &lt;basicdatatype&gt;_x000d__x000a_      &lt;originator key=&quot;&quot; /&gt;_x000d__x000a_    &lt;/basicdatatype&gt;_x000d__x000a_  &lt;/metadata&gt;_x000d__x000a_  &lt;metadata key=&quot;md_Recipient&quot;&gt;_x000d__x000a_    &lt;basicdatatype&gt;_x000d__x000a_      &lt;recipient key=&quot;&quot; /&gt;_x000d__x000a_    &lt;/basicdatatype&gt;_x000d__x000a_  &lt;/metadata&gt;_x000d__x000a_  &lt;metadata key=&quot;md_DateOfReceipt&quot; /&gt;_x000d__x000a_  &lt;metadata key=&quot;md_FreeDate&quot; /&gt;_x000d__x000a_  &lt;metadata key=&quot;md_PrecedingDocuments&quot; /&gt;_x000d__x000a_  &lt;metadata key=&quot;md_CommissionDocuments&quot;&gt;_x000d__x000a_    &lt;textlist /&gt;_x000d__x000a_  &lt;/metadata&gt;_x000d__x000a_  &lt;metadata key=&quot;md_DocForDWNDCL&quot; /&gt;_x000d__x000a_  &lt;metadata key=&quot;md_Distribution_NewClassification&quot; /&gt;_x000d__x000a_  &lt;metadata key=&quot;md_DWNDCLAuthorization&quot; /&gt;_x000d__x000a_  &lt;metadata key=&quot;md_DateOfAuthorization&quot; /&gt;_x000d__x000a_  &lt;metadata key=&quot;md_MeetingLocation&quot; /&gt;_x000d__x000a_  &lt;metadata key=&quot;md_MeetingDate&quot; /&gt;_x000d__x000a_  &lt;metadata key=&quot;md_DateFormatOr&quot;&gt;_x000d__x000a_    &lt;text&gt;&lt;/text&gt;_x000d__x000a_  &lt;/metadata&gt;_x000d__x000a_  &lt;metadata key=&quot;md_MeetingInformation&quot; /&gt;_x000d__x000a_  &lt;metadata key=&quot;md_Item&quot; /&gt;_x000d__x000a_  &lt;metadata key=&quot;md_SubjectPrefix&quot;&gt;_x000d__x000a_    &lt;text&gt;&lt;/text&gt;_x000d__x000a_  &lt;/metadata&gt;_x000d__x000a_  &lt;metadata key=&quot;md_Subject&quot;&gt;_x000d__x000a_    &lt;xaml text=&quot;REGULATION OF THE EUROPEAN PARLIAMENT AND OF THE COUNCIL ESTABLISHING THE REFORM AND GROWTH FACILITY FOR THE REPUBLIC OF MOLDOVA&quot;&gt;&amp;lt;FlowDocument FontFamily=&quot;Segoe UI&quot; FontSize=&quot;12&quot; LineHeight=&quot;6&quot; PageWidth=&quot;329&quot; PagePadding=&quot;2,2,2,2&quot; AllowDrop=&quot;False&quot; xmlns=&quot;http://schemas.microsoft.com/winfx/2006/xaml/presentation&quot;&amp;gt;&amp;lt;Paragraph LineHeight=&quot;6&quot; FontFamily=&quot;Arial Unicode MS&quot; FontSize=&quot;12&quot;&amp;gt;REGULATION&amp;lt;LineBreak /&amp;gt;OF THE EUROPEAN PARLIAMENT AND OF THE COUNCIL&amp;lt;LineBreak /&amp;gt;ESTABLISHING THE REFORM AND GROWTH FACILITY&amp;lt;LineBreak /&amp;gt;FOR THE REPUBLIC OF MOLDOVA&amp;lt;/Paragraph&amp;gt;&amp;lt;/FlowDocument&amp;gt;&lt;/xaml&gt;_x000d__x000a_  &lt;/metadata&gt;_x000d__x000a_  &lt;metadata key=&quot;md_SubjectFootnote&quot; /&gt;_x000d__x000a_  &lt;metadata key=&quot;md_DG&quot;&gt;_x000d__x000a_    &lt;text&gt;&lt;/text&gt;_x000d__x000a_  &lt;/metadata&gt;_x000d__x000a_  &lt;metadata key=&quot;md_Initials&quot;&gt;_x000d__x000a_    &lt;text&gt;&lt;/text&gt;_x000d__x000a_  &lt;/metadata&gt;_x000d__x000a_  &lt;metadata key=&quot;md_SensitivityLabel&quot;&gt;_x000d__x000a_    &lt;basicdatatype&gt;_x000d__x000a_      &lt;sensitivity_label key=&quot;senslabel_02&quot; text=&quot;NON-PUBLIC&quot; labelid=&quot;b1df41d6-74a9-4a97-809c-213cd32520cc&quot; siteid=&quot;03ad1c97-0a4d-4e82-8f93-27291a6a0767&quot; isdefault=&quot;true&quot; /&gt;_x000d__x000a_    &lt;/basicdatatype&gt;_x000d__x000a_  &lt;/metadata&gt;_x000d__x000a_  &lt;metadata key=&quot;md_RectifProcedureType&quot;&gt;_x000d__x000a_    &lt;basicdatatype&gt;_x000d__x000a_      &lt;rectifprocedure key=&quot;&quot; /&gt;_x000d__x000a_    &lt;/basicdatatype&gt;_x000d__x000a_  &lt;/metadata&gt;_x000d__x000a_  &lt;metadata key=&quot;md_RectifLanguagesBase&quot; /&gt;_x000d__x000a_  &lt;metadata key=&quot;md_RectifLanguagesConcerned&quot; /&gt;_x000d__x000a_  &lt;metadata key=&quot;md_RectifIsLangSpec&quot; /&gt;_x000d__x000a_  &lt;metadata key=&quot;md_RectifLangSpecValue&quot; /&gt;_x000d__x000a_  &lt;metadata key=&quot;md_RectifNumberOfMistakes&quot; /&gt;_x000d__x000a_  &lt;metadata key=&quot;md_RectifHasRemarks&quot; /&gt;_x000d__x000a_  &lt;metadata key=&quot;md_RectifUseDocRef&quot; /&gt;_x000d__x000a_  &lt;metadata key=&quot;md_RectifDocRefNumber&quot; /&gt;_x000d__x000a_  &lt;metadata key=&quot;md_RectifDocRefDate&quot; /&gt;_x000d__x000a_  &lt;metadata key=&quot;md_RectifUseOJRef&quot; /&gt;_x000d__x000a_  &lt;metadata key=&quot;md_RectifOJRefType&quot; /&gt;_x000d__x000a_  &lt;metadata key=&quot;md_RectifOJLRefNumber&quot; /&gt;_x000d__x000a_  &lt;metadata key=&quot;md_RectifOJCRefNumber&quot; /&gt;_x000d__x000a_  &lt;metadata key=&quot;md_RectifOJLRefDate&quot; /&gt;_x000d__x000a_  &lt;metadata key=&quot;md_RectifOJCRefDate&quot; /&gt;_x000d__x000a_  &lt;metadata key=&quot;md_RectifOJLRefPage&quot; /&gt;_x000d__x000a_  &lt;metadata key=&quot;md_RectifOJCRefPage&quot; /&gt;_x000d__x000a_  &lt;metadata key=&quot;md_RectifUseOJCorRef&quot; /&gt;_x000d__x000a_  &lt;metadata key=&quot;md_RectifOJCorRefNumber&quot; /&gt;_x000d__x000a_  &lt;metadata key=&quot;md_RectifOJCorRefDate&quot; /&gt;_x000d__x000a_  &lt;metadata key=&quot;md_RectifOJCorRefPage&quot; /&gt;_x000d__x000a_  &lt;metadata key=&quot;md_RectifTimeLimit&quot; /&gt;_x000d__x000a_  &lt;metadata key=&quot;md_RectifCodecision&quot; /&gt;_x000d__x000a_  &lt;metadata key=&quot;md_RectifCorrectionNewLang&quot; /&gt;_x000d__x000a_  &lt;metadata key=&quot;md_RectifAgreement&quot; /&gt;_x000d__x000a_  &lt;metadata key=&quot;md_RectifSignature&quot; /&gt;_x000d__x000a_  &lt;metadata key=&quot;md_RectifLastMergeDate&quot; /&gt;_x000d__x000a_  &lt;metadata key=&quot;md_Rectif_Source1_UniqueHeading&quot;&gt;_x000d__x000a_    &lt;basicdatatype&gt;_x000d__x000a_      &lt;text&gt;&lt;/text&gt;_x000d__x000a_    &lt;/basicdatatype&gt;_x000d__x000a_  &lt;/metadata&gt;_x000d__x000a_  &lt;metadata key=&quot;md_Rectif_Source1_DocumentType&quot;&gt;_x000d__x000a_    &lt;basicdatatype&gt;_x000d__x000a_      &lt;doc_type key=&quot;&quot; /&gt;_x000d__x000a_    &lt;/basicdatatype&gt;_x000d__x000a_  &lt;/metadata&gt;_x000d__x000a_  &lt;metadata key=&quot;md_Rectif_Source1_DocumentNumber&quot;&gt;_x000d__x000a_    &lt;text&gt;&lt;/text&gt;_x000d__x000a_  &lt;/metadata&gt;_x000d__x000a_  &lt;metadata key=&quot;md_Rectif_Source1_YearDocumentNumber&quot;&gt;_x000d__x000a_    &lt;text&gt;2025&lt;/text&gt;_x000d__x000a_  &lt;/metadata&gt;_x000d__x000a_  &lt;metadata key=&quot;md_Rectif_Source1_Suffixes&quot;&gt;_x000d__x000a_    &lt;text&gt;&lt;/text&gt;_x000d__x000a_  &lt;/metadata&gt;_x000d__x000a_  &lt;metadata key=&quot;md_Rectif_Source2_UniqueHeading&quot;&gt;_x000d__x000a_    &lt;basicdatatype&gt;_x000d__x000a_      &lt;text&gt;&lt;/text&gt;_x000d__x000a_    &lt;/basicdatatype&gt;_x000d__x000a_  &lt;/metadata&gt;_x000d__x000a_  &lt;metadata key=&quot;md_Rectif_Source2_DocumentType&quot;&gt;_x000d__x000a_    &lt;basicdatatype&gt;_x000d__x000a_      &lt;doc_type key=&quot;&quot; /&gt;_x000d__x000a_    &lt;/basicdatatype&gt;_x000d__x000a_  &lt;/metadata&gt;_x000d__x000a_  &lt;metadata key=&quot;md_Rectif_Source2_DocumentNumber&quot;&gt;_x000d__x000a_    &lt;text&gt;&lt;/text&gt;_x000d__x000a_  &lt;/metadata&gt;_x000d__x000a_  &lt;metadata key=&quot;md_Rectif_Source2_YearDocumentNumber&quot;&gt;_x000d__x000a_    &lt;text&gt;&lt;/text&gt;_x000d__x000a_  &lt;/metadata&gt;_x000d__x000a_  &lt;metadata key=&quot;md_Rectif_Source2_Suffixes&quot;&gt;_x000d__x000a_    &lt;text&gt;&lt;/text&gt;_x000d__x000a_  &lt;/metadata&gt;_x000d__x000a_  &lt;metadata key=&quot;md_CoverPageDocWithCouncilFooter&quot;&gt;_x000d__x000a_    &lt;text&gt;false&lt;/text&gt;_x000d__x000a_  &lt;/metadata&gt;_x000d__x000a_  &lt;metadata key=&quot;md_SourceDocLanguage&quot;&gt;_x000d__x000a_    &lt;text&gt;&lt;/text&gt;_x000d__x000a_  &lt;/metadata&gt;_x000d__x000a_  &lt;metadata key=&quot;md_SourceDocType&quot;&gt;_x000d__x000a_    &lt;text&gt;&lt;/text&gt;_x000d__x000a_  &lt;/metadata&gt;_x000d__x000a_  &lt;metadata key=&quot;md_SourceDocTitle&quot;&gt;_x000d__x000a_    &lt;text&gt;&lt;/text&gt;_x000d__x000a_  &lt;/metadata&gt;_x000d__x000a_  &lt;metadata key=&quot;md_SourceDocIsCECDoc&quot; /&gt;_x000d__x000a_  &lt;metadata key=&quot;md_NB1&quot; /&gt;_x000d__x000a_  &lt;metadata key=&quot;md_NB2&quot; /&gt;_x000d__x000a_  &lt;metadata key=&quot;md_NB3&quot; /&gt;_x000d__x000a_  &lt;metadata key=&quot;md_NB4&quot; /&gt;_x000d__x000a_  &lt;metadata key=&quot;md_NB5&quot; /&gt;_x000d__x000a_  &lt;metadata key=&quot;md_CustomNB&quot; /&gt;_x000d__x000a_  &lt;metadata key=&quot;md_Meetings&quot;&gt;_x000d__x000a_    &lt;meetings /&gt;_x000d__x000a_  &lt;/metadata&gt;_x000d__x000a_  &lt;metadata key=&quot;md_VisualRepresentation&quot;&gt;_x000d__x000a_    &lt;basicdatatype&gt;_x000d__x000a_      &lt;visualrepresentation key=&quot;visrep_02&quot; text=&quot;New visual identity&quot; /&gt;_x000d__x000a_    &lt;/basicdatatype&gt;_x000d__x000a_  &lt;/metadata&gt;_x000d__x000a_  &lt;metadata key=&quot;md_LetterData&quot; /&gt;_x000d__x000a_  &lt;metadata key=&quot;md_InstFrSubWordmark&quot;&gt;_x000d__x000a_    &lt;xaml text=&quot;&quot;&gt;&amp;lt;FlowDocument FontFamily=&quot;Segoe UI&quot; FontSize=&quot;12&quot; PagePadding=&quot;2,2,2,2&quot; AllowDrop=&quot;False&quot; xmlns=&quot;http://schemas.microsoft.com/winfx/2006/xaml/presentation&quot; /&amp;gt;&lt;/xaml&gt;_x000d__x000a_  &lt;/metadata&gt;_x000d__x000a_  &lt;metadata key=&quot;md_WorkflowLinkStatus&quot;&gt;_x000d__x000a_    &lt;text&gt;NotLinked&lt;/text&gt;_x000d__x000a_  &lt;/metadata&gt;_x000d__x000a_  &lt;metadata key=&quot;md_eAgendaLinkStatus&quot; /&gt;_x000d__x000a_  &lt;metadata key=&quot;md_Caveat&quot;&gt;_x000d__x000a_    &lt;text&gt;&lt;/text&gt;_x000d__x000a_  &lt;/metadata&gt;_x000d__x000a_  &lt;metadata key=&quot;md_TechnicalKey&quot; /&gt;_x000d__x000a_&lt;/metadataset&gt;"/>
    <w:docVar w:name="DQCDateTime" w:val="2025-03-12 10:45:12"/>
    <w:docVar w:name="DW_DocType" w:val="DW_LEGACTS"/>
    <w:docVar w:name="DW_TechnicalBlockHash" w:val="da71d67de391189d4fda9dec17a69c3ba67df4b5da3675d7c08785a1c07e3653"/>
    <w:docVar w:name="EPKit_DocumentHasBeenSaved" w:val="true"/>
  </w:docVars>
  <w:rsids>
    <w:rsidRoot w:val="00784272"/>
    <w:rsid w:val="00017EFD"/>
    <w:rsid w:val="00026BC5"/>
    <w:rsid w:val="00031A79"/>
    <w:rsid w:val="00073D93"/>
    <w:rsid w:val="0007732D"/>
    <w:rsid w:val="000C5C3D"/>
    <w:rsid w:val="000D75C2"/>
    <w:rsid w:val="000F2185"/>
    <w:rsid w:val="000F62FF"/>
    <w:rsid w:val="0010098C"/>
    <w:rsid w:val="00117B31"/>
    <w:rsid w:val="001902B5"/>
    <w:rsid w:val="001A0AB8"/>
    <w:rsid w:val="00222199"/>
    <w:rsid w:val="00231C39"/>
    <w:rsid w:val="00245855"/>
    <w:rsid w:val="0026408D"/>
    <w:rsid w:val="0027034F"/>
    <w:rsid w:val="00282A2C"/>
    <w:rsid w:val="0028762D"/>
    <w:rsid w:val="002D187E"/>
    <w:rsid w:val="002D33A2"/>
    <w:rsid w:val="002E245B"/>
    <w:rsid w:val="002E7D21"/>
    <w:rsid w:val="00311D3B"/>
    <w:rsid w:val="00312459"/>
    <w:rsid w:val="00316E10"/>
    <w:rsid w:val="00331496"/>
    <w:rsid w:val="00334087"/>
    <w:rsid w:val="003404D2"/>
    <w:rsid w:val="00344939"/>
    <w:rsid w:val="003829BF"/>
    <w:rsid w:val="004610C5"/>
    <w:rsid w:val="004634EE"/>
    <w:rsid w:val="0046785F"/>
    <w:rsid w:val="00475978"/>
    <w:rsid w:val="0047733F"/>
    <w:rsid w:val="004857AB"/>
    <w:rsid w:val="004A0621"/>
    <w:rsid w:val="004A7D09"/>
    <w:rsid w:val="004B0B32"/>
    <w:rsid w:val="004D5032"/>
    <w:rsid w:val="00527E26"/>
    <w:rsid w:val="00557C97"/>
    <w:rsid w:val="00585DDC"/>
    <w:rsid w:val="005A07CD"/>
    <w:rsid w:val="005C3F8F"/>
    <w:rsid w:val="0065181F"/>
    <w:rsid w:val="006D7C1A"/>
    <w:rsid w:val="006E01BA"/>
    <w:rsid w:val="006F366F"/>
    <w:rsid w:val="00706EDC"/>
    <w:rsid w:val="0070771D"/>
    <w:rsid w:val="00716DC6"/>
    <w:rsid w:val="007426AA"/>
    <w:rsid w:val="00765F20"/>
    <w:rsid w:val="0077650D"/>
    <w:rsid w:val="00784272"/>
    <w:rsid w:val="007A3669"/>
    <w:rsid w:val="00806549"/>
    <w:rsid w:val="00810C92"/>
    <w:rsid w:val="00851F9F"/>
    <w:rsid w:val="00875E11"/>
    <w:rsid w:val="008B4C44"/>
    <w:rsid w:val="008B5F01"/>
    <w:rsid w:val="008C02C8"/>
    <w:rsid w:val="008C0739"/>
    <w:rsid w:val="008C6C72"/>
    <w:rsid w:val="00907DF6"/>
    <w:rsid w:val="00924AE4"/>
    <w:rsid w:val="00936220"/>
    <w:rsid w:val="00980A4D"/>
    <w:rsid w:val="009F09EC"/>
    <w:rsid w:val="00A202D3"/>
    <w:rsid w:val="00A22788"/>
    <w:rsid w:val="00A371BE"/>
    <w:rsid w:val="00A55A71"/>
    <w:rsid w:val="00A63992"/>
    <w:rsid w:val="00A63AB8"/>
    <w:rsid w:val="00A90AA6"/>
    <w:rsid w:val="00AC7D7C"/>
    <w:rsid w:val="00B33615"/>
    <w:rsid w:val="00B45E27"/>
    <w:rsid w:val="00B6224F"/>
    <w:rsid w:val="00B879FF"/>
    <w:rsid w:val="00B9792A"/>
    <w:rsid w:val="00BB1852"/>
    <w:rsid w:val="00BE2C8A"/>
    <w:rsid w:val="00C03C2B"/>
    <w:rsid w:val="00C17936"/>
    <w:rsid w:val="00C41049"/>
    <w:rsid w:val="00C55071"/>
    <w:rsid w:val="00C867E9"/>
    <w:rsid w:val="00C94347"/>
    <w:rsid w:val="00CA47CA"/>
    <w:rsid w:val="00CB623A"/>
    <w:rsid w:val="00CD62ED"/>
    <w:rsid w:val="00D11542"/>
    <w:rsid w:val="00D119C5"/>
    <w:rsid w:val="00D333BD"/>
    <w:rsid w:val="00D717E8"/>
    <w:rsid w:val="00D76893"/>
    <w:rsid w:val="00D839D3"/>
    <w:rsid w:val="00DC28A4"/>
    <w:rsid w:val="00DC786C"/>
    <w:rsid w:val="00DD2D4F"/>
    <w:rsid w:val="00E152CE"/>
    <w:rsid w:val="00E155C2"/>
    <w:rsid w:val="00E2396F"/>
    <w:rsid w:val="00E30703"/>
    <w:rsid w:val="00E30745"/>
    <w:rsid w:val="00E3256C"/>
    <w:rsid w:val="00E37E1B"/>
    <w:rsid w:val="00E44BB4"/>
    <w:rsid w:val="00E56FAD"/>
    <w:rsid w:val="00E74611"/>
    <w:rsid w:val="00E854D3"/>
    <w:rsid w:val="00EA02C8"/>
    <w:rsid w:val="00EB3356"/>
    <w:rsid w:val="00ED35D3"/>
    <w:rsid w:val="00EE14A8"/>
    <w:rsid w:val="00EE3825"/>
    <w:rsid w:val="00EE74EC"/>
    <w:rsid w:val="00F26674"/>
    <w:rsid w:val="00F27E28"/>
    <w:rsid w:val="00F41649"/>
    <w:rsid w:val="00F620B7"/>
    <w:rsid w:val="00F63CED"/>
    <w:rsid w:val="00F724DE"/>
    <w:rsid w:val="00F73B73"/>
    <w:rsid w:val="00F93549"/>
    <w:rsid w:val="00FB1507"/>
    <w:rsid w:val="00FB39B0"/>
    <w:rsid w:val="00FC0E3F"/>
    <w:rsid w:val="00FD36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20411"/>
  <w15:chartTrackingRefBased/>
  <w15:docId w15:val="{89C0FB46-E88F-4D0C-81FE-AE0881A9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pPr>
    <w:rPr>
      <w:rFonts w:ascii="Times New Roman" w:hAnsi="Times New Roman" w:cs="Times New Roman"/>
      <w:sz w:val="24"/>
      <w:lang w:val="en-GB"/>
    </w:rPr>
  </w:style>
  <w:style w:type="paragraph" w:styleId="Heading1">
    <w:name w:val="heading 1"/>
    <w:basedOn w:val="Normal"/>
    <w:next w:val="Text1"/>
    <w:link w:val="Heading1Char"/>
    <w:uiPriority w:val="9"/>
    <w:qFormat/>
    <w:rsid w:val="00245855"/>
    <w:pPr>
      <w:keepNext/>
      <w:numPr>
        <w:numId w:val="11"/>
      </w:numPr>
      <w:tabs>
        <w:tab w:val="left" w:pos="850"/>
      </w:tabs>
      <w:spacing w:before="360"/>
      <w:outlineLvl w:val="0"/>
    </w:pPr>
    <w:rPr>
      <w:rFonts w:eastAsiaTheme="majorEastAsia"/>
      <w:b/>
      <w:smallCaps/>
      <w:szCs w:val="32"/>
    </w:rPr>
  </w:style>
  <w:style w:type="paragraph" w:styleId="Heading2">
    <w:name w:val="heading 2"/>
    <w:basedOn w:val="Normal"/>
    <w:next w:val="Text1"/>
    <w:link w:val="Heading2Char"/>
    <w:uiPriority w:val="9"/>
    <w:semiHidden/>
    <w:unhideWhenUsed/>
    <w:qFormat/>
    <w:rsid w:val="00245855"/>
    <w:pPr>
      <w:keepNext/>
      <w:numPr>
        <w:ilvl w:val="1"/>
        <w:numId w:val="11"/>
      </w:numPr>
      <w:tabs>
        <w:tab w:val="left" w:pos="850"/>
      </w:tabs>
      <w:outlineLvl w:val="1"/>
    </w:pPr>
    <w:rPr>
      <w:rFonts w:eastAsiaTheme="majorEastAsia"/>
      <w:b/>
      <w:szCs w:val="26"/>
    </w:rPr>
  </w:style>
  <w:style w:type="paragraph" w:styleId="Heading3">
    <w:name w:val="heading 3"/>
    <w:basedOn w:val="Normal"/>
    <w:next w:val="Text1"/>
    <w:link w:val="Heading3Char"/>
    <w:uiPriority w:val="9"/>
    <w:semiHidden/>
    <w:unhideWhenUsed/>
    <w:qFormat/>
    <w:rsid w:val="00245855"/>
    <w:pPr>
      <w:keepNext/>
      <w:numPr>
        <w:ilvl w:val="2"/>
        <w:numId w:val="11"/>
      </w:numPr>
      <w:tabs>
        <w:tab w:val="left" w:pos="850"/>
      </w:tabs>
      <w:outlineLvl w:val="2"/>
    </w:pPr>
    <w:rPr>
      <w:rFonts w:eastAsiaTheme="majorEastAsia"/>
      <w:i/>
      <w:szCs w:val="24"/>
    </w:rPr>
  </w:style>
  <w:style w:type="paragraph" w:styleId="Heading4">
    <w:name w:val="heading 4"/>
    <w:basedOn w:val="Normal"/>
    <w:next w:val="Text1"/>
    <w:link w:val="Heading4Char"/>
    <w:uiPriority w:val="9"/>
    <w:semiHidden/>
    <w:unhideWhenUsed/>
    <w:qFormat/>
    <w:rsid w:val="00245855"/>
    <w:pPr>
      <w:keepNext/>
      <w:numPr>
        <w:ilvl w:val="3"/>
        <w:numId w:val="11"/>
      </w:numPr>
      <w:tabs>
        <w:tab w:val="left" w:pos="850"/>
      </w:tabs>
      <w:outlineLvl w:val="3"/>
    </w:pPr>
    <w:rPr>
      <w:rFonts w:eastAsiaTheme="majorEastAsia"/>
      <w:iCs/>
    </w:rPr>
  </w:style>
  <w:style w:type="paragraph" w:styleId="Heading5">
    <w:name w:val="heading 5"/>
    <w:basedOn w:val="Normal"/>
    <w:next w:val="Text1"/>
    <w:link w:val="Heading5Char"/>
    <w:uiPriority w:val="9"/>
    <w:semiHidden/>
    <w:unhideWhenUsed/>
    <w:qFormat/>
    <w:rsid w:val="00245855"/>
    <w:pPr>
      <w:keepNext/>
      <w:numPr>
        <w:ilvl w:val="4"/>
        <w:numId w:val="11"/>
      </w:numPr>
      <w:tabs>
        <w:tab w:val="left" w:pos="850"/>
      </w:tabs>
      <w:outlineLvl w:val="4"/>
    </w:pPr>
    <w:rPr>
      <w:rFonts w:eastAsiaTheme="majorEastAsia"/>
    </w:rPr>
  </w:style>
  <w:style w:type="paragraph" w:styleId="Heading6">
    <w:name w:val="heading 6"/>
    <w:basedOn w:val="Normal"/>
    <w:next w:val="Text1"/>
    <w:link w:val="Heading6Char"/>
    <w:uiPriority w:val="9"/>
    <w:semiHidden/>
    <w:unhideWhenUsed/>
    <w:qFormat/>
    <w:rsid w:val="00245855"/>
    <w:pPr>
      <w:keepNext/>
      <w:numPr>
        <w:ilvl w:val="5"/>
        <w:numId w:val="11"/>
      </w:numPr>
      <w:tabs>
        <w:tab w:val="left" w:pos="850"/>
      </w:tabs>
      <w:outlineLvl w:val="5"/>
    </w:pPr>
    <w:rPr>
      <w:rFonts w:eastAsiaTheme="majorEastAsia"/>
    </w:rPr>
  </w:style>
  <w:style w:type="paragraph" w:styleId="Heading7">
    <w:name w:val="heading 7"/>
    <w:basedOn w:val="Normal"/>
    <w:next w:val="Text1"/>
    <w:link w:val="Heading7Char"/>
    <w:uiPriority w:val="9"/>
    <w:semiHidden/>
    <w:unhideWhenUsed/>
    <w:qFormat/>
    <w:rsid w:val="00245855"/>
    <w:pPr>
      <w:keepNext/>
      <w:numPr>
        <w:ilvl w:val="6"/>
        <w:numId w:val="11"/>
      </w:numPr>
      <w:tabs>
        <w:tab w:val="left" w:pos="850"/>
      </w:tabs>
      <w:outlineLvl w:val="6"/>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EntRefer">
    <w:name w:val="TBEntRefer"/>
    <w:basedOn w:val="TechnicalBlockBase"/>
    <w:rsid w:val="00B879FF"/>
    <w:pPr>
      <w:widowControl/>
      <w:spacing w:before="0" w:after="0" w:line="240" w:lineRule="auto"/>
      <w:ind w:left="0" w:right="0"/>
    </w:pPr>
    <w:rPr>
      <w:rFonts w:ascii="Arial" w:hAnsi="Arial"/>
      <w:i w:val="0"/>
      <w:dstrike w:val="0"/>
      <w:color w:val="auto"/>
      <w:w w:val="100"/>
      <w:sz w:val="23"/>
      <w:szCs w:val="23"/>
      <w:u w:val="none"/>
    </w:rPr>
  </w:style>
  <w:style w:type="paragraph" w:customStyle="1" w:styleId="TBEntLogo">
    <w:name w:val="TBEntLogo"/>
    <w:basedOn w:val="TechnicalBlockBase"/>
    <w:rsid w:val="00B879FF"/>
    <w:pPr>
      <w:widowControl/>
      <w:tabs>
        <w:tab w:val="right" w:pos="9639"/>
      </w:tabs>
      <w:spacing w:before="0" w:after="0" w:line="360" w:lineRule="auto"/>
      <w:ind w:left="0" w:right="0"/>
    </w:pPr>
    <w:rPr>
      <w:rFonts w:ascii="Arial" w:hAnsi="Arial"/>
      <w:i w:val="0"/>
      <w:dstrike w:val="0"/>
      <w:color w:val="auto"/>
      <w:w w:val="100"/>
      <w:sz w:val="23"/>
      <w:szCs w:val="23"/>
      <w:u w:val="none"/>
    </w:rPr>
  </w:style>
  <w:style w:type="paragraph" w:customStyle="1" w:styleId="TBGenredudocument">
    <w:name w:val="TBGenredudocument"/>
    <w:basedOn w:val="TechnicalBlockBase"/>
    <w:rsid w:val="00B879FF"/>
    <w:pPr>
      <w:widowControl/>
      <w:spacing w:before="0" w:after="40" w:line="240" w:lineRule="auto"/>
      <w:ind w:left="0" w:right="0"/>
    </w:pPr>
    <w:rPr>
      <w:rFonts w:ascii="Arial" w:hAnsi="Arial"/>
      <w:bCs/>
      <w:i w:val="0"/>
      <w:dstrike w:val="0"/>
      <w:color w:val="auto"/>
      <w:w w:val="100"/>
      <w:sz w:val="23"/>
      <w:szCs w:val="23"/>
      <w:u w:val="none"/>
    </w:rPr>
  </w:style>
  <w:style w:type="paragraph" w:customStyle="1" w:styleId="TBEntEU">
    <w:name w:val="TBEntEU"/>
    <w:basedOn w:val="TechnicalBlockBase"/>
    <w:link w:val="EntEUChar"/>
    <w:rsid w:val="00B879FF"/>
    <w:pPr>
      <w:widowControl/>
      <w:spacing w:before="240" w:after="240" w:line="240" w:lineRule="auto"/>
      <w:ind w:left="0" w:right="0"/>
      <w:jc w:val="center"/>
    </w:pPr>
    <w:rPr>
      <w:rFonts w:ascii="Arial" w:hAnsi="Arial"/>
      <w:i w:val="0"/>
      <w:dstrike w:val="0"/>
      <w:color w:val="auto"/>
      <w:w w:val="100"/>
      <w:sz w:val="36"/>
      <w:u w:val="none"/>
    </w:rPr>
  </w:style>
  <w:style w:type="paragraph" w:customStyle="1" w:styleId="TBSousEmbargo">
    <w:name w:val="TBSousEmbargo"/>
    <w:basedOn w:val="TechnicalBlockBase"/>
    <w:qFormat/>
    <w:rsid w:val="00B879FF"/>
    <w:pPr>
      <w:spacing w:before="360" w:after="360" w:line="240" w:lineRule="auto"/>
      <w:ind w:left="0" w:right="0"/>
      <w:jc w:val="center"/>
    </w:pPr>
    <w:rPr>
      <w:rFonts w:ascii="Arial" w:hAnsi="Arial"/>
      <w:i w:val="0"/>
      <w:dstrike w:val="0"/>
      <w:color w:val="auto"/>
      <w:w w:val="100"/>
      <w:sz w:val="23"/>
      <w:szCs w:val="23"/>
      <w:u w:val="double"/>
      <w:lang w:eastAsia="fr-BE"/>
    </w:rPr>
  </w:style>
  <w:style w:type="character" w:customStyle="1" w:styleId="EntEUChar">
    <w:name w:val="EntEU Char"/>
    <w:basedOn w:val="DefaultParagraphFont"/>
    <w:link w:val="TBEntEU"/>
    <w:rsid w:val="00B879FF"/>
    <w:rPr>
      <w:rFonts w:ascii="Arial" w:eastAsia="Times New Roman" w:hAnsi="Arial" w:cs="Arial"/>
      <w:b/>
      <w:sz w:val="36"/>
      <w:szCs w:val="36"/>
      <w:u w:color="606060"/>
      <w:lang w:val="en-GB"/>
    </w:rPr>
  </w:style>
  <w:style w:type="paragraph" w:customStyle="1" w:styleId="TBSubjectTable">
    <w:name w:val="TBSubjectTable"/>
    <w:basedOn w:val="TechnicalBlockBase"/>
    <w:rsid w:val="00B879FF"/>
    <w:pPr>
      <w:widowControl/>
      <w:spacing w:before="40" w:after="40" w:line="240" w:lineRule="auto"/>
      <w:ind w:left="0" w:right="0"/>
    </w:pPr>
    <w:rPr>
      <w:rFonts w:ascii="Arial" w:hAnsi="Arial"/>
      <w:b w:val="0"/>
      <w:i w:val="0"/>
      <w:dstrike w:val="0"/>
      <w:color w:val="auto"/>
      <w:w w:val="100"/>
      <w:sz w:val="23"/>
      <w:u w:val="none"/>
    </w:rPr>
  </w:style>
  <w:style w:type="paragraph" w:customStyle="1" w:styleId="TBHeadingTable">
    <w:name w:val="TBHeadingTable"/>
    <w:basedOn w:val="TechnicalBlockBase"/>
    <w:rsid w:val="00B879FF"/>
    <w:pPr>
      <w:widowControl/>
      <w:spacing w:before="240" w:after="40" w:line="240" w:lineRule="auto"/>
      <w:ind w:left="0" w:right="0"/>
    </w:pPr>
    <w:rPr>
      <w:rFonts w:ascii="Arial" w:hAnsi="Arial"/>
      <w:i w:val="0"/>
      <w:dstrike w:val="0"/>
      <w:color w:val="auto"/>
      <w:w w:val="100"/>
      <w:sz w:val="23"/>
      <w:u w:val="none"/>
    </w:rPr>
  </w:style>
  <w:style w:type="paragraph" w:customStyle="1" w:styleId="TBSubjectText">
    <w:name w:val="TBSubjectText"/>
    <w:basedOn w:val="TechnicalBlockBase"/>
    <w:qFormat/>
    <w:rsid w:val="00B879FF"/>
    <w:pPr>
      <w:widowControl/>
      <w:spacing w:before="40" w:after="40" w:line="240" w:lineRule="auto"/>
      <w:ind w:left="0" w:right="0"/>
    </w:pPr>
    <w:rPr>
      <w:rFonts w:ascii="Arial" w:hAnsi="Arial"/>
      <w:b w:val="0"/>
      <w:i w:val="0"/>
      <w:dstrike w:val="0"/>
      <w:color w:val="auto"/>
      <w:w w:val="100"/>
      <w:sz w:val="23"/>
      <w:u w:val="none"/>
    </w:rPr>
  </w:style>
  <w:style w:type="paragraph" w:customStyle="1" w:styleId="TechnicalBlockBase">
    <w:name w:val="TechnicalBlockBase"/>
    <w:link w:val="TechnicalBlockBaseChar"/>
    <w:rsid w:val="00B879FF"/>
    <w:pPr>
      <w:widowControl w:val="0"/>
      <w:spacing w:before="140" w:after="140" w:line="185" w:lineRule="auto"/>
      <w:ind w:left="260" w:right="260"/>
    </w:pPr>
    <w:rPr>
      <w:rFonts w:ascii="Arial New Roman" w:eastAsia="Times New Roman" w:hAnsi="Arial New Roman" w:cs="Arial"/>
      <w:b/>
      <w:i/>
      <w:dstrike/>
      <w:color w:val="606060"/>
      <w:w w:val="98"/>
      <w:sz w:val="10"/>
      <w:szCs w:val="36"/>
      <w:u w:val="words" w:color="606060"/>
      <w:lang w:val="en-GB"/>
    </w:rPr>
  </w:style>
  <w:style w:type="character" w:customStyle="1" w:styleId="TechnicalBlockBaseChar">
    <w:name w:val="TechnicalBlockBase Char"/>
    <w:basedOn w:val="EntEUChar"/>
    <w:link w:val="TechnicalBlockBase"/>
    <w:rsid w:val="00B879FF"/>
    <w:rPr>
      <w:rFonts w:ascii="Arial New Roman" w:eastAsia="Times New Roman" w:hAnsi="Arial New Roman" w:cs="Arial"/>
      <w:b/>
      <w:i/>
      <w:dstrike/>
      <w:color w:val="606060"/>
      <w:w w:val="98"/>
      <w:sz w:val="10"/>
      <w:szCs w:val="36"/>
      <w:u w:val="words" w:color="606060"/>
      <w:lang w:val="en-GB"/>
    </w:rPr>
  </w:style>
  <w:style w:type="paragraph" w:customStyle="1" w:styleId="HeaderCouncilLarge">
    <w:name w:val="Header Council Large"/>
    <w:basedOn w:val="Normal"/>
    <w:link w:val="HeaderCouncilLargeChar"/>
    <w:rsid w:val="00784272"/>
    <w:pPr>
      <w:spacing w:before="0" w:after="440"/>
    </w:pPr>
    <w:rPr>
      <w:rFonts w:eastAsia="Times New Roman"/>
      <w:b/>
      <w:sz w:val="2"/>
      <w:szCs w:val="24"/>
      <w:u w:color="606060"/>
    </w:rPr>
  </w:style>
  <w:style w:type="character" w:customStyle="1" w:styleId="HeaderCouncilLargeChar">
    <w:name w:val="Header Council Large Char"/>
    <w:basedOn w:val="EntEUChar"/>
    <w:link w:val="HeaderCouncilLarge"/>
    <w:rsid w:val="00784272"/>
    <w:rPr>
      <w:rFonts w:ascii="Times New Roman" w:eastAsia="Times New Roman" w:hAnsi="Times New Roman" w:cs="Times New Roman"/>
      <w:b/>
      <w:sz w:val="2"/>
      <w:szCs w:val="24"/>
      <w:u w:color="606060"/>
      <w:lang w:val="en-GB"/>
    </w:rPr>
  </w:style>
  <w:style w:type="paragraph" w:customStyle="1" w:styleId="FooterText">
    <w:name w:val="Footer Text"/>
    <w:basedOn w:val="Normal"/>
    <w:rsid w:val="00784272"/>
    <w:pPr>
      <w:spacing w:before="0" w:after="0" w:line="240" w:lineRule="auto"/>
    </w:pPr>
    <w:rPr>
      <w:rFonts w:eastAsia="Times New Roman"/>
      <w:szCs w:val="24"/>
    </w:rPr>
  </w:style>
  <w:style w:type="character" w:styleId="PlaceholderText">
    <w:name w:val="Placeholder Text"/>
    <w:basedOn w:val="DefaultParagraphFont"/>
    <w:uiPriority w:val="99"/>
    <w:semiHidden/>
    <w:rsid w:val="00784272"/>
    <w:rPr>
      <w:color w:val="808080"/>
    </w:rPr>
  </w:style>
  <w:style w:type="paragraph" w:styleId="CommentText">
    <w:name w:val="annotation text"/>
    <w:basedOn w:val="Normal"/>
    <w:link w:val="CommentTextChar"/>
    <w:rsid w:val="00312459"/>
    <w:pPr>
      <w:widowControl w:val="0"/>
      <w:spacing w:before="0" w:after="0" w:line="240" w:lineRule="auto"/>
    </w:pPr>
    <w:rPr>
      <w:rFonts w:eastAsia="Times New Roman"/>
      <w:sz w:val="20"/>
      <w:szCs w:val="20"/>
      <w:lang w:val="fr-FR" w:eastAsia="en-GB"/>
    </w:rPr>
  </w:style>
  <w:style w:type="character" w:customStyle="1" w:styleId="CommentTextChar">
    <w:name w:val="Comment Text Char"/>
    <w:basedOn w:val="DefaultParagraphFont"/>
    <w:link w:val="CommentText"/>
    <w:rsid w:val="00312459"/>
    <w:rPr>
      <w:rFonts w:ascii="Times New Roman" w:eastAsia="Times New Roman" w:hAnsi="Times New Roman" w:cs="Times New Roman"/>
      <w:sz w:val="20"/>
      <w:szCs w:val="20"/>
      <w:lang w:val="fr-FR" w:eastAsia="en-GB"/>
    </w:rPr>
  </w:style>
  <w:style w:type="character" w:customStyle="1" w:styleId="Hyperlink1">
    <w:name w:val="Hyperlink1"/>
    <w:basedOn w:val="DefaultParagraphFont"/>
    <w:uiPriority w:val="99"/>
    <w:unhideWhenUsed/>
    <w:rsid w:val="00312459"/>
    <w:rPr>
      <w:color w:val="0563C1"/>
      <w:u w:val="single"/>
    </w:rPr>
  </w:style>
  <w:style w:type="character" w:styleId="Hyperlink">
    <w:name w:val="Hyperlink"/>
    <w:basedOn w:val="DefaultParagraphFont"/>
    <w:uiPriority w:val="99"/>
    <w:unhideWhenUsed/>
    <w:rsid w:val="007426AA"/>
    <w:rPr>
      <w:color w:val="0563C1" w:themeColor="hyperlink"/>
      <w:u w:val="single"/>
    </w:rPr>
  </w:style>
  <w:style w:type="character" w:styleId="CommentReference">
    <w:name w:val="annotation reference"/>
    <w:basedOn w:val="DefaultParagraphFont"/>
    <w:uiPriority w:val="99"/>
    <w:semiHidden/>
    <w:unhideWhenUsed/>
    <w:rsid w:val="007426AA"/>
    <w:rPr>
      <w:sz w:val="16"/>
      <w:szCs w:val="16"/>
    </w:rPr>
  </w:style>
  <w:style w:type="paragraph" w:styleId="CommentSubject">
    <w:name w:val="annotation subject"/>
    <w:basedOn w:val="CommentText"/>
    <w:next w:val="CommentText"/>
    <w:link w:val="CommentSubjectChar"/>
    <w:uiPriority w:val="99"/>
    <w:semiHidden/>
    <w:unhideWhenUsed/>
    <w:rsid w:val="0070771D"/>
    <w:pPr>
      <w:widowControl/>
      <w:spacing w:before="120" w:after="120"/>
    </w:pPr>
    <w:rPr>
      <w:rFonts w:eastAsiaTheme="minorHAnsi"/>
      <w:b/>
      <w:bCs/>
      <w:lang w:val="en-GB" w:eastAsia="en-US"/>
    </w:rPr>
  </w:style>
  <w:style w:type="character" w:customStyle="1" w:styleId="CommentSubjectChar">
    <w:name w:val="Comment Subject Char"/>
    <w:basedOn w:val="CommentTextChar"/>
    <w:link w:val="CommentSubject"/>
    <w:uiPriority w:val="99"/>
    <w:semiHidden/>
    <w:rsid w:val="0070771D"/>
    <w:rPr>
      <w:rFonts w:ascii="Times New Roman" w:eastAsia="Times New Roman" w:hAnsi="Times New Roman" w:cs="Times New Roman"/>
      <w:b/>
      <w:bCs/>
      <w:sz w:val="20"/>
      <w:szCs w:val="20"/>
      <w:lang w:val="en-GB" w:eastAsia="en-GB"/>
    </w:rPr>
  </w:style>
  <w:style w:type="paragraph" w:styleId="Header">
    <w:name w:val="header"/>
    <w:basedOn w:val="Normal"/>
    <w:link w:val="HeaderChar"/>
    <w:uiPriority w:val="99"/>
    <w:unhideWhenUsed/>
    <w:rsid w:val="00245855"/>
    <w:pPr>
      <w:tabs>
        <w:tab w:val="right" w:pos="9638"/>
      </w:tabs>
    </w:pPr>
  </w:style>
  <w:style w:type="character" w:customStyle="1" w:styleId="HeaderChar">
    <w:name w:val="Header Char"/>
    <w:basedOn w:val="DefaultParagraphFont"/>
    <w:link w:val="Header"/>
    <w:uiPriority w:val="99"/>
    <w:rsid w:val="00245855"/>
    <w:rPr>
      <w:rFonts w:ascii="Times New Roman" w:hAnsi="Times New Roman" w:cs="Times New Roman"/>
      <w:sz w:val="24"/>
      <w:bdr w:val="none" w:sz="0" w:space="0" w:color="auto"/>
      <w:shd w:val="clear" w:color="auto" w:fill="auto"/>
      <w:lang w:val="en-GB"/>
    </w:rPr>
  </w:style>
  <w:style w:type="paragraph" w:styleId="Footer">
    <w:name w:val="footer"/>
    <w:basedOn w:val="Normal"/>
    <w:link w:val="FooterChar"/>
    <w:uiPriority w:val="99"/>
    <w:unhideWhenUsed/>
    <w:rsid w:val="00245855"/>
    <w:pPr>
      <w:tabs>
        <w:tab w:val="center" w:pos="4819"/>
        <w:tab w:val="center" w:pos="7370"/>
        <w:tab w:val="right" w:pos="9638"/>
      </w:tabs>
      <w:spacing w:before="0" w:after="0" w:line="240" w:lineRule="auto"/>
    </w:pPr>
  </w:style>
  <w:style w:type="character" w:customStyle="1" w:styleId="FooterChar">
    <w:name w:val="Footer Char"/>
    <w:basedOn w:val="DefaultParagraphFont"/>
    <w:link w:val="Footer"/>
    <w:uiPriority w:val="99"/>
    <w:rsid w:val="00245855"/>
    <w:rPr>
      <w:rFonts w:ascii="Times New Roman" w:hAnsi="Times New Roman" w:cs="Times New Roman"/>
      <w:sz w:val="24"/>
      <w:bdr w:val="none" w:sz="0" w:space="0" w:color="auto"/>
      <w:shd w:val="clear" w:color="auto" w:fill="auto"/>
      <w:lang w:val="en-GB"/>
    </w:rPr>
  </w:style>
  <w:style w:type="paragraph" w:styleId="FootnoteText">
    <w:name w:val="footnote text"/>
    <w:basedOn w:val="Normal"/>
    <w:link w:val="FootnoteTextChar"/>
    <w:uiPriority w:val="99"/>
    <w:semiHidden/>
    <w:unhideWhenUsed/>
    <w:rsid w:val="00245855"/>
    <w:pPr>
      <w:spacing w:before="0" w:after="0" w:line="240" w:lineRule="auto"/>
      <w:ind w:left="720" w:hanging="720"/>
    </w:pPr>
    <w:rPr>
      <w:szCs w:val="20"/>
    </w:rPr>
  </w:style>
  <w:style w:type="character" w:customStyle="1" w:styleId="FootnoteTextChar">
    <w:name w:val="Footnote Text Char"/>
    <w:basedOn w:val="DefaultParagraphFont"/>
    <w:link w:val="FootnoteText"/>
    <w:uiPriority w:val="99"/>
    <w:semiHidden/>
    <w:rsid w:val="00245855"/>
    <w:rPr>
      <w:rFonts w:ascii="Times New Roman" w:hAnsi="Times New Roman" w:cs="Times New Roman"/>
      <w:sz w:val="24"/>
      <w:szCs w:val="20"/>
      <w:bdr w:val="none" w:sz="0" w:space="0" w:color="auto"/>
      <w:shd w:val="clear" w:color="auto" w:fill="auto"/>
      <w:lang w:val="en-GB"/>
    </w:rPr>
  </w:style>
  <w:style w:type="character" w:customStyle="1" w:styleId="Heading1Char">
    <w:name w:val="Heading 1 Char"/>
    <w:basedOn w:val="DefaultParagraphFont"/>
    <w:link w:val="Heading1"/>
    <w:uiPriority w:val="9"/>
    <w:rsid w:val="00245855"/>
    <w:rPr>
      <w:rFonts w:ascii="Times New Roman" w:eastAsiaTheme="majorEastAsia" w:hAnsi="Times New Roman" w:cs="Times New Roman"/>
      <w:b/>
      <w:smallCaps/>
      <w:sz w:val="24"/>
      <w:szCs w:val="32"/>
      <w:lang w:val="en-GB"/>
    </w:rPr>
  </w:style>
  <w:style w:type="character" w:customStyle="1" w:styleId="Heading2Char">
    <w:name w:val="Heading 2 Char"/>
    <w:basedOn w:val="DefaultParagraphFont"/>
    <w:link w:val="Heading2"/>
    <w:uiPriority w:val="9"/>
    <w:semiHidden/>
    <w:rsid w:val="00245855"/>
    <w:rPr>
      <w:rFonts w:ascii="Times New Roman" w:eastAsiaTheme="majorEastAsia" w:hAnsi="Times New Roman" w:cs="Times New Roman"/>
      <w:b/>
      <w:sz w:val="24"/>
      <w:szCs w:val="26"/>
      <w:lang w:val="en-GB"/>
    </w:rPr>
  </w:style>
  <w:style w:type="character" w:customStyle="1" w:styleId="Heading3Char">
    <w:name w:val="Heading 3 Char"/>
    <w:basedOn w:val="DefaultParagraphFont"/>
    <w:link w:val="Heading3"/>
    <w:uiPriority w:val="9"/>
    <w:semiHidden/>
    <w:rsid w:val="00245855"/>
    <w:rPr>
      <w:rFonts w:ascii="Times New Roman" w:eastAsiaTheme="majorEastAsia" w:hAnsi="Times New Roman" w:cs="Times New Roman"/>
      <w:i/>
      <w:sz w:val="24"/>
      <w:szCs w:val="24"/>
      <w:lang w:val="en-GB"/>
    </w:rPr>
  </w:style>
  <w:style w:type="character" w:customStyle="1" w:styleId="Heading4Char">
    <w:name w:val="Heading 4 Char"/>
    <w:basedOn w:val="DefaultParagraphFont"/>
    <w:link w:val="Heading4"/>
    <w:uiPriority w:val="9"/>
    <w:semiHidden/>
    <w:rsid w:val="00245855"/>
    <w:rPr>
      <w:rFonts w:ascii="Times New Roman" w:eastAsiaTheme="majorEastAsia" w:hAnsi="Times New Roman" w:cs="Times New Roman"/>
      <w:iCs/>
      <w:sz w:val="24"/>
      <w:lang w:val="en-GB"/>
    </w:rPr>
  </w:style>
  <w:style w:type="character" w:customStyle="1" w:styleId="Heading5Char">
    <w:name w:val="Heading 5 Char"/>
    <w:basedOn w:val="DefaultParagraphFont"/>
    <w:link w:val="Heading5"/>
    <w:uiPriority w:val="9"/>
    <w:semiHidden/>
    <w:rsid w:val="00245855"/>
    <w:rPr>
      <w:rFonts w:ascii="Times New Roman" w:eastAsiaTheme="majorEastAsia" w:hAnsi="Times New Roman" w:cs="Times New Roman"/>
      <w:sz w:val="24"/>
      <w:lang w:val="en-GB"/>
    </w:rPr>
  </w:style>
  <w:style w:type="character" w:customStyle="1" w:styleId="Heading6Char">
    <w:name w:val="Heading 6 Char"/>
    <w:basedOn w:val="DefaultParagraphFont"/>
    <w:link w:val="Heading6"/>
    <w:uiPriority w:val="9"/>
    <w:semiHidden/>
    <w:rsid w:val="00245855"/>
    <w:rPr>
      <w:rFonts w:ascii="Times New Roman" w:eastAsiaTheme="majorEastAsia" w:hAnsi="Times New Roman" w:cs="Times New Roman"/>
      <w:sz w:val="24"/>
      <w:lang w:val="en-GB"/>
    </w:rPr>
  </w:style>
  <w:style w:type="character" w:customStyle="1" w:styleId="Heading7Char">
    <w:name w:val="Heading 7 Char"/>
    <w:basedOn w:val="DefaultParagraphFont"/>
    <w:link w:val="Heading7"/>
    <w:uiPriority w:val="9"/>
    <w:semiHidden/>
    <w:rsid w:val="00245855"/>
    <w:rPr>
      <w:rFonts w:ascii="Times New Roman" w:eastAsiaTheme="majorEastAsia" w:hAnsi="Times New Roman" w:cs="Times New Roman"/>
      <w:iCs/>
      <w:sz w:val="24"/>
      <w:lang w:val="en-GB"/>
    </w:rPr>
  </w:style>
  <w:style w:type="paragraph" w:styleId="TOCHeading">
    <w:name w:val="TOC Heading"/>
    <w:basedOn w:val="Normal"/>
    <w:next w:val="Normal"/>
    <w:uiPriority w:val="39"/>
    <w:semiHidden/>
    <w:unhideWhenUsed/>
    <w:qFormat/>
    <w:rsid w:val="00245855"/>
    <w:pPr>
      <w:spacing w:after="240"/>
      <w:jc w:val="center"/>
    </w:pPr>
    <w:rPr>
      <w:b/>
      <w:sz w:val="28"/>
    </w:rPr>
  </w:style>
  <w:style w:type="paragraph" w:styleId="TOC1">
    <w:name w:val="toc 1"/>
    <w:basedOn w:val="Normal"/>
    <w:next w:val="Normal"/>
    <w:uiPriority w:val="39"/>
    <w:semiHidden/>
    <w:unhideWhenUsed/>
    <w:rsid w:val="00245855"/>
    <w:pPr>
      <w:tabs>
        <w:tab w:val="right" w:leader="dot" w:pos="9071"/>
      </w:tabs>
      <w:spacing w:before="60"/>
      <w:ind w:left="850" w:hanging="850"/>
    </w:pPr>
  </w:style>
  <w:style w:type="paragraph" w:styleId="TOC2">
    <w:name w:val="toc 2"/>
    <w:basedOn w:val="Normal"/>
    <w:next w:val="Normal"/>
    <w:uiPriority w:val="39"/>
    <w:semiHidden/>
    <w:unhideWhenUsed/>
    <w:rsid w:val="00245855"/>
    <w:pPr>
      <w:tabs>
        <w:tab w:val="right" w:leader="dot" w:pos="9071"/>
      </w:tabs>
      <w:spacing w:before="60"/>
      <w:ind w:left="850" w:hanging="850"/>
    </w:pPr>
  </w:style>
  <w:style w:type="paragraph" w:styleId="TOC3">
    <w:name w:val="toc 3"/>
    <w:basedOn w:val="Normal"/>
    <w:next w:val="Normal"/>
    <w:uiPriority w:val="39"/>
    <w:semiHidden/>
    <w:unhideWhenUsed/>
    <w:rsid w:val="00245855"/>
    <w:pPr>
      <w:tabs>
        <w:tab w:val="right" w:leader="dot" w:pos="9071"/>
      </w:tabs>
      <w:spacing w:before="60"/>
      <w:ind w:left="850" w:hanging="850"/>
    </w:pPr>
  </w:style>
  <w:style w:type="paragraph" w:styleId="TOC4">
    <w:name w:val="toc 4"/>
    <w:basedOn w:val="Normal"/>
    <w:next w:val="Normal"/>
    <w:uiPriority w:val="39"/>
    <w:semiHidden/>
    <w:unhideWhenUsed/>
    <w:rsid w:val="00245855"/>
    <w:pPr>
      <w:tabs>
        <w:tab w:val="right" w:leader="dot" w:pos="9071"/>
      </w:tabs>
      <w:spacing w:before="60"/>
      <w:ind w:left="850" w:hanging="850"/>
    </w:pPr>
  </w:style>
  <w:style w:type="paragraph" w:styleId="TOC5">
    <w:name w:val="toc 5"/>
    <w:basedOn w:val="Normal"/>
    <w:next w:val="Normal"/>
    <w:uiPriority w:val="39"/>
    <w:semiHidden/>
    <w:unhideWhenUsed/>
    <w:rsid w:val="00245855"/>
    <w:pPr>
      <w:tabs>
        <w:tab w:val="right" w:leader="dot" w:pos="9071"/>
      </w:tabs>
      <w:spacing w:before="300"/>
    </w:pPr>
  </w:style>
  <w:style w:type="paragraph" w:styleId="TOC6">
    <w:name w:val="toc 6"/>
    <w:basedOn w:val="Normal"/>
    <w:next w:val="Normal"/>
    <w:uiPriority w:val="39"/>
    <w:semiHidden/>
    <w:unhideWhenUsed/>
    <w:rsid w:val="00245855"/>
    <w:pPr>
      <w:tabs>
        <w:tab w:val="right" w:leader="dot" w:pos="9071"/>
      </w:tabs>
      <w:spacing w:before="240"/>
    </w:pPr>
  </w:style>
  <w:style w:type="paragraph" w:styleId="TOC7">
    <w:name w:val="toc 7"/>
    <w:basedOn w:val="Normal"/>
    <w:next w:val="Normal"/>
    <w:uiPriority w:val="39"/>
    <w:semiHidden/>
    <w:unhideWhenUsed/>
    <w:rsid w:val="00245855"/>
    <w:pPr>
      <w:tabs>
        <w:tab w:val="right" w:leader="dot" w:pos="9071"/>
      </w:tabs>
      <w:spacing w:before="180"/>
    </w:pPr>
  </w:style>
  <w:style w:type="paragraph" w:styleId="TOC8">
    <w:name w:val="toc 8"/>
    <w:basedOn w:val="Normal"/>
    <w:next w:val="Normal"/>
    <w:uiPriority w:val="39"/>
    <w:semiHidden/>
    <w:unhideWhenUsed/>
    <w:rsid w:val="00245855"/>
    <w:pPr>
      <w:tabs>
        <w:tab w:val="right" w:leader="dot" w:pos="9071"/>
      </w:tabs>
    </w:pPr>
  </w:style>
  <w:style w:type="paragraph" w:styleId="TOC9">
    <w:name w:val="toc 9"/>
    <w:basedOn w:val="Normal"/>
    <w:next w:val="Normal"/>
    <w:uiPriority w:val="39"/>
    <w:semiHidden/>
    <w:unhideWhenUsed/>
    <w:rsid w:val="00245855"/>
    <w:pPr>
      <w:tabs>
        <w:tab w:val="right" w:leader="dot" w:pos="9071"/>
      </w:tabs>
    </w:pPr>
  </w:style>
  <w:style w:type="paragraph" w:customStyle="1" w:styleId="HeaderLandscape">
    <w:name w:val="HeaderLandscape"/>
    <w:basedOn w:val="Normal"/>
    <w:rsid w:val="00245855"/>
    <w:pPr>
      <w:tabs>
        <w:tab w:val="right" w:pos="14570"/>
      </w:tabs>
    </w:pPr>
  </w:style>
  <w:style w:type="paragraph" w:customStyle="1" w:styleId="FooterLandscape">
    <w:name w:val="FooterLandscape"/>
    <w:basedOn w:val="Normal"/>
    <w:rsid w:val="00245855"/>
    <w:pPr>
      <w:tabs>
        <w:tab w:val="center" w:pos="7285"/>
        <w:tab w:val="center" w:pos="10930"/>
        <w:tab w:val="right" w:pos="14570"/>
      </w:tabs>
      <w:spacing w:before="0" w:after="0" w:line="240" w:lineRule="auto"/>
    </w:pPr>
  </w:style>
  <w:style w:type="character" w:styleId="FootnoteReference">
    <w:name w:val="footnote reference"/>
    <w:basedOn w:val="DefaultParagraphFont"/>
    <w:uiPriority w:val="99"/>
    <w:semiHidden/>
    <w:unhideWhenUsed/>
    <w:rsid w:val="00245855"/>
    <w:rPr>
      <w:b/>
      <w:bdr w:val="none" w:sz="0" w:space="0" w:color="auto"/>
      <w:shd w:val="clear" w:color="auto" w:fill="auto"/>
      <w:vertAlign w:val="superscript"/>
    </w:rPr>
  </w:style>
  <w:style w:type="paragraph" w:customStyle="1" w:styleId="HeaderCouncil">
    <w:name w:val="Header Council"/>
    <w:basedOn w:val="Normal"/>
    <w:rsid w:val="00245855"/>
    <w:pPr>
      <w:spacing w:before="0" w:after="0" w:line="240" w:lineRule="auto"/>
    </w:pPr>
    <w:rPr>
      <w:sz w:val="2"/>
    </w:rPr>
  </w:style>
  <w:style w:type="paragraph" w:customStyle="1" w:styleId="FooterCouncil">
    <w:name w:val="Footer Council"/>
    <w:basedOn w:val="Normal"/>
    <w:rsid w:val="00245855"/>
    <w:pPr>
      <w:spacing w:before="0" w:after="0" w:line="240" w:lineRule="auto"/>
    </w:pPr>
    <w:rPr>
      <w:sz w:val="2"/>
    </w:rPr>
  </w:style>
  <w:style w:type="paragraph" w:customStyle="1" w:styleId="TechnicalBlock">
    <w:name w:val="Technical Block"/>
    <w:basedOn w:val="Normal"/>
    <w:next w:val="Normal"/>
    <w:rsid w:val="00245855"/>
    <w:pPr>
      <w:spacing w:before="0" w:after="240" w:line="240" w:lineRule="auto"/>
      <w:jc w:val="center"/>
    </w:pPr>
  </w:style>
  <w:style w:type="character" w:customStyle="1" w:styleId="Marker">
    <w:name w:val="Marker"/>
    <w:basedOn w:val="DefaultParagraphFont"/>
    <w:rsid w:val="00245855"/>
    <w:rPr>
      <w:color w:val="0000FF"/>
      <w:bdr w:val="none" w:sz="0" w:space="0" w:color="auto"/>
      <w:shd w:val="clear" w:color="auto" w:fill="auto"/>
    </w:rPr>
  </w:style>
  <w:style w:type="character" w:customStyle="1" w:styleId="Marker1">
    <w:name w:val="Marker1"/>
    <w:basedOn w:val="DefaultParagraphFont"/>
    <w:rsid w:val="00245855"/>
    <w:rPr>
      <w:color w:val="008000"/>
      <w:bdr w:val="none" w:sz="0" w:space="0" w:color="auto"/>
      <w:shd w:val="clear" w:color="auto" w:fill="auto"/>
    </w:rPr>
  </w:style>
  <w:style w:type="paragraph" w:customStyle="1" w:styleId="Text1">
    <w:name w:val="Text 1"/>
    <w:basedOn w:val="Normal"/>
    <w:rsid w:val="00245855"/>
    <w:pPr>
      <w:ind w:left="850"/>
    </w:pPr>
  </w:style>
  <w:style w:type="paragraph" w:customStyle="1" w:styleId="Text2">
    <w:name w:val="Text 2"/>
    <w:basedOn w:val="Normal"/>
    <w:rsid w:val="00245855"/>
    <w:pPr>
      <w:ind w:left="1417"/>
    </w:pPr>
  </w:style>
  <w:style w:type="paragraph" w:customStyle="1" w:styleId="Text3">
    <w:name w:val="Text 3"/>
    <w:basedOn w:val="Normal"/>
    <w:rsid w:val="00245855"/>
    <w:pPr>
      <w:ind w:left="1984"/>
    </w:pPr>
  </w:style>
  <w:style w:type="paragraph" w:customStyle="1" w:styleId="Text4">
    <w:name w:val="Text 4"/>
    <w:basedOn w:val="Normal"/>
    <w:rsid w:val="00245855"/>
    <w:pPr>
      <w:ind w:left="2551"/>
    </w:pPr>
  </w:style>
  <w:style w:type="paragraph" w:customStyle="1" w:styleId="Text5">
    <w:name w:val="Text 5"/>
    <w:basedOn w:val="Normal"/>
    <w:rsid w:val="00245855"/>
    <w:pPr>
      <w:ind w:left="3118"/>
    </w:pPr>
  </w:style>
  <w:style w:type="paragraph" w:customStyle="1" w:styleId="Text6">
    <w:name w:val="Text 6"/>
    <w:basedOn w:val="Normal"/>
    <w:rsid w:val="00245855"/>
    <w:pPr>
      <w:ind w:left="3685"/>
    </w:pPr>
  </w:style>
  <w:style w:type="paragraph" w:customStyle="1" w:styleId="Text7">
    <w:name w:val="Text 7"/>
    <w:basedOn w:val="Normal"/>
    <w:rsid w:val="00245855"/>
    <w:pPr>
      <w:ind w:left="4252"/>
    </w:pPr>
  </w:style>
  <w:style w:type="paragraph" w:customStyle="1" w:styleId="Text8">
    <w:name w:val="Text 8"/>
    <w:basedOn w:val="Normal"/>
    <w:rsid w:val="00245855"/>
    <w:pPr>
      <w:ind w:left="4819"/>
    </w:pPr>
  </w:style>
  <w:style w:type="paragraph" w:customStyle="1" w:styleId="Text9">
    <w:name w:val="Text 9"/>
    <w:basedOn w:val="Normal"/>
    <w:rsid w:val="00245855"/>
    <w:pPr>
      <w:ind w:left="5386"/>
    </w:pPr>
  </w:style>
  <w:style w:type="paragraph" w:customStyle="1" w:styleId="Text10">
    <w:name w:val="Text 10"/>
    <w:basedOn w:val="Normal"/>
    <w:rsid w:val="00245855"/>
    <w:pPr>
      <w:ind w:left="5953"/>
    </w:pPr>
  </w:style>
  <w:style w:type="paragraph" w:customStyle="1" w:styleId="NormalCentered">
    <w:name w:val="Normal Centered"/>
    <w:basedOn w:val="Normal"/>
    <w:rsid w:val="00245855"/>
    <w:pPr>
      <w:jc w:val="center"/>
    </w:pPr>
  </w:style>
  <w:style w:type="paragraph" w:customStyle="1" w:styleId="NormalLeft">
    <w:name w:val="Normal Left"/>
    <w:basedOn w:val="Normal"/>
    <w:rsid w:val="00245855"/>
  </w:style>
  <w:style w:type="paragraph" w:customStyle="1" w:styleId="NormalRight">
    <w:name w:val="Normal Right"/>
    <w:basedOn w:val="Normal"/>
    <w:rsid w:val="00245855"/>
    <w:pPr>
      <w:jc w:val="right"/>
    </w:pPr>
  </w:style>
  <w:style w:type="paragraph" w:customStyle="1" w:styleId="QuotedText">
    <w:name w:val="Quoted Text"/>
    <w:basedOn w:val="Normal"/>
    <w:rsid w:val="00245855"/>
    <w:pPr>
      <w:ind w:left="1417"/>
    </w:pPr>
  </w:style>
  <w:style w:type="paragraph" w:customStyle="1" w:styleId="Point0">
    <w:name w:val="Point 0"/>
    <w:basedOn w:val="Normal"/>
    <w:rsid w:val="00245855"/>
    <w:pPr>
      <w:ind w:left="850" w:hanging="850"/>
    </w:pPr>
  </w:style>
  <w:style w:type="paragraph" w:customStyle="1" w:styleId="Point1">
    <w:name w:val="Point 1"/>
    <w:basedOn w:val="Normal"/>
    <w:rsid w:val="00245855"/>
    <w:pPr>
      <w:ind w:left="1417" w:hanging="567"/>
    </w:pPr>
  </w:style>
  <w:style w:type="paragraph" w:customStyle="1" w:styleId="Point2">
    <w:name w:val="Point 2"/>
    <w:basedOn w:val="Normal"/>
    <w:rsid w:val="00245855"/>
    <w:pPr>
      <w:ind w:left="1984" w:hanging="567"/>
    </w:pPr>
  </w:style>
  <w:style w:type="paragraph" w:customStyle="1" w:styleId="Point3">
    <w:name w:val="Point 3"/>
    <w:basedOn w:val="Normal"/>
    <w:rsid w:val="00245855"/>
    <w:pPr>
      <w:ind w:left="2551" w:hanging="567"/>
    </w:pPr>
  </w:style>
  <w:style w:type="paragraph" w:customStyle="1" w:styleId="Point4">
    <w:name w:val="Point 4"/>
    <w:basedOn w:val="Normal"/>
    <w:rsid w:val="00245855"/>
    <w:pPr>
      <w:ind w:left="3118" w:hanging="567"/>
    </w:pPr>
  </w:style>
  <w:style w:type="paragraph" w:customStyle="1" w:styleId="Point5">
    <w:name w:val="Point 5"/>
    <w:basedOn w:val="Normal"/>
    <w:rsid w:val="00245855"/>
    <w:pPr>
      <w:ind w:left="3685" w:hanging="567"/>
    </w:pPr>
  </w:style>
  <w:style w:type="paragraph" w:customStyle="1" w:styleId="Point6">
    <w:name w:val="Point 6"/>
    <w:basedOn w:val="Normal"/>
    <w:rsid w:val="00245855"/>
    <w:pPr>
      <w:ind w:left="4252" w:hanging="567"/>
    </w:pPr>
  </w:style>
  <w:style w:type="paragraph" w:customStyle="1" w:styleId="Point7">
    <w:name w:val="Point 7"/>
    <w:basedOn w:val="Normal"/>
    <w:rsid w:val="00245855"/>
    <w:pPr>
      <w:ind w:left="4819" w:hanging="567"/>
    </w:pPr>
  </w:style>
  <w:style w:type="paragraph" w:customStyle="1" w:styleId="Point8">
    <w:name w:val="Point 8"/>
    <w:basedOn w:val="Normal"/>
    <w:rsid w:val="00245855"/>
    <w:pPr>
      <w:ind w:left="5386" w:hanging="567"/>
    </w:pPr>
  </w:style>
  <w:style w:type="paragraph" w:customStyle="1" w:styleId="Point9">
    <w:name w:val="Point 9"/>
    <w:basedOn w:val="Normal"/>
    <w:rsid w:val="00245855"/>
    <w:pPr>
      <w:ind w:left="5953" w:hanging="567"/>
    </w:pPr>
  </w:style>
  <w:style w:type="paragraph" w:customStyle="1" w:styleId="PointDouble0">
    <w:name w:val="PointDouble 0"/>
    <w:basedOn w:val="Normal"/>
    <w:rsid w:val="00245855"/>
    <w:pPr>
      <w:tabs>
        <w:tab w:val="left" w:pos="850"/>
      </w:tabs>
      <w:ind w:left="1417" w:hanging="1417"/>
    </w:pPr>
  </w:style>
  <w:style w:type="paragraph" w:customStyle="1" w:styleId="PointDouble1">
    <w:name w:val="PointDouble 1"/>
    <w:basedOn w:val="Normal"/>
    <w:rsid w:val="00245855"/>
    <w:pPr>
      <w:tabs>
        <w:tab w:val="left" w:pos="1417"/>
      </w:tabs>
      <w:ind w:left="1984" w:hanging="1134"/>
    </w:pPr>
  </w:style>
  <w:style w:type="paragraph" w:customStyle="1" w:styleId="PointDouble2">
    <w:name w:val="PointDouble 2"/>
    <w:basedOn w:val="Normal"/>
    <w:rsid w:val="00245855"/>
    <w:pPr>
      <w:tabs>
        <w:tab w:val="left" w:pos="1984"/>
      </w:tabs>
      <w:ind w:left="2551" w:hanging="1134"/>
    </w:pPr>
  </w:style>
  <w:style w:type="paragraph" w:customStyle="1" w:styleId="PointDouble3">
    <w:name w:val="PointDouble 3"/>
    <w:basedOn w:val="Normal"/>
    <w:rsid w:val="00245855"/>
    <w:pPr>
      <w:tabs>
        <w:tab w:val="left" w:pos="2551"/>
      </w:tabs>
      <w:ind w:left="3118" w:hanging="1134"/>
    </w:pPr>
  </w:style>
  <w:style w:type="paragraph" w:customStyle="1" w:styleId="PointDouble4">
    <w:name w:val="PointDouble 4"/>
    <w:basedOn w:val="Normal"/>
    <w:rsid w:val="00245855"/>
    <w:pPr>
      <w:tabs>
        <w:tab w:val="left" w:pos="3118"/>
      </w:tabs>
      <w:ind w:left="3685" w:hanging="1134"/>
    </w:pPr>
  </w:style>
  <w:style w:type="paragraph" w:customStyle="1" w:styleId="PointDouble5">
    <w:name w:val="PointDouble 5"/>
    <w:basedOn w:val="Normal"/>
    <w:rsid w:val="00245855"/>
    <w:pPr>
      <w:tabs>
        <w:tab w:val="left" w:pos="3685"/>
      </w:tabs>
      <w:ind w:left="4252" w:hanging="1134"/>
    </w:pPr>
  </w:style>
  <w:style w:type="paragraph" w:customStyle="1" w:styleId="PointTriple0">
    <w:name w:val="PointTriple 0"/>
    <w:basedOn w:val="Normal"/>
    <w:rsid w:val="00245855"/>
    <w:pPr>
      <w:tabs>
        <w:tab w:val="left" w:pos="850"/>
        <w:tab w:val="left" w:pos="1417"/>
      </w:tabs>
      <w:ind w:left="1984" w:hanging="1984"/>
    </w:pPr>
  </w:style>
  <w:style w:type="paragraph" w:customStyle="1" w:styleId="PointTriple1">
    <w:name w:val="PointTriple 1"/>
    <w:basedOn w:val="Normal"/>
    <w:rsid w:val="00245855"/>
    <w:pPr>
      <w:tabs>
        <w:tab w:val="left" w:pos="1417"/>
        <w:tab w:val="left" w:pos="1984"/>
      </w:tabs>
      <w:ind w:left="2551" w:hanging="1701"/>
    </w:pPr>
  </w:style>
  <w:style w:type="paragraph" w:customStyle="1" w:styleId="PointTriple2">
    <w:name w:val="PointTriple 2"/>
    <w:basedOn w:val="Normal"/>
    <w:rsid w:val="00245855"/>
    <w:pPr>
      <w:tabs>
        <w:tab w:val="left" w:pos="1984"/>
        <w:tab w:val="left" w:pos="2551"/>
      </w:tabs>
      <w:ind w:left="3118" w:hanging="1701"/>
    </w:pPr>
  </w:style>
  <w:style w:type="paragraph" w:customStyle="1" w:styleId="PointTriple3">
    <w:name w:val="PointTriple 3"/>
    <w:basedOn w:val="Normal"/>
    <w:rsid w:val="00245855"/>
    <w:pPr>
      <w:tabs>
        <w:tab w:val="left" w:pos="2551"/>
        <w:tab w:val="left" w:pos="3118"/>
      </w:tabs>
      <w:ind w:left="3685" w:hanging="1701"/>
    </w:pPr>
  </w:style>
  <w:style w:type="paragraph" w:customStyle="1" w:styleId="PointTriple4">
    <w:name w:val="PointTriple 4"/>
    <w:basedOn w:val="Normal"/>
    <w:rsid w:val="00245855"/>
    <w:pPr>
      <w:tabs>
        <w:tab w:val="left" w:pos="3118"/>
        <w:tab w:val="left" w:pos="3685"/>
      </w:tabs>
      <w:ind w:left="4252" w:hanging="1701"/>
    </w:pPr>
  </w:style>
  <w:style w:type="paragraph" w:customStyle="1" w:styleId="PointTriple5">
    <w:name w:val="PointTriple 5"/>
    <w:basedOn w:val="Normal"/>
    <w:rsid w:val="00245855"/>
    <w:pPr>
      <w:tabs>
        <w:tab w:val="left" w:pos="3685"/>
        <w:tab w:val="left" w:pos="4252"/>
      </w:tabs>
      <w:ind w:left="4819" w:hanging="1701"/>
    </w:pPr>
  </w:style>
  <w:style w:type="paragraph" w:customStyle="1" w:styleId="Tiret0">
    <w:name w:val="Tiret 0"/>
    <w:basedOn w:val="Normal"/>
    <w:rsid w:val="00245855"/>
    <w:pPr>
      <w:numPr>
        <w:numId w:val="1"/>
      </w:numPr>
    </w:pPr>
  </w:style>
  <w:style w:type="paragraph" w:customStyle="1" w:styleId="Tiret1">
    <w:name w:val="Tiret 1"/>
    <w:basedOn w:val="Normal"/>
    <w:rsid w:val="00245855"/>
    <w:pPr>
      <w:numPr>
        <w:numId w:val="2"/>
      </w:numPr>
    </w:pPr>
  </w:style>
  <w:style w:type="paragraph" w:customStyle="1" w:styleId="Tiret2">
    <w:name w:val="Tiret 2"/>
    <w:basedOn w:val="Normal"/>
    <w:rsid w:val="00245855"/>
    <w:pPr>
      <w:numPr>
        <w:numId w:val="3"/>
      </w:numPr>
    </w:pPr>
  </w:style>
  <w:style w:type="paragraph" w:customStyle="1" w:styleId="Tiret3">
    <w:name w:val="Tiret 3"/>
    <w:basedOn w:val="Normal"/>
    <w:rsid w:val="00245855"/>
    <w:pPr>
      <w:numPr>
        <w:numId w:val="4"/>
      </w:numPr>
    </w:pPr>
  </w:style>
  <w:style w:type="paragraph" w:customStyle="1" w:styleId="Tiret4">
    <w:name w:val="Tiret 4"/>
    <w:basedOn w:val="Normal"/>
    <w:rsid w:val="00245855"/>
    <w:pPr>
      <w:numPr>
        <w:numId w:val="5"/>
      </w:numPr>
    </w:pPr>
  </w:style>
  <w:style w:type="paragraph" w:customStyle="1" w:styleId="Tiret5">
    <w:name w:val="Tiret 5"/>
    <w:basedOn w:val="Normal"/>
    <w:rsid w:val="00245855"/>
    <w:pPr>
      <w:numPr>
        <w:numId w:val="6"/>
      </w:numPr>
    </w:pPr>
  </w:style>
  <w:style w:type="paragraph" w:customStyle="1" w:styleId="Tiret6">
    <w:name w:val="Tiret 6"/>
    <w:basedOn w:val="Normal"/>
    <w:rsid w:val="00245855"/>
    <w:pPr>
      <w:numPr>
        <w:numId w:val="7"/>
      </w:numPr>
    </w:pPr>
  </w:style>
  <w:style w:type="paragraph" w:customStyle="1" w:styleId="Tiret7">
    <w:name w:val="Tiret 7"/>
    <w:basedOn w:val="Normal"/>
    <w:rsid w:val="00245855"/>
    <w:pPr>
      <w:numPr>
        <w:numId w:val="8"/>
      </w:numPr>
    </w:pPr>
  </w:style>
  <w:style w:type="paragraph" w:customStyle="1" w:styleId="Tiret8">
    <w:name w:val="Tiret 8"/>
    <w:basedOn w:val="Normal"/>
    <w:rsid w:val="00245855"/>
    <w:pPr>
      <w:numPr>
        <w:numId w:val="9"/>
      </w:numPr>
    </w:pPr>
  </w:style>
  <w:style w:type="paragraph" w:customStyle="1" w:styleId="NumPar1">
    <w:name w:val="NumPar 1"/>
    <w:basedOn w:val="Normal"/>
    <w:next w:val="Text1"/>
    <w:rsid w:val="00245855"/>
    <w:pPr>
      <w:numPr>
        <w:numId w:val="10"/>
      </w:numPr>
      <w:tabs>
        <w:tab w:val="left" w:pos="850"/>
      </w:tabs>
    </w:pPr>
  </w:style>
  <w:style w:type="paragraph" w:customStyle="1" w:styleId="NumPar2">
    <w:name w:val="NumPar 2"/>
    <w:basedOn w:val="Normal"/>
    <w:next w:val="Text1"/>
    <w:rsid w:val="00245855"/>
    <w:pPr>
      <w:numPr>
        <w:ilvl w:val="1"/>
        <w:numId w:val="10"/>
      </w:numPr>
      <w:tabs>
        <w:tab w:val="left" w:pos="850"/>
      </w:tabs>
    </w:pPr>
  </w:style>
  <w:style w:type="paragraph" w:customStyle="1" w:styleId="NumPar3">
    <w:name w:val="NumPar 3"/>
    <w:basedOn w:val="Normal"/>
    <w:next w:val="Text1"/>
    <w:rsid w:val="00245855"/>
    <w:pPr>
      <w:numPr>
        <w:ilvl w:val="2"/>
        <w:numId w:val="10"/>
      </w:numPr>
      <w:tabs>
        <w:tab w:val="left" w:pos="850"/>
      </w:tabs>
    </w:pPr>
  </w:style>
  <w:style w:type="paragraph" w:customStyle="1" w:styleId="NumPar4">
    <w:name w:val="NumPar 4"/>
    <w:basedOn w:val="Normal"/>
    <w:next w:val="Text1"/>
    <w:rsid w:val="00245855"/>
    <w:pPr>
      <w:numPr>
        <w:ilvl w:val="3"/>
        <w:numId w:val="10"/>
      </w:numPr>
      <w:tabs>
        <w:tab w:val="left" w:pos="850"/>
      </w:tabs>
    </w:pPr>
  </w:style>
  <w:style w:type="paragraph" w:customStyle="1" w:styleId="NumPar5">
    <w:name w:val="NumPar 5"/>
    <w:basedOn w:val="Normal"/>
    <w:next w:val="Text2"/>
    <w:rsid w:val="00245855"/>
    <w:pPr>
      <w:numPr>
        <w:ilvl w:val="4"/>
        <w:numId w:val="10"/>
      </w:numPr>
      <w:tabs>
        <w:tab w:val="left" w:pos="1417"/>
      </w:tabs>
    </w:pPr>
  </w:style>
  <w:style w:type="paragraph" w:customStyle="1" w:styleId="NumPar6">
    <w:name w:val="NumPar 6"/>
    <w:basedOn w:val="Normal"/>
    <w:next w:val="Text2"/>
    <w:rsid w:val="00245855"/>
    <w:pPr>
      <w:numPr>
        <w:ilvl w:val="5"/>
        <w:numId w:val="10"/>
      </w:numPr>
      <w:tabs>
        <w:tab w:val="left" w:pos="1417"/>
      </w:tabs>
    </w:pPr>
  </w:style>
  <w:style w:type="paragraph" w:customStyle="1" w:styleId="NumPar7">
    <w:name w:val="NumPar 7"/>
    <w:basedOn w:val="Normal"/>
    <w:next w:val="Text2"/>
    <w:rsid w:val="00245855"/>
    <w:pPr>
      <w:numPr>
        <w:ilvl w:val="6"/>
        <w:numId w:val="10"/>
      </w:numPr>
      <w:tabs>
        <w:tab w:val="left" w:pos="1417"/>
      </w:tabs>
    </w:pPr>
  </w:style>
  <w:style w:type="paragraph" w:customStyle="1" w:styleId="ManualNumPar1">
    <w:name w:val="Manual NumPar 1"/>
    <w:basedOn w:val="Normal"/>
    <w:next w:val="Text1"/>
    <w:rsid w:val="00245855"/>
    <w:pPr>
      <w:ind w:left="850" w:hanging="850"/>
    </w:pPr>
  </w:style>
  <w:style w:type="paragraph" w:customStyle="1" w:styleId="ManualNumPar2">
    <w:name w:val="Manual NumPar 2"/>
    <w:basedOn w:val="Normal"/>
    <w:next w:val="Text1"/>
    <w:rsid w:val="00245855"/>
    <w:pPr>
      <w:ind w:left="850" w:hanging="850"/>
    </w:pPr>
  </w:style>
  <w:style w:type="paragraph" w:customStyle="1" w:styleId="ManualNumPar3">
    <w:name w:val="Manual NumPar 3"/>
    <w:basedOn w:val="Normal"/>
    <w:next w:val="Text1"/>
    <w:rsid w:val="00245855"/>
    <w:pPr>
      <w:ind w:left="850" w:hanging="850"/>
    </w:pPr>
  </w:style>
  <w:style w:type="paragraph" w:customStyle="1" w:styleId="ManualNumPar4">
    <w:name w:val="Manual NumPar 4"/>
    <w:basedOn w:val="Normal"/>
    <w:next w:val="Text1"/>
    <w:rsid w:val="00245855"/>
    <w:pPr>
      <w:ind w:left="850" w:hanging="850"/>
    </w:pPr>
  </w:style>
  <w:style w:type="paragraph" w:customStyle="1" w:styleId="ManualNumPar5">
    <w:name w:val="Manual NumPar 5"/>
    <w:basedOn w:val="Normal"/>
    <w:next w:val="Text2"/>
    <w:rsid w:val="00245855"/>
    <w:pPr>
      <w:ind w:left="1417" w:hanging="1417"/>
    </w:pPr>
  </w:style>
  <w:style w:type="paragraph" w:customStyle="1" w:styleId="ManualNumPar6">
    <w:name w:val="Manual NumPar 6"/>
    <w:basedOn w:val="Normal"/>
    <w:next w:val="Text2"/>
    <w:rsid w:val="00245855"/>
    <w:pPr>
      <w:ind w:left="1417" w:hanging="1417"/>
    </w:pPr>
  </w:style>
  <w:style w:type="paragraph" w:customStyle="1" w:styleId="ManualNumPar7">
    <w:name w:val="Manual NumPar 7"/>
    <w:basedOn w:val="Normal"/>
    <w:next w:val="Text2"/>
    <w:rsid w:val="00245855"/>
    <w:pPr>
      <w:ind w:left="1417" w:hanging="1417"/>
    </w:pPr>
  </w:style>
  <w:style w:type="paragraph" w:customStyle="1" w:styleId="QuotedNumPar">
    <w:name w:val="Quoted NumPar"/>
    <w:basedOn w:val="Normal"/>
    <w:rsid w:val="00245855"/>
    <w:pPr>
      <w:ind w:left="1417" w:hanging="567"/>
    </w:pPr>
  </w:style>
  <w:style w:type="paragraph" w:customStyle="1" w:styleId="ManualHeading1">
    <w:name w:val="Manual Heading 1"/>
    <w:basedOn w:val="Normal"/>
    <w:next w:val="Text1"/>
    <w:rsid w:val="00245855"/>
    <w:pPr>
      <w:keepNext/>
      <w:tabs>
        <w:tab w:val="left" w:pos="850"/>
      </w:tabs>
      <w:spacing w:before="360"/>
      <w:ind w:left="850" w:hanging="850"/>
      <w:outlineLvl w:val="0"/>
    </w:pPr>
    <w:rPr>
      <w:b/>
      <w:smallCaps/>
    </w:rPr>
  </w:style>
  <w:style w:type="paragraph" w:customStyle="1" w:styleId="ManualHeading2">
    <w:name w:val="Manual Heading 2"/>
    <w:basedOn w:val="Normal"/>
    <w:next w:val="Text1"/>
    <w:rsid w:val="00245855"/>
    <w:pPr>
      <w:keepNext/>
      <w:tabs>
        <w:tab w:val="left" w:pos="850"/>
      </w:tabs>
      <w:ind w:left="850" w:hanging="850"/>
      <w:outlineLvl w:val="1"/>
    </w:pPr>
    <w:rPr>
      <w:b/>
    </w:rPr>
  </w:style>
  <w:style w:type="paragraph" w:customStyle="1" w:styleId="ManualHeading3">
    <w:name w:val="Manual Heading 3"/>
    <w:basedOn w:val="Normal"/>
    <w:next w:val="Text1"/>
    <w:rsid w:val="00245855"/>
    <w:pPr>
      <w:keepNext/>
      <w:tabs>
        <w:tab w:val="left" w:pos="850"/>
      </w:tabs>
      <w:ind w:left="850" w:hanging="850"/>
      <w:outlineLvl w:val="2"/>
    </w:pPr>
    <w:rPr>
      <w:i/>
    </w:rPr>
  </w:style>
  <w:style w:type="paragraph" w:customStyle="1" w:styleId="ManualHeading4">
    <w:name w:val="Manual Heading 4"/>
    <w:basedOn w:val="Normal"/>
    <w:next w:val="Text1"/>
    <w:rsid w:val="00245855"/>
    <w:pPr>
      <w:keepNext/>
      <w:tabs>
        <w:tab w:val="left" w:pos="850"/>
      </w:tabs>
      <w:ind w:left="850" w:hanging="850"/>
      <w:outlineLvl w:val="3"/>
    </w:pPr>
  </w:style>
  <w:style w:type="paragraph" w:customStyle="1" w:styleId="ManualHeading5">
    <w:name w:val="Manual Heading 5"/>
    <w:basedOn w:val="Normal"/>
    <w:next w:val="Text1"/>
    <w:rsid w:val="00245855"/>
    <w:pPr>
      <w:keepNext/>
      <w:tabs>
        <w:tab w:val="left" w:pos="850"/>
      </w:tabs>
      <w:ind w:left="850" w:hanging="850"/>
      <w:outlineLvl w:val="4"/>
    </w:pPr>
  </w:style>
  <w:style w:type="paragraph" w:customStyle="1" w:styleId="ManualHeading6">
    <w:name w:val="Manual Heading 6"/>
    <w:basedOn w:val="Normal"/>
    <w:next w:val="Text1"/>
    <w:rsid w:val="00245855"/>
    <w:pPr>
      <w:keepNext/>
      <w:tabs>
        <w:tab w:val="left" w:pos="850"/>
      </w:tabs>
      <w:ind w:left="850" w:hanging="850"/>
      <w:outlineLvl w:val="5"/>
    </w:pPr>
  </w:style>
  <w:style w:type="paragraph" w:customStyle="1" w:styleId="ManualHeading7">
    <w:name w:val="Manual Heading 7"/>
    <w:basedOn w:val="Normal"/>
    <w:next w:val="Text1"/>
    <w:rsid w:val="00245855"/>
    <w:pPr>
      <w:keepNext/>
      <w:tabs>
        <w:tab w:val="left" w:pos="850"/>
      </w:tabs>
      <w:ind w:left="850" w:hanging="850"/>
      <w:outlineLvl w:val="6"/>
    </w:pPr>
  </w:style>
  <w:style w:type="paragraph" w:customStyle="1" w:styleId="ChapterTitle">
    <w:name w:val="ChapterTitle"/>
    <w:basedOn w:val="Normal"/>
    <w:next w:val="Normal"/>
    <w:rsid w:val="00245855"/>
    <w:pPr>
      <w:keepNext/>
      <w:spacing w:after="360"/>
      <w:jc w:val="center"/>
    </w:pPr>
    <w:rPr>
      <w:b/>
      <w:sz w:val="32"/>
    </w:rPr>
  </w:style>
  <w:style w:type="paragraph" w:customStyle="1" w:styleId="PartTitle">
    <w:name w:val="PartTitle"/>
    <w:basedOn w:val="Normal"/>
    <w:next w:val="ChapterTitle"/>
    <w:rsid w:val="00245855"/>
    <w:pPr>
      <w:keepNext/>
      <w:pageBreakBefore/>
      <w:spacing w:after="360"/>
      <w:jc w:val="center"/>
    </w:pPr>
    <w:rPr>
      <w:b/>
      <w:sz w:val="36"/>
    </w:rPr>
  </w:style>
  <w:style w:type="paragraph" w:customStyle="1" w:styleId="SectionTitle">
    <w:name w:val="SectionTitle"/>
    <w:basedOn w:val="Normal"/>
    <w:next w:val="Heading1"/>
    <w:rsid w:val="00245855"/>
    <w:pPr>
      <w:keepNext/>
      <w:spacing w:after="360"/>
      <w:jc w:val="center"/>
    </w:pPr>
    <w:rPr>
      <w:b/>
      <w:smallCaps/>
      <w:sz w:val="28"/>
    </w:rPr>
  </w:style>
  <w:style w:type="paragraph" w:customStyle="1" w:styleId="TableTitle">
    <w:name w:val="Table Title"/>
    <w:basedOn w:val="Normal"/>
    <w:next w:val="Normal"/>
    <w:rsid w:val="00245855"/>
    <w:pPr>
      <w:jc w:val="center"/>
    </w:pPr>
    <w:rPr>
      <w:b/>
    </w:rPr>
  </w:style>
  <w:style w:type="paragraph" w:customStyle="1" w:styleId="Point0number">
    <w:name w:val="Point 0 (number)"/>
    <w:basedOn w:val="Normal"/>
    <w:rsid w:val="00245855"/>
    <w:pPr>
      <w:numPr>
        <w:numId w:val="12"/>
      </w:numPr>
    </w:pPr>
  </w:style>
  <w:style w:type="paragraph" w:customStyle="1" w:styleId="Point1number">
    <w:name w:val="Point 1 (number)"/>
    <w:basedOn w:val="Normal"/>
    <w:rsid w:val="00245855"/>
    <w:pPr>
      <w:numPr>
        <w:ilvl w:val="2"/>
        <w:numId w:val="12"/>
      </w:numPr>
    </w:pPr>
  </w:style>
  <w:style w:type="paragraph" w:customStyle="1" w:styleId="Point2number">
    <w:name w:val="Point 2 (number)"/>
    <w:basedOn w:val="Normal"/>
    <w:rsid w:val="00245855"/>
    <w:pPr>
      <w:numPr>
        <w:ilvl w:val="4"/>
        <w:numId w:val="12"/>
      </w:numPr>
    </w:pPr>
  </w:style>
  <w:style w:type="paragraph" w:customStyle="1" w:styleId="Point3number">
    <w:name w:val="Point 3 (number)"/>
    <w:basedOn w:val="Normal"/>
    <w:rsid w:val="00245855"/>
    <w:pPr>
      <w:numPr>
        <w:ilvl w:val="6"/>
        <w:numId w:val="12"/>
      </w:numPr>
    </w:pPr>
  </w:style>
  <w:style w:type="paragraph" w:customStyle="1" w:styleId="Point0letter">
    <w:name w:val="Point 0 (letter)"/>
    <w:basedOn w:val="Normal"/>
    <w:rsid w:val="00245855"/>
    <w:pPr>
      <w:numPr>
        <w:ilvl w:val="1"/>
        <w:numId w:val="12"/>
      </w:numPr>
    </w:pPr>
  </w:style>
  <w:style w:type="paragraph" w:customStyle="1" w:styleId="Point1letter">
    <w:name w:val="Point 1 (letter)"/>
    <w:basedOn w:val="Normal"/>
    <w:rsid w:val="00245855"/>
    <w:pPr>
      <w:numPr>
        <w:ilvl w:val="3"/>
        <w:numId w:val="12"/>
      </w:numPr>
    </w:pPr>
  </w:style>
  <w:style w:type="paragraph" w:customStyle="1" w:styleId="Point2letter">
    <w:name w:val="Point 2 (letter)"/>
    <w:basedOn w:val="Normal"/>
    <w:rsid w:val="00245855"/>
    <w:pPr>
      <w:numPr>
        <w:ilvl w:val="5"/>
        <w:numId w:val="12"/>
      </w:numPr>
    </w:pPr>
  </w:style>
  <w:style w:type="paragraph" w:customStyle="1" w:styleId="Point3letter">
    <w:name w:val="Point 3 (letter)"/>
    <w:basedOn w:val="Normal"/>
    <w:rsid w:val="00245855"/>
    <w:pPr>
      <w:numPr>
        <w:ilvl w:val="7"/>
        <w:numId w:val="12"/>
      </w:numPr>
    </w:pPr>
  </w:style>
  <w:style w:type="paragraph" w:customStyle="1" w:styleId="Point4letter">
    <w:name w:val="Point 4 (letter)"/>
    <w:basedOn w:val="Normal"/>
    <w:rsid w:val="00245855"/>
    <w:pPr>
      <w:numPr>
        <w:ilvl w:val="8"/>
        <w:numId w:val="12"/>
      </w:numPr>
    </w:pPr>
  </w:style>
  <w:style w:type="paragraph" w:customStyle="1" w:styleId="Bullet0">
    <w:name w:val="Bullet 0"/>
    <w:basedOn w:val="Normal"/>
    <w:rsid w:val="00245855"/>
    <w:pPr>
      <w:numPr>
        <w:numId w:val="13"/>
      </w:numPr>
    </w:pPr>
  </w:style>
  <w:style w:type="paragraph" w:customStyle="1" w:styleId="Bullet1">
    <w:name w:val="Bullet 1"/>
    <w:basedOn w:val="Normal"/>
    <w:rsid w:val="00245855"/>
    <w:pPr>
      <w:numPr>
        <w:numId w:val="14"/>
      </w:numPr>
    </w:pPr>
  </w:style>
  <w:style w:type="paragraph" w:customStyle="1" w:styleId="Bullet2">
    <w:name w:val="Bullet 2"/>
    <w:basedOn w:val="Normal"/>
    <w:rsid w:val="00245855"/>
    <w:pPr>
      <w:numPr>
        <w:numId w:val="15"/>
      </w:numPr>
    </w:pPr>
  </w:style>
  <w:style w:type="paragraph" w:customStyle="1" w:styleId="Bullet3">
    <w:name w:val="Bullet 3"/>
    <w:basedOn w:val="Normal"/>
    <w:rsid w:val="00245855"/>
    <w:pPr>
      <w:numPr>
        <w:numId w:val="16"/>
      </w:numPr>
    </w:pPr>
  </w:style>
  <w:style w:type="paragraph" w:customStyle="1" w:styleId="Bullet4">
    <w:name w:val="Bullet 4"/>
    <w:basedOn w:val="Normal"/>
    <w:rsid w:val="00245855"/>
    <w:pPr>
      <w:numPr>
        <w:numId w:val="17"/>
      </w:numPr>
    </w:pPr>
  </w:style>
  <w:style w:type="paragraph" w:customStyle="1" w:styleId="Bullet5">
    <w:name w:val="Bullet 5"/>
    <w:basedOn w:val="Normal"/>
    <w:rsid w:val="00245855"/>
    <w:pPr>
      <w:numPr>
        <w:numId w:val="18"/>
      </w:numPr>
    </w:pPr>
  </w:style>
  <w:style w:type="paragraph" w:customStyle="1" w:styleId="Bullet6">
    <w:name w:val="Bullet 6"/>
    <w:basedOn w:val="Normal"/>
    <w:rsid w:val="00245855"/>
    <w:pPr>
      <w:numPr>
        <w:numId w:val="19"/>
      </w:numPr>
    </w:pPr>
  </w:style>
  <w:style w:type="paragraph" w:customStyle="1" w:styleId="Bullet7">
    <w:name w:val="Bullet 7"/>
    <w:basedOn w:val="Normal"/>
    <w:rsid w:val="00245855"/>
    <w:pPr>
      <w:numPr>
        <w:numId w:val="20"/>
      </w:numPr>
    </w:pPr>
  </w:style>
  <w:style w:type="paragraph" w:customStyle="1" w:styleId="Bullet8">
    <w:name w:val="Bullet 8"/>
    <w:basedOn w:val="Normal"/>
    <w:rsid w:val="00245855"/>
    <w:pPr>
      <w:numPr>
        <w:numId w:val="21"/>
      </w:numPr>
    </w:pPr>
  </w:style>
  <w:style w:type="paragraph" w:customStyle="1" w:styleId="Annexetitreacte">
    <w:name w:val="Annexe titre (acte)"/>
    <w:basedOn w:val="Normal"/>
    <w:next w:val="Normal"/>
    <w:rsid w:val="00245855"/>
    <w:pPr>
      <w:jc w:val="center"/>
    </w:pPr>
    <w:rPr>
      <w:b/>
      <w:u w:val="single"/>
    </w:rPr>
  </w:style>
  <w:style w:type="paragraph" w:customStyle="1" w:styleId="Annexetitreglobale">
    <w:name w:val="Annexe titre (globale)"/>
    <w:basedOn w:val="Normal"/>
    <w:next w:val="Normal"/>
    <w:rsid w:val="00245855"/>
    <w:pPr>
      <w:jc w:val="center"/>
    </w:pPr>
    <w:rPr>
      <w:b/>
      <w:u w:val="single"/>
    </w:rPr>
  </w:style>
  <w:style w:type="paragraph" w:customStyle="1" w:styleId="Applicationdirecte">
    <w:name w:val="Application directe"/>
    <w:basedOn w:val="Normal"/>
    <w:next w:val="Fait"/>
    <w:rsid w:val="00245855"/>
    <w:pPr>
      <w:spacing w:before="480"/>
    </w:pPr>
  </w:style>
  <w:style w:type="paragraph" w:customStyle="1" w:styleId="Considrant">
    <w:name w:val="Considérant"/>
    <w:basedOn w:val="Normal"/>
    <w:rsid w:val="00245855"/>
    <w:pPr>
      <w:numPr>
        <w:numId w:val="22"/>
      </w:numPr>
    </w:pPr>
  </w:style>
  <w:style w:type="paragraph" w:customStyle="1" w:styleId="Datedadoption">
    <w:name w:val="Date d'adoption"/>
    <w:basedOn w:val="Normal"/>
    <w:next w:val="Titreobjet"/>
    <w:rsid w:val="00245855"/>
    <w:pPr>
      <w:spacing w:before="360" w:after="0"/>
      <w:jc w:val="center"/>
    </w:pPr>
    <w:rPr>
      <w:b/>
    </w:rPr>
  </w:style>
  <w:style w:type="paragraph" w:customStyle="1" w:styleId="Fait">
    <w:name w:val="Fait à"/>
    <w:basedOn w:val="Normal"/>
    <w:next w:val="Institutionquisigne"/>
    <w:rsid w:val="00245855"/>
    <w:pPr>
      <w:keepNext/>
      <w:spacing w:after="0"/>
    </w:pPr>
  </w:style>
  <w:style w:type="paragraph" w:customStyle="1" w:styleId="Formuledadoption">
    <w:name w:val="Formule d'adoption"/>
    <w:basedOn w:val="Normal"/>
    <w:next w:val="Titrearticle"/>
    <w:rsid w:val="00245855"/>
    <w:pPr>
      <w:keepNext/>
    </w:pPr>
  </w:style>
  <w:style w:type="paragraph" w:customStyle="1" w:styleId="Institutionquiagit">
    <w:name w:val="Institution qui agit"/>
    <w:basedOn w:val="Normal"/>
    <w:next w:val="Normal"/>
    <w:rsid w:val="00245855"/>
    <w:pPr>
      <w:keepNext/>
      <w:spacing w:before="600"/>
    </w:pPr>
  </w:style>
  <w:style w:type="paragraph" w:customStyle="1" w:styleId="Institutionquisigne">
    <w:name w:val="Institution qui signe"/>
    <w:basedOn w:val="Normal"/>
    <w:next w:val="Personnequisigne"/>
    <w:rsid w:val="00245855"/>
    <w:pPr>
      <w:keepNext/>
      <w:tabs>
        <w:tab w:val="left" w:pos="5669"/>
      </w:tabs>
      <w:spacing w:before="720" w:after="0"/>
    </w:pPr>
    <w:rPr>
      <w:i/>
    </w:rPr>
  </w:style>
  <w:style w:type="paragraph" w:customStyle="1" w:styleId="ManualConsidrant">
    <w:name w:val="Manual Considérant"/>
    <w:basedOn w:val="Normal"/>
    <w:rsid w:val="00245855"/>
    <w:pPr>
      <w:ind w:left="850" w:hanging="850"/>
    </w:pPr>
  </w:style>
  <w:style w:type="paragraph" w:customStyle="1" w:styleId="Personnequisigne">
    <w:name w:val="Personne qui signe"/>
    <w:basedOn w:val="Normal"/>
    <w:next w:val="Institutionquisigne"/>
    <w:rsid w:val="00245855"/>
    <w:pPr>
      <w:tabs>
        <w:tab w:val="left" w:pos="5669"/>
      </w:tabs>
      <w:spacing w:before="0" w:after="0"/>
    </w:pPr>
    <w:rPr>
      <w:i/>
    </w:rPr>
  </w:style>
  <w:style w:type="paragraph" w:customStyle="1" w:styleId="Sous-titreobjet">
    <w:name w:val="Sous-titre objet"/>
    <w:basedOn w:val="Normal"/>
    <w:rsid w:val="00245855"/>
    <w:pPr>
      <w:spacing w:before="0" w:after="0"/>
      <w:jc w:val="center"/>
    </w:pPr>
    <w:rPr>
      <w:b/>
    </w:rPr>
  </w:style>
  <w:style w:type="paragraph" w:customStyle="1" w:styleId="Statut">
    <w:name w:val="Statut"/>
    <w:basedOn w:val="Normal"/>
    <w:next w:val="Typedudocument"/>
    <w:rsid w:val="00245855"/>
    <w:pPr>
      <w:spacing w:before="360" w:after="0"/>
      <w:jc w:val="center"/>
    </w:pPr>
  </w:style>
  <w:style w:type="paragraph" w:customStyle="1" w:styleId="Titrearticle">
    <w:name w:val="Titre article"/>
    <w:basedOn w:val="Normal"/>
    <w:next w:val="Normal"/>
    <w:rsid w:val="00245855"/>
    <w:pPr>
      <w:keepNext/>
      <w:spacing w:before="360"/>
      <w:jc w:val="center"/>
    </w:pPr>
    <w:rPr>
      <w:i/>
    </w:rPr>
  </w:style>
  <w:style w:type="paragraph" w:customStyle="1" w:styleId="Titreobjet">
    <w:name w:val="Titre objet"/>
    <w:basedOn w:val="Normal"/>
    <w:next w:val="Sous-titreobjet"/>
    <w:rsid w:val="00245855"/>
    <w:pPr>
      <w:spacing w:before="360" w:after="360"/>
      <w:jc w:val="center"/>
    </w:pPr>
    <w:rPr>
      <w:b/>
    </w:rPr>
  </w:style>
  <w:style w:type="paragraph" w:customStyle="1" w:styleId="Typedudocument">
    <w:name w:val="Type du document"/>
    <w:basedOn w:val="Normal"/>
    <w:next w:val="Datedadoption"/>
    <w:rsid w:val="00245855"/>
    <w:pPr>
      <w:spacing w:before="360" w:after="0"/>
      <w:jc w:val="center"/>
    </w:pPr>
    <w:rPr>
      <w:b/>
    </w:rPr>
  </w:style>
  <w:style w:type="paragraph" w:customStyle="1" w:styleId="Lignefinal">
    <w:name w:val="Ligne final"/>
    <w:basedOn w:val="Normal"/>
    <w:next w:val="Normal"/>
    <w:rsid w:val="00245855"/>
    <w:pPr>
      <w:pBdr>
        <w:bottom w:val="single" w:sz="4" w:space="0" w:color="000000"/>
      </w:pBdr>
      <w:spacing w:before="360"/>
      <w:ind w:left="3400" w:right="3400"/>
      <w:jc w:val="center"/>
    </w:pPr>
    <w:rPr>
      <w:b/>
    </w:rPr>
  </w:style>
  <w:style w:type="paragraph" w:customStyle="1" w:styleId="LignefinalLandscape">
    <w:name w:val="Ligne final (Landscape)"/>
    <w:basedOn w:val="Normal"/>
    <w:next w:val="Normal"/>
    <w:rsid w:val="00245855"/>
    <w:pPr>
      <w:pBdr>
        <w:bottom w:val="single" w:sz="4" w:space="0" w:color="000000"/>
      </w:pBdr>
      <w:spacing w:before="360"/>
      <w:ind w:left="5868" w:right="5868"/>
      <w:jc w:val="center"/>
    </w:pPr>
    <w:rPr>
      <w:b/>
    </w:rPr>
  </w:style>
  <w:style w:type="paragraph" w:customStyle="1" w:styleId="Rfrenceinterinstitutionelle">
    <w:name w:val="Référence interinstitutionelle"/>
    <w:basedOn w:val="Normal"/>
    <w:next w:val="Statut"/>
    <w:rsid w:val="00245855"/>
    <w:pPr>
      <w:spacing w:before="0" w:after="0"/>
      <w:ind w:left="5103"/>
    </w:pPr>
  </w:style>
  <w:style w:type="paragraph" w:customStyle="1" w:styleId="EntLogo">
    <w:name w:val="EntLogo"/>
    <w:basedOn w:val="Normal"/>
    <w:rsid w:val="00245855"/>
    <w:pPr>
      <w:tabs>
        <w:tab w:val="right" w:pos="9639"/>
      </w:tabs>
      <w:spacing w:before="0" w:after="0"/>
    </w:pPr>
    <w:rPr>
      <w:b/>
    </w:rPr>
  </w:style>
  <w:style w:type="paragraph" w:customStyle="1" w:styleId="EntInstit">
    <w:name w:val="EntInstit"/>
    <w:basedOn w:val="Normal"/>
    <w:rsid w:val="00245855"/>
    <w:pPr>
      <w:spacing w:before="0" w:after="0" w:line="240" w:lineRule="auto"/>
      <w:jc w:val="right"/>
    </w:pPr>
    <w:rPr>
      <w:b/>
    </w:rPr>
  </w:style>
  <w:style w:type="paragraph" w:customStyle="1" w:styleId="EntRefer">
    <w:name w:val="EntRefer"/>
    <w:basedOn w:val="Normal"/>
    <w:rsid w:val="00245855"/>
    <w:pPr>
      <w:spacing w:before="0" w:after="0" w:line="240" w:lineRule="auto"/>
    </w:pPr>
    <w:rPr>
      <w:b/>
    </w:rPr>
  </w:style>
  <w:style w:type="paragraph" w:customStyle="1" w:styleId="EntEmet">
    <w:name w:val="EntEmet"/>
    <w:basedOn w:val="Normal"/>
    <w:rsid w:val="00245855"/>
    <w:pPr>
      <w:spacing w:before="40" w:after="0" w:line="240" w:lineRule="auto"/>
    </w:pPr>
  </w:style>
  <w:style w:type="paragraph" w:customStyle="1" w:styleId="EntText">
    <w:name w:val="EntText"/>
    <w:basedOn w:val="Normal"/>
    <w:rsid w:val="00245855"/>
  </w:style>
  <w:style w:type="paragraph" w:customStyle="1" w:styleId="EntEU">
    <w:name w:val="EntEU"/>
    <w:basedOn w:val="Normal"/>
    <w:rsid w:val="00245855"/>
    <w:pPr>
      <w:spacing w:before="240" w:after="240" w:line="240" w:lineRule="auto"/>
      <w:jc w:val="center"/>
    </w:pPr>
    <w:rPr>
      <w:b/>
      <w:sz w:val="36"/>
    </w:rPr>
  </w:style>
  <w:style w:type="paragraph" w:customStyle="1" w:styleId="EntASSOC">
    <w:name w:val="EntASSOC"/>
    <w:basedOn w:val="Normal"/>
    <w:rsid w:val="00245855"/>
    <w:pPr>
      <w:spacing w:before="0" w:after="0" w:line="240" w:lineRule="auto"/>
      <w:jc w:val="center"/>
    </w:pPr>
    <w:rPr>
      <w:b/>
    </w:rPr>
  </w:style>
  <w:style w:type="paragraph" w:customStyle="1" w:styleId="EntACP">
    <w:name w:val="EntACP"/>
    <w:basedOn w:val="Normal"/>
    <w:rsid w:val="00245855"/>
    <w:pPr>
      <w:spacing w:before="0" w:after="180" w:line="240" w:lineRule="auto"/>
      <w:jc w:val="center"/>
    </w:pPr>
    <w:rPr>
      <w:b/>
      <w:spacing w:val="40"/>
      <w:sz w:val="28"/>
    </w:rPr>
  </w:style>
  <w:style w:type="paragraph" w:customStyle="1" w:styleId="EntInstitACP">
    <w:name w:val="EntInstitACP"/>
    <w:basedOn w:val="Normal"/>
    <w:rsid w:val="00245855"/>
    <w:pPr>
      <w:spacing w:before="0" w:after="0" w:line="240" w:lineRule="auto"/>
      <w:jc w:val="center"/>
    </w:pPr>
    <w:rPr>
      <w:b/>
    </w:rPr>
  </w:style>
  <w:style w:type="paragraph" w:customStyle="1" w:styleId="Genredudocument">
    <w:name w:val="Genre du document"/>
    <w:basedOn w:val="EntRefer"/>
    <w:next w:val="EntRefer"/>
    <w:rsid w:val="00245855"/>
    <w:pPr>
      <w:spacing w:before="240"/>
    </w:pPr>
  </w:style>
  <w:style w:type="paragraph" w:customStyle="1" w:styleId="Accordtitre">
    <w:name w:val="Accord titre"/>
    <w:basedOn w:val="Normal"/>
    <w:rsid w:val="00245855"/>
    <w:pPr>
      <w:spacing w:before="0" w:after="0"/>
      <w:jc w:val="center"/>
    </w:pPr>
  </w:style>
  <w:style w:type="paragraph" w:customStyle="1" w:styleId="FooterAccord">
    <w:name w:val="Footer Accord"/>
    <w:basedOn w:val="Normal"/>
    <w:rsid w:val="00245855"/>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245855"/>
    <w:pPr>
      <w:tabs>
        <w:tab w:val="center" w:pos="7285"/>
        <w:tab w:val="center" w:pos="10930"/>
        <w:tab w:val="right" w:pos="14570"/>
      </w:tabs>
      <w:spacing w:before="360" w:after="0" w:line="240" w:lineRule="auto"/>
      <w:jc w:val="center"/>
    </w:pPr>
  </w:style>
  <w:style w:type="paragraph" w:customStyle="1" w:styleId="TitrearticleAccord">
    <w:name w:val="Titre article Accord"/>
    <w:basedOn w:val="Normal"/>
    <w:next w:val="Normal"/>
    <w:rsid w:val="00245855"/>
    <w:pPr>
      <w:keepNext/>
      <w:spacing w:before="600"/>
      <w:jc w:val="center"/>
    </w:pPr>
    <w:rPr>
      <w:i/>
    </w:rPr>
  </w:style>
  <w:style w:type="paragraph" w:customStyle="1" w:styleId="Languesfaisantfoi">
    <w:name w:val="Langues faisant foi"/>
    <w:basedOn w:val="Normal"/>
    <w:next w:val="Normal"/>
    <w:rsid w:val="00245855"/>
    <w:pPr>
      <w:spacing w:before="360" w:after="0"/>
      <w:jc w:val="center"/>
    </w:pPr>
  </w:style>
  <w:style w:type="paragraph" w:customStyle="1" w:styleId="IntrtEEE">
    <w:name w:val="Intérêt EEE"/>
    <w:basedOn w:val="Languesfaisantfoi"/>
    <w:next w:val="Normal"/>
    <w:rsid w:val="00245855"/>
    <w:pPr>
      <w:spacing w:after="240"/>
    </w:pPr>
  </w:style>
  <w:style w:type="paragraph" w:customStyle="1" w:styleId="Annexetitre">
    <w:name w:val="Annexe titre"/>
    <w:basedOn w:val="Normal"/>
    <w:next w:val="Normal"/>
    <w:rsid w:val="00245855"/>
    <w:pPr>
      <w:jc w:val="center"/>
    </w:pPr>
    <w:rPr>
      <w:b/>
      <w:u w:val="single"/>
    </w:rPr>
  </w:style>
  <w:style w:type="paragraph" w:customStyle="1" w:styleId="DESignature">
    <w:name w:val="DE Signature"/>
    <w:basedOn w:val="Normal"/>
    <w:next w:val="Normal"/>
    <w:rsid w:val="00245855"/>
    <w:pPr>
      <w:tabs>
        <w:tab w:val="center" w:pos="5953"/>
      </w:tabs>
      <w:spacing w:before="720"/>
    </w:pPr>
  </w:style>
  <w:style w:type="paragraph" w:styleId="EndnoteText">
    <w:name w:val="endnote text"/>
    <w:basedOn w:val="Normal"/>
    <w:link w:val="EndnoteTextChar"/>
    <w:uiPriority w:val="99"/>
    <w:semiHidden/>
    <w:unhideWhenUsed/>
    <w:rsid w:val="00245855"/>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45855"/>
    <w:rPr>
      <w:rFonts w:ascii="Times New Roman" w:hAnsi="Times New Roman" w:cs="Times New Roman"/>
      <w:sz w:val="20"/>
      <w:szCs w:val="20"/>
      <w:bdr w:val="none" w:sz="0" w:space="0" w:color="auto"/>
      <w:shd w:val="clear" w:color="auto" w:fill="auto"/>
      <w:lang w:val="en-GB"/>
    </w:rPr>
  </w:style>
  <w:style w:type="character" w:styleId="EndnoteReference">
    <w:name w:val="endnote reference"/>
    <w:basedOn w:val="DefaultParagraphFont"/>
    <w:uiPriority w:val="99"/>
    <w:semiHidden/>
    <w:unhideWhenUsed/>
    <w:rsid w:val="00245855"/>
    <w:rPr>
      <w:bdr w:val="none" w:sz="0" w:space="0" w:color="auto"/>
      <w:shd w:val="clear" w:color="auto" w:fill="auto"/>
      <w:vertAlign w:val="superscript"/>
    </w:rPr>
  </w:style>
  <w:style w:type="paragraph" w:customStyle="1" w:styleId="Division1">
    <w:name w:val="Division 1"/>
    <w:basedOn w:val="Normal"/>
    <w:next w:val="Normal"/>
    <w:rsid w:val="00245855"/>
    <w:pPr>
      <w:keepNext/>
      <w:spacing w:before="720"/>
      <w:ind w:left="850" w:hanging="850"/>
    </w:pPr>
  </w:style>
  <w:style w:type="paragraph" w:customStyle="1" w:styleId="Division2">
    <w:name w:val="Division 2"/>
    <w:basedOn w:val="Normal"/>
    <w:next w:val="Normal"/>
    <w:rsid w:val="00245855"/>
    <w:pPr>
      <w:keepNext/>
      <w:spacing w:before="720"/>
      <w:ind w:left="850" w:hanging="850"/>
    </w:pPr>
  </w:style>
  <w:style w:type="paragraph" w:customStyle="1" w:styleId="Division3">
    <w:name w:val="Division 3"/>
    <w:basedOn w:val="Normal"/>
    <w:next w:val="Normal"/>
    <w:rsid w:val="00245855"/>
    <w:pPr>
      <w:keepNext/>
      <w:spacing w:before="720"/>
      <w:ind w:left="850" w:hanging="850"/>
    </w:pPr>
  </w:style>
  <w:style w:type="paragraph" w:customStyle="1" w:styleId="Division4">
    <w:name w:val="Division 4"/>
    <w:basedOn w:val="Normal"/>
    <w:next w:val="Normal"/>
    <w:rsid w:val="00245855"/>
    <w:pPr>
      <w:keepNext/>
      <w:spacing w:before="720"/>
      <w:ind w:left="850" w:hanging="850"/>
    </w:pPr>
  </w:style>
  <w:style w:type="paragraph" w:customStyle="1" w:styleId="Crossheading1">
    <w:name w:val="Crossheading 1"/>
    <w:basedOn w:val="Normal"/>
    <w:next w:val="Normal"/>
    <w:rsid w:val="00245855"/>
    <w:pPr>
      <w:ind w:left="850"/>
    </w:pPr>
  </w:style>
  <w:style w:type="paragraph" w:customStyle="1" w:styleId="CrossheadingIndent1">
    <w:name w:val="Crossheading Indent 1"/>
    <w:basedOn w:val="Normal"/>
    <w:next w:val="Normal"/>
    <w:rsid w:val="00245855"/>
    <w:pPr>
      <w:ind w:left="1417" w:hanging="567"/>
    </w:pPr>
  </w:style>
  <w:style w:type="paragraph" w:customStyle="1" w:styleId="Crossheading2">
    <w:name w:val="Crossheading 2"/>
    <w:basedOn w:val="Normal"/>
    <w:next w:val="Normal"/>
    <w:rsid w:val="00245855"/>
    <w:pPr>
      <w:ind w:left="1417"/>
    </w:pPr>
  </w:style>
  <w:style w:type="paragraph" w:customStyle="1" w:styleId="CrossheadingIndent2">
    <w:name w:val="Crossheading Indent 2"/>
    <w:basedOn w:val="Normal"/>
    <w:next w:val="Normal"/>
    <w:rsid w:val="00245855"/>
    <w:pPr>
      <w:ind w:left="1984" w:hanging="567"/>
    </w:pPr>
  </w:style>
  <w:style w:type="paragraph" w:customStyle="1" w:styleId="Crossheading3">
    <w:name w:val="Crossheading 3"/>
    <w:basedOn w:val="Normal"/>
    <w:next w:val="Normal"/>
    <w:rsid w:val="00245855"/>
    <w:pPr>
      <w:ind w:left="1984"/>
    </w:pPr>
  </w:style>
  <w:style w:type="paragraph" w:customStyle="1" w:styleId="CrossheadingIndent3">
    <w:name w:val="Crossheading Indent 3"/>
    <w:basedOn w:val="Normal"/>
    <w:next w:val="Normal"/>
    <w:rsid w:val="00245855"/>
    <w:pPr>
      <w:ind w:left="2551" w:hanging="567"/>
    </w:pPr>
  </w:style>
  <w:style w:type="paragraph" w:customStyle="1" w:styleId="Crossheading4">
    <w:name w:val="Crossheading 4"/>
    <w:basedOn w:val="Normal"/>
    <w:next w:val="Normal"/>
    <w:rsid w:val="00245855"/>
    <w:pPr>
      <w:ind w:left="2551"/>
    </w:pPr>
  </w:style>
  <w:style w:type="paragraph" w:customStyle="1" w:styleId="CrossheadingIndent4">
    <w:name w:val="Crossheading Indent 4"/>
    <w:basedOn w:val="Normal"/>
    <w:next w:val="Normal"/>
    <w:rsid w:val="00245855"/>
    <w:pPr>
      <w:ind w:left="3118" w:hanging="567"/>
    </w:pPr>
  </w:style>
  <w:style w:type="paragraph" w:customStyle="1" w:styleId="Crossheading5">
    <w:name w:val="Crossheading 5"/>
    <w:basedOn w:val="Normal"/>
    <w:next w:val="Normal"/>
    <w:rsid w:val="00245855"/>
    <w:pPr>
      <w:ind w:left="3118"/>
    </w:pPr>
  </w:style>
  <w:style w:type="paragraph" w:customStyle="1" w:styleId="CrossheadingIndent5">
    <w:name w:val="Crossheading Indent 5"/>
    <w:basedOn w:val="Normal"/>
    <w:next w:val="Normal"/>
    <w:rsid w:val="00245855"/>
    <w:pPr>
      <w:ind w:left="3685" w:hanging="567"/>
    </w:pPr>
  </w:style>
  <w:style w:type="paragraph" w:customStyle="1" w:styleId="Crossheading6">
    <w:name w:val="Crossheading 6"/>
    <w:basedOn w:val="Normal"/>
    <w:next w:val="Normal"/>
    <w:rsid w:val="00245855"/>
    <w:pPr>
      <w:ind w:left="3685"/>
    </w:pPr>
  </w:style>
  <w:style w:type="paragraph" w:customStyle="1" w:styleId="CrossheadingIndent6">
    <w:name w:val="Crossheading Indent 6"/>
    <w:basedOn w:val="Normal"/>
    <w:next w:val="Normal"/>
    <w:rsid w:val="00245855"/>
    <w:pPr>
      <w:ind w:left="4252" w:hanging="567"/>
    </w:pPr>
  </w:style>
  <w:style w:type="paragraph" w:customStyle="1" w:styleId="Crossheading7">
    <w:name w:val="Crossheading 7"/>
    <w:basedOn w:val="Normal"/>
    <w:next w:val="Normal"/>
    <w:rsid w:val="00245855"/>
    <w:pPr>
      <w:ind w:left="4252"/>
    </w:pPr>
  </w:style>
  <w:style w:type="paragraph" w:customStyle="1" w:styleId="CrossheadingIndent7">
    <w:name w:val="Crossheading Indent 7"/>
    <w:basedOn w:val="Normal"/>
    <w:next w:val="Normal"/>
    <w:rsid w:val="00245855"/>
    <w:pPr>
      <w:ind w:left="4819" w:hanging="567"/>
    </w:pPr>
  </w:style>
  <w:style w:type="paragraph" w:customStyle="1" w:styleId="Crossheading8">
    <w:name w:val="Crossheading 8"/>
    <w:basedOn w:val="Normal"/>
    <w:next w:val="Normal"/>
    <w:rsid w:val="00245855"/>
    <w:pPr>
      <w:ind w:left="4819"/>
    </w:pPr>
  </w:style>
  <w:style w:type="paragraph" w:customStyle="1" w:styleId="CrossheadingIndent8">
    <w:name w:val="Crossheading Indent 8"/>
    <w:basedOn w:val="Normal"/>
    <w:next w:val="Normal"/>
    <w:rsid w:val="00245855"/>
    <w:pPr>
      <w:ind w:left="5386" w:hanging="567"/>
    </w:pPr>
  </w:style>
  <w:style w:type="paragraph" w:customStyle="1" w:styleId="Crossheading9">
    <w:name w:val="Crossheading 9"/>
    <w:basedOn w:val="Normal"/>
    <w:next w:val="Normal"/>
    <w:rsid w:val="00245855"/>
    <w:pPr>
      <w:ind w:left="5386"/>
    </w:pPr>
  </w:style>
  <w:style w:type="paragraph" w:customStyle="1" w:styleId="CrossheadingIndent9">
    <w:name w:val="Crossheading Indent 9"/>
    <w:basedOn w:val="Normal"/>
    <w:next w:val="Normal"/>
    <w:rsid w:val="00245855"/>
    <w:pPr>
      <w:ind w:left="5953" w:hanging="567"/>
    </w:pPr>
  </w:style>
  <w:style w:type="paragraph" w:customStyle="1" w:styleId="Crossheading10">
    <w:name w:val="Crossheading 10"/>
    <w:basedOn w:val="Normal"/>
    <w:next w:val="Normal"/>
    <w:rsid w:val="00245855"/>
    <w:pPr>
      <w:ind w:left="5953"/>
    </w:pPr>
  </w:style>
  <w:style w:type="paragraph" w:customStyle="1" w:styleId="CrossheadingIndent10">
    <w:name w:val="Crossheading Indent 10"/>
    <w:basedOn w:val="Normal"/>
    <w:next w:val="Normal"/>
    <w:rsid w:val="00245855"/>
    <w:pPr>
      <w:ind w:left="6520" w:hanging="567"/>
    </w:pPr>
  </w:style>
  <w:style w:type="paragraph" w:customStyle="1" w:styleId="Crossheading0">
    <w:name w:val="Crossheading 0"/>
    <w:basedOn w:val="Normal"/>
    <w:next w:val="Normal"/>
    <w:rsid w:val="00245855"/>
  </w:style>
  <w:style w:type="paragraph" w:customStyle="1" w:styleId="CrossheadingIndent0">
    <w:name w:val="Crossheading Indent 0"/>
    <w:basedOn w:val="Normal"/>
    <w:next w:val="Normal"/>
    <w:rsid w:val="00245855"/>
    <w:pPr>
      <w:ind w:left="850" w:hanging="850"/>
    </w:pPr>
  </w:style>
  <w:style w:type="character" w:styleId="UnresolvedMention">
    <w:name w:val="Unresolved Mention"/>
    <w:basedOn w:val="DefaultParagraphFont"/>
    <w:uiPriority w:val="99"/>
    <w:semiHidden/>
    <w:unhideWhenUsed/>
    <w:rsid w:val="00907DF6"/>
    <w:rPr>
      <w:color w:val="605E5C"/>
      <w:shd w:val="clear" w:color="auto" w:fill="E1DFDD"/>
    </w:rPr>
  </w:style>
  <w:style w:type="paragraph" w:customStyle="1" w:styleId="TBSubjectBold">
    <w:name w:val="TBSubjectBold"/>
    <w:basedOn w:val="TechnicalBlockBase"/>
    <w:rsid w:val="00B879FF"/>
    <w:pPr>
      <w:widowControl/>
      <w:spacing w:before="160" w:after="0" w:line="360" w:lineRule="auto"/>
      <w:ind w:left="0" w:right="0"/>
      <w:jc w:val="center"/>
    </w:pPr>
    <w:rPr>
      <w:rFonts w:ascii="Arial" w:hAnsi="Arial"/>
      <w:i w:val="0"/>
      <w:dstrike w:val="0"/>
      <w:color w:val="auto"/>
      <w:w w:val="100"/>
      <w:sz w:val="23"/>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data.europa.eu/eli/reg/2021/947/o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DocuWrite\DW_LEGAC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f146c6c-37bf-4d7b-b20f-c8fddc392ac2" xsi:nil="true"/>
    <lcf76f155ced4ddcb4097134ff3c332f xmlns="300e80e7-7c62-42a5-a437-0dd5c3dfdc7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5AC45778909341811E67CE868F9FE5" ma:contentTypeVersion="15" ma:contentTypeDescription="Create a new document." ma:contentTypeScope="" ma:versionID="416550d51a10d3c9afef06a0b21c4057">
  <xsd:schema xmlns:xsd="http://www.w3.org/2001/XMLSchema" xmlns:xs="http://www.w3.org/2001/XMLSchema" xmlns:p="http://schemas.microsoft.com/office/2006/metadata/properties" xmlns:ns2="300e80e7-7c62-42a5-a437-0dd5c3dfdc75" xmlns:ns3="4f146c6c-37bf-4d7b-b20f-c8fddc392ac2" targetNamespace="http://schemas.microsoft.com/office/2006/metadata/properties" ma:root="true" ma:fieldsID="b680cc993c14014d1c7eaeaa17cee0e2" ns2:_="" ns3:_="">
    <xsd:import namespace="300e80e7-7c62-42a5-a437-0dd5c3dfdc75"/>
    <xsd:import namespace="4f146c6c-37bf-4d7b-b20f-c8fddc392a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e80e7-7c62-42a5-a437-0dd5c3dfd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46c6c-37bf-4d7b-b20f-c8fddc392ac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40e67f-9159-483c-b508-0220a7929075}" ma:internalName="TaxCatchAll" ma:showField="CatchAllData" ma:web="4f146c6c-37bf-4d7b-b20f-c8fddc392a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33CB88-3600-4DCF-AEAF-45082B55E495}">
  <ds:schemaRefs>
    <ds:schemaRef ds:uri="http://schemas.microsoft.com/sharepoint/v3/contenttype/forms"/>
  </ds:schemaRefs>
</ds:datastoreItem>
</file>

<file path=customXml/itemProps2.xml><?xml version="1.0" encoding="utf-8"?>
<ds:datastoreItem xmlns:ds="http://schemas.openxmlformats.org/officeDocument/2006/customXml" ds:itemID="{94084D27-DA72-4F07-AC35-D333A6F65775}">
  <ds:schemaRefs>
    <ds:schemaRef ds:uri="http://schemas.microsoft.com/office/2006/metadata/properties"/>
    <ds:schemaRef ds:uri="http://schemas.microsoft.com/office/infopath/2007/PartnerControls"/>
    <ds:schemaRef ds:uri="4f146c6c-37bf-4d7b-b20f-c8fddc392ac2"/>
    <ds:schemaRef ds:uri="300e80e7-7c62-42a5-a437-0dd5c3dfdc75"/>
  </ds:schemaRefs>
</ds:datastoreItem>
</file>

<file path=customXml/itemProps3.xml><?xml version="1.0" encoding="utf-8"?>
<ds:datastoreItem xmlns:ds="http://schemas.openxmlformats.org/officeDocument/2006/customXml" ds:itemID="{F24BBC74-A494-4FFD-B287-EDA0E742C778}">
  <ds:schemaRefs>
    <ds:schemaRef ds:uri="http://schemas.openxmlformats.org/officeDocument/2006/bibliography"/>
  </ds:schemaRefs>
</ds:datastoreItem>
</file>

<file path=customXml/itemProps4.xml><?xml version="1.0" encoding="utf-8"?>
<ds:datastoreItem xmlns:ds="http://schemas.openxmlformats.org/officeDocument/2006/customXml" ds:itemID="{E11FEBA1-FC47-487E-AD10-CC27115F0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e80e7-7c62-42a5-a437-0dd5c3dfdc75"/>
    <ds:schemaRef ds:uri="4f146c6c-37bf-4d7b-b20f-c8fddc392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C:\Users\Public\Documents\Templates\DocuWrite\DW_LEGACTS.dotm</Template>
  <TotalTime>90</TotalTime>
  <Pages>10</Pages>
  <Words>2855</Words>
  <Characters>15052</Characters>
  <Application>Microsoft Office Word</Application>
  <DocSecurity>0</DocSecurity>
  <Lines>242</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ZUZJONOK Riina</dc:creator>
  <cp:keywords/>
  <dc:description/>
  <cp:lastModifiedBy>Guillaume Depraetere</cp:lastModifiedBy>
  <cp:revision>8</cp:revision>
  <dcterms:created xsi:type="dcterms:W3CDTF">2025-08-18T06:13:00Z</dcterms:created>
  <dcterms:modified xsi:type="dcterms:W3CDTF">2025-10-28T17:42:00Z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0x0101007D5AC45778909341811E67CE868F9FE5</vt:lpwstr>
  </property>
  <property fmtid="{D5CDD505-2E9C-101B-9397-08002B2CF9AE}" pid="3" name="Created using">
    <vt:lpwstr>DocuWrite 4.11.5, Build 20250206</vt:lpwstr>
  </property>
  <property fmtid="{D5CDD505-2E9C-101B-9397-08002B2CF9AE}" pid="4" name="Last edited using">
    <vt:lpwstr>DocuWrite 4.11.5, Build 20250206</vt:lpwstr>
  </property>
  <property fmtid="{D5CDD505-2E9C-101B-9397-08002B2CF9AE}" pid="5" name="MSIP_Label_b1df41d6-74a9-4a97-809c-213cd32520cc_Enabled">
    <vt:lpwstr>true</vt:lpwstr>
  </property>
  <property fmtid="{D5CDD505-2E9C-101B-9397-08002B2CF9AE}" pid="6" name="MSIP_Label_b1df41d6-74a9-4a97-809c-213cd32520cc_SetDate">
    <vt:lpwstr>2025-03-12T08:03:28Z</vt:lpwstr>
  </property>
  <property fmtid="{D5CDD505-2E9C-101B-9397-08002B2CF9AE}" pid="7" name="MSIP_Label_b1df41d6-74a9-4a97-809c-213cd32520cc_Method">
    <vt:lpwstr>Privileged</vt:lpwstr>
  </property>
  <property fmtid="{D5CDD505-2E9C-101B-9397-08002B2CF9AE}" pid="8" name="MSIP_Label_b1df41d6-74a9-4a97-809c-213cd32520cc_Name">
    <vt:lpwstr>GSCEU - NON PUBLIC Label</vt:lpwstr>
  </property>
  <property fmtid="{D5CDD505-2E9C-101B-9397-08002B2CF9AE}" pid="9" name="MSIP_Label_b1df41d6-74a9-4a97-809c-213cd32520cc_SiteId">
    <vt:lpwstr>03ad1c97-0a4d-4e82-8f93-27291a6a0767</vt:lpwstr>
  </property>
  <property fmtid="{D5CDD505-2E9C-101B-9397-08002B2CF9AE}" pid="10" name="MSIP_Label_b1df41d6-74a9-4a97-809c-213cd32520cc_ActionId">
    <vt:lpwstr>963b170e-e993-4e24-82e3-9f0481b14411</vt:lpwstr>
  </property>
  <property fmtid="{D5CDD505-2E9C-101B-9397-08002B2CF9AE}" pid="11" name="MSIP_Label_b1df41d6-74a9-4a97-809c-213cd32520cc_ContentBits">
    <vt:lpwstr>0</vt:lpwstr>
  </property>
  <property fmtid="{D5CDD505-2E9C-101B-9397-08002B2CF9AE}" pid="12" name="MSIP_Label_6bd9ddd1-4d20-43f6-abfa-fc3c07406f94_Enabled">
    <vt:lpwstr>true</vt:lpwstr>
  </property>
  <property fmtid="{D5CDD505-2E9C-101B-9397-08002B2CF9AE}" pid="13" name="MSIP_Label_6bd9ddd1-4d20-43f6-abfa-fc3c07406f94_SetDate">
    <vt:lpwstr>2025-03-18T08:33:00Z</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iteId">
    <vt:lpwstr>b24c8b06-522c-46fe-9080-70926f8dddb1</vt:lpwstr>
  </property>
  <property fmtid="{D5CDD505-2E9C-101B-9397-08002B2CF9AE}" pid="17" name="MSIP_Label_6bd9ddd1-4d20-43f6-abfa-fc3c07406f94_ActionId">
    <vt:lpwstr>b2abf1fe-33e2-4adc-a876-14e6d6fe38a5</vt:lpwstr>
  </property>
  <property fmtid="{D5CDD505-2E9C-101B-9397-08002B2CF9AE}" pid="18" name="MSIP_Label_6bd9ddd1-4d20-43f6-abfa-fc3c07406f94_ContentBits">
    <vt:lpwstr>0</vt:lpwstr>
  </property>
</Properties>
</file>