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center"/>
        <w:tblLayout w:type="fixed"/>
        <w:tblLook w:val="04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color="f79646" w:space="1" w:sz="4" w:val="single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presenta al estudiante una evaluación final que involucre los contenidos de todos los momentos de aprendizaje de la asignatura y considere los resultados de aprendizaje correspondientes. Recuerde que esta actividad hace referencia a la actividad sumativa que estipula la política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Académica Cualitativa de Pregrado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y, por tanto, la valoración final del proceso evaluativo debe considerar todos los avances y evidencias de las actividades formativas.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color="f79646" w:space="1" w:sz="4" w:val="single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Instrucciones para el desarrollo de la actividad 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En una asignatura virtual, la actividad debe presentar información clara para el estudiante: 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Plantear el objetivo de la actividad y los resultados que se esperan obtener de la misma.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Explicitar el contexto en el que se realizará la actividad.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la modalidad de participación (individual, grupal, colaborativa).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Especificar con claridad el proceso a seguir para la realización de la actividad (redacte el paso a paso de la actividad con lenguaje dirigido al estudiante – en singular y lo más claro posible, suponiendo que el estudiante requiere indicaciones detalladas y en esta guía tiene todas las herramientas para desarrollar la actividad con éxito). 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Evidencia o producto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Determine el tipo de producto que se espera recibir de parte del estudiante para dar por cumplida la actividad y las características de entrega: ¿qué debe entregar?, ¿bajo qué parámetros de calidad?, ¿en qué herramienta se debe elaborar?, ¿se debe socializar a través de una herramienta colaborativa?, etc.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Infografía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Trabajo escrito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Relatoría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Exposición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Multimedia (videos, piezas gráficas, audios, etc.)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Foro / blog (en un foro, escriba bajo qué pregunta se orientará el debate y la retroalimentación entre pares).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Otro. 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Recuerde que esta actividad debe abarcar todos los temas desarrollados durante la asignatura, de forma que se logre cumplir el o los resultados de aprendizaje planteados.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Material de apoyo: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Indicar los diferentes recursos que pueden revisar o utilizar los estudiantes en el desarrollo de la actividad, puede incluir lecturas o materiales con enlaces (artículos, lecturas, vídeos, blogs, etc.), importante verificar que funcionen correctamente. 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Pegue la URL del contenido.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Tiempo asignado: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estipula el tiempo previsto o sugerido para el desarrollo y entrega de la actividad (esto proporciona al estudiante una orientación del tiempo necesario para lograr el resultado de aprendizaje asociado a la actividad).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Rúbrica de evaluación: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truya y anexe la rúbrica corres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pondiente a la actividad, para que en el proceso de calificación se facilite y para que el estudiante sepa bajo qué criterios obtuvo la nota resultante del proceso.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Incorpore los criterios de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evaluación disciplinares consignados en el syllabus que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dan cuenta del cumplimiento de los resultados de aprendizaje. Además, debe incluir los siguientes criterios: la actitud y el compromiso con el aprendizaje, y la actitud frente al aprendizaje colaborativo.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Puede incluir otros criterios que tengan en cuenta tanto el nivel de conocimientos como de habilidades y actitudes que se consideran deseables (por ejemplo, organización de la información, fuentes de consulta, nivel de investigación, respeto a las posturas de los demás, comunicación de ideas, etc).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line="200" w:lineRule="auto"/>
              <w:jc w:val="both"/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00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Espacio para anexar Rúbricas:</w:t>
            </w:r>
          </w:p>
          <w:p w:rsidR="00000000" w:rsidDel="00000000" w:rsidP="00000000" w:rsidRDefault="00000000" w:rsidRPr="00000000" w14:paraId="0000003D">
            <w:pPr>
              <w:spacing w:line="20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rúbricas de evaluación deben ser diseñadas bajo los lineamientos institucionales de la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Política de Evaluación Académica Cualitativa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apartado “Tercer momento de evaluación: evaluación final de las asignaturas”. Puede consultarla y descargarla en ISolución.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359" w:hanging="359"/>
              <w:jc w:val="both"/>
              <w:rPr>
                <w:rFonts w:ascii="Arial" w:cs="Arial" w:eastAsia="Arial" w:hAnsi="Arial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Nota: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 tenga en mente que los resultados de este momento evaluativo constituyen el insumo para realizar el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 “Balance final”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 contemplado en la Política Evaluación Académica Cualitativa de Pregrado, se deben incluir comentarios y observaciones generales sobre el proceso de aprendizaje desarrollo y la consecución de los aprendizajes del estudiante. Este balance debe ser socializado en el último encuentro sincrónico de la asignatura.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</w:rPr>
      </w:pPr>
      <w:bookmarkStart w:colFirst="0" w:colLast="0" w:name="_heading=h.rhk3gc64mbic" w:id="0"/>
      <w:bookmarkEnd w:id="0"/>
      <w:r w:rsidDel="00000000" w:rsidR="00000000" w:rsidRPr="00000000">
        <w:rPr>
          <w:rFonts w:ascii="Arial" w:cs="Arial" w:eastAsia="Arial" w:hAnsi="Arial"/>
          <w:b w:val="1"/>
          <w:color w:val="385522"/>
          <w:sz w:val="18"/>
          <w:szCs w:val="18"/>
          <w:rtl w:val="0"/>
        </w:rPr>
        <w:tab/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280" w:top="880" w:left="600" w:right="60" w:header="72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0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9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B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2">
          <w:pPr>
            <w:spacing w:after="160" w:line="259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3">
          <w:pPr>
            <w:spacing w:after="160" w:line="259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5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6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8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A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D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8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spacing w:after="160" w:line="259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spacing w:after="160" w:line="259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2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3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5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-390524</wp:posOffset>
          </wp:positionH>
          <wp:positionV relativeFrom="paragraph">
            <wp:posOffset>-342899</wp:posOffset>
          </wp:positionV>
          <wp:extent cx="7786688" cy="2531682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253168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6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8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B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1134" w:hanging="36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854" w:hanging="36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574" w:hanging="36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3294" w:hanging="36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4014" w:hanging="36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734" w:hanging="36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tazHTQNwpmKj3WRxFGLQ5s1cyQ==">CgMxLjAyDmgucmhrM2djNjRtYmljOAByITE3X3pPdUh0M0dNSWptR0lDQXk2VkRETHc3ZXZISm1CVg==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