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Fuentes y librería CSS (Se ponen en el campo de “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highlight w:val="white"/>
          <w:rtl w:val="0"/>
        </w:rPr>
        <w:t xml:space="preserve">Within HEAD” o “Dentro del HEAD”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&lt;!-- Fuentes Universidad de America --&gt;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&lt;link rel="preconnect" href="https://fonts.gstatic.com" crossorigin&gt;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&lt;link href="https://fonts.googleapis.com/css2?family=Bebas+Neue&amp;family=DM+Sans:ital,opsz,wght@0,9..40,100..1000;1,9..40,100..1000&amp;family=Fjalla+One&amp;family=Inter:ital,opsz,wght@0,14..32,100..900;1,14..32,100..900&amp;family=JetBrains+Mono:ital,wght@0,100..800;1,100..800&amp;family=Lobster&amp;family=Montserrat:ital,wght@0,100..900;1,100..900&amp;family=Nunito:ital,wght@0,200..1000;1,200..1000&amp;family=Oswald:wght@200..700&amp;family=Pacifico&amp;family=Playfair+Display:ital,wght@0,400..900;1,400..900&amp;family=Playwrite+BR:wght@100..400&amp;family=Poppins:ital,wght@0,100;0,200;0,300;0,400;0,500;0,600;0,700;0,800;0,900;1,100;1,200;1,300;1,400;1,500;1,600;1,700;1,800;1,900&amp;family=Roboto+Slab:wght@100..900&amp;family=Roboto:ital,wght@0,100..900;1,100..900&amp;family=Rubik:ital,wght@0,300..900;1,300..900&amp;family=Space+Grotesk:wght@300..700&amp;display=swap" rel="stylesheet"&gt;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&lt;!-- Libreria UA Moodle --&gt;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&lt;link rel="stylesheet" href="https://cdn.jsdelivr.net/gh/MateoVR13/lib-uamerica@main/assets/css/uamerica-moodle.css"&gt;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Librería de JavaScript (Se pone en “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highlight w:val="white"/>
          <w:rtl w:val="0"/>
        </w:rPr>
        <w:t xml:space="preserve">Before BODY is closed”</w:t>
      </w:r>
      <w:r w:rsidDel="00000000" w:rsidR="00000000" w:rsidRPr="00000000">
        <w:rPr>
          <w:b w:val="1"/>
          <w:bCs w:val="1"/>
          <w:rtl w:val="0"/>
        </w:rPr>
        <w:t xml:space="preserve"> o “Antes de cerrar Cuerpo/Body”)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&lt;!-- Libreria JS UA Moodle →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&lt;script src="https://cdn.jsdelivr.net/gh/MateoVR13/lib-uamerica@main/assets/js/uamerica-moodle.js"&gt;&lt;/script&gt;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