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Prospectividad de oro con IA</w:t>
      </w:r>
    </w:p>
    <w:p>
      <w:pPr>
        <w:pStyle w:val="Subtitle"/>
      </w:pPr>
      <w:r>
        <w:t>Ideas principales para trasladar en la reunión</w:t>
      </w:r>
    </w:p>
    <w:p>
      <w:pPr>
        <w:pStyle w:val="Metadata"/>
      </w:pPr>
      <w:r>
        <w:t>Lunes, 7 de septiembre de 2026  ·  Antonio Mateos  ·  Revisión de datos: 04/09/2026</w:t>
      </w:r>
    </w:p>
    <w:p>
      <w:pPr>
        <w:pStyle w:val="Lead"/>
        <w:shd w:fill="F4F6F9"/>
      </w:pPr>
      <w:r>
        <w:t>Mensaje central: ya tenemos una base de datos identificada, un diagnóstico de su calidad y una propuesta de modelado. El siguiente hito es preparar el conjunto de entrenamiento.</w:t>
      </w:r>
    </w:p>
    <w:p>
      <w:pPr>
        <w:pStyle w:val="Heading2"/>
      </w:pPr>
      <w:r>
        <w:t>Qué queremos conseguir</w:t>
      </w:r>
    </w:p>
    <w:p>
      <w:r>
        <w:t>Desarrollar un modelo que relacione los indicios de oro del BDMIN con las condiciones geológicas, geoquímicas, estructurales y del terreno. La salida será un mapa de prospectividad para priorizar zonas de estudio. El entrenamiento y la evaluación están pendientes.</w:t>
      </w:r>
    </w:p>
    <w:p>
      <w:pPr>
        <w:pStyle w:val="Heading2"/>
      </w:pPr>
      <w:r>
        <w:t>Avances comprobados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center"/>
            <w:shd w:fill="F2F4F7"/>
          </w:tcPr>
          <w:p>
            <w:pPr>
              <w:pStyle w:val="TableHeader"/>
            </w:pPr>
            <w:r>
              <w:t>Ámbito</w:t>
            </w:r>
          </w:p>
        </w:tc>
        <w:tc>
          <w:tcPr>
            <w:tcW w:type="dxa" w:w="7160"/>
            <w:vAlign w:val="center"/>
            <w:shd w:fill="F2F4F7"/>
          </w:tcPr>
          <w:p>
            <w:pPr>
              <w:pStyle w:val="TableHeader"/>
            </w:pPr>
            <w:r>
              <w:t>Evidencia disponible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Body"/>
            </w:pPr>
            <w:r>
              <w:t>Base de indicios</w:t>
            </w:r>
          </w:p>
        </w:tc>
        <w:tc>
          <w:tcPr>
            <w:tcW w:type="dxa" w:w="7160"/>
            <w:vAlign w:val="center"/>
          </w:tcPr>
          <w:p>
            <w:pPr>
              <w:pStyle w:val="TableBody"/>
            </w:pPr>
            <w:r>
              <w:t>IndiciosII.gpkg: 11.732 códigos únicos y 790 registros que incluyen oro. Es la copia de partida recomendada.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Body"/>
            </w:pPr>
            <w:r>
              <w:t>Geología y estructuras</w:t>
            </w:r>
          </w:p>
        </w:tc>
        <w:tc>
          <w:tcPr>
            <w:tcW w:type="dxa" w:w="7160"/>
            <w:vAlign w:val="center"/>
          </w:tcPr>
          <w:p>
            <w:pPr>
              <w:pStyle w:val="TableBody"/>
            </w:pPr>
            <w:r>
              <w:t>Litología y edad con datos; ejes y pliegues comprobados. Contactos, fallas, recintos e hidrografía localizados, pendientes de revisión interna.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Body"/>
            </w:pPr>
            <w:r>
              <w:t>Geoquímica</w:t>
            </w:r>
          </w:p>
        </w:tc>
        <w:tc>
          <w:tcPr>
            <w:tcW w:type="dxa" w:w="7160"/>
            <w:vAlign w:val="center"/>
          </w:tcPr>
          <w:p>
            <w:pPr>
              <w:pStyle w:val="TableBody"/>
            </w:pPr>
            <w:r>
              <w:t>Au y As inspeccionadas. También se han localizado capas de Sb, Bi, Hg, Cu, Pb, Zn y W, aún por comprobar.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Body"/>
            </w:pPr>
            <w:r>
              <w:t>Terreno</w:t>
            </w:r>
          </w:p>
        </w:tc>
        <w:tc>
          <w:tcPr>
            <w:tcW w:type="dxa" w:w="7160"/>
            <w:vAlign w:val="center"/>
          </w:tcPr>
          <w:p>
            <w:pPr>
              <w:pStyle w:val="TableBody"/>
            </w:pPr>
            <w:r>
              <w:t>MDT de 500 m con elevación, pendiente, TPI y TRI. Falta verificar la preparación de los derivados.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pStyle w:val="TableBody"/>
            </w:pPr>
            <w:r>
              <w:t>Forma de trabajar</w:t>
            </w:r>
          </w:p>
        </w:tc>
        <w:tc>
          <w:tcPr>
            <w:tcW w:type="dxa" w:w="7160"/>
            <w:vAlign w:val="center"/>
          </w:tcPr>
          <w:p>
            <w:pPr>
              <w:pStyle w:val="TableBody"/>
            </w:pPr>
            <w:r>
              <w:t>Estructura de cuaderno propuesta a partir del reto del vino: explicación, código, gráficos y comparación de algoritmos.</w:t>
            </w:r>
          </w:p>
        </w:tc>
      </w:tr>
    </w:tbl>
    <w:p>
      <w:pPr>
        <w:pStyle w:val="TableSource"/>
      </w:pPr>
      <w:r>
        <w:t>Base de esta síntesis: inspección de 23 archivos de la carpeta «Proyecto Con Luis» y del cuaderno adjunto. Los datasets de pruebas se han excluido.</w:t>
      </w:r>
    </w:p>
    <w:p>
      <w:pPr>
        <w:pStyle w:val="Heading2"/>
      </w:pPr>
      <w:r>
        <w:t>Hallazgos que condicionan el siguiente paso</w:t>
      </w:r>
    </w:p>
    <w:p>
      <w:pPr>
        <w:pStyle w:val="MeetingBullet"/>
        <w:numPr>
          <w:ilvl w:val="0"/>
          <w:numId w:val="71"/>
        </w:numPr>
      </w:pPr>
      <w:r>
        <w:rPr>
          <w:b/>
        </w:rPr>
        <w:t xml:space="preserve">Calidad de los archivos. </w:t>
      </w:r>
      <w:r>
        <w:t>Nueve GeoPackage están vacíos; el Excel repite códigos y algunos CSV han perdido la geometría. Hay que preparar la tabla desde las fuentes comprobadas.</w:t>
      </w:r>
    </w:p>
    <w:p>
      <w:pPr>
        <w:pStyle w:val="MeetingBullet"/>
        <w:numPr>
          <w:ilvl w:val="0"/>
          <w:numId w:val="71"/>
        </w:numPr>
      </w:pPr>
      <w:r>
        <w:rPr>
          <w:b/>
        </w:rPr>
        <w:t xml:space="preserve">Dos objetivos geológicos. </w:t>
      </w:r>
      <w:r>
        <w:t>299 indicios auríferos figuran como aluvionares y 294 como filonianos. Debemos distinguir oro aluvial y oro en roca; 77 casos tienen morfología desconocida.</w:t>
      </w:r>
    </w:p>
    <w:p>
      <w:pPr>
        <w:pStyle w:val="MeetingBullet"/>
        <w:numPr>
          <w:ilvl w:val="0"/>
          <w:numId w:val="71"/>
        </w:numPr>
      </w:pPr>
      <w:r>
        <w:rPr>
          <w:b/>
        </w:rPr>
        <w:t xml:space="preserve">Detalle disponible. </w:t>
      </w:r>
      <w:r>
        <w:t>La geoquímica de Au y As está clasificada por intervalos. El MDT de 500 m y la litología regional 1:1.000.000 aconsejan delimitar bien el alcance del piloto.</w:t>
      </w:r>
    </w:p>
    <w:p>
      <w:r>
        <w:br w:type="page"/>
      </w:r>
    </w:p>
    <w:p>
      <w:pPr>
        <w:pStyle w:val="Heading1"/>
      </w:pPr>
      <w:r>
        <w:t>Propuesta para acordar el lunes</w:t>
      </w:r>
    </w:p>
    <w:p>
      <w:pPr>
        <w:pStyle w:val="Heading2"/>
      </w:pPr>
      <w:r>
        <w:t>Cómo construiremos el primer modelo</w:t>
      </w:r>
    </w:p>
    <w:p>
      <w:pPr>
        <w:pStyle w:val="MeetingNumber"/>
        <w:numPr>
          <w:ilvl w:val="0"/>
          <w:numId w:val="72"/>
        </w:numPr>
      </w:pPr>
      <w:r>
        <w:rPr>
          <w:b/>
        </w:rPr>
        <w:t xml:space="preserve">Preparar una tabla nueva. </w:t>
      </w:r>
      <w:r>
        <w:t>Definir la zona y la cuadrícula, revisar los indicios y extraer las variables de las capas. Los datasets de pruebas anteriores quedan fuera.</w:t>
      </w:r>
    </w:p>
    <w:p>
      <w:pPr>
        <w:pStyle w:val="MeetingNumber"/>
        <w:numPr>
          <w:ilvl w:val="0"/>
          <w:numId w:val="72"/>
        </w:numPr>
      </w:pPr>
      <w:r>
        <w:rPr>
          <w:b/>
        </w:rPr>
        <w:t xml:space="preserve">Definir las muestras. </w:t>
      </w:r>
      <w:r>
        <w:t>Usar indicios conocidos y puntos de fondo. Una zona sin oro registrado tiene una etiqueta desconocida: no es una ausencia demostrada.</w:t>
      </w:r>
    </w:p>
    <w:p>
      <w:pPr>
        <w:pStyle w:val="MeetingNumber"/>
        <w:numPr>
          <w:ilvl w:val="0"/>
          <w:numId w:val="72"/>
        </w:numPr>
      </w:pPr>
      <w:r>
        <w:rPr>
          <w:b/>
        </w:rPr>
        <w:t xml:space="preserve">Comparar algoritmos. </w:t>
      </w:r>
      <w:r>
        <w:t>Empezar con una referencia sencilla y contrastar regresión logística, árboles, Naïve Bayes, KNN, SVM, Random Forest y boosting, siguiendo el estilo del reto del vino.</w:t>
      </w:r>
    </w:p>
    <w:p>
      <w:pPr>
        <w:pStyle w:val="MeetingNumber"/>
        <w:numPr>
          <w:ilvl w:val="0"/>
          <w:numId w:val="72"/>
        </w:numPr>
      </w:pPr>
      <w:r>
        <w:rPr>
          <w:b/>
        </w:rPr>
        <w:t xml:space="preserve">Evaluar en zonas nuevas. </w:t>
      </w:r>
      <w:r>
        <w:t>Separar territorios y depósitos entre entrenamiento y prueba. Medir cuántos indicios reservados recupera el modelo al priorizar una fracción del área.</w:t>
      </w:r>
    </w:p>
    <w:p>
      <w:pPr>
        <w:pStyle w:val="Heading2"/>
      </w:pPr>
      <w:r>
        <w:t>Decisiones que conviene cerrar</w:t>
      </w:r>
    </w:p>
    <w:p>
      <w:pPr>
        <w:pStyle w:val="MeetingBullet"/>
        <w:numPr>
          <w:ilvl w:val="0"/>
          <w:numId w:val="71"/>
        </w:numPr>
      </w:pPr>
      <w:r>
        <w:rPr>
          <w:b/>
        </w:rPr>
        <w:t xml:space="preserve">Objetivo y territorio. </w:t>
      </w:r>
      <w:r>
        <w:t>Elegir la zona piloto y decidir si la primera versión se centra en oro en roca o aluvial.</w:t>
      </w:r>
    </w:p>
    <w:p>
      <w:pPr>
        <w:pStyle w:val="MeetingBullet"/>
        <w:numPr>
          <w:ilvl w:val="0"/>
          <w:numId w:val="71"/>
        </w:numPr>
      </w:pPr>
      <w:r>
        <w:rPr>
          <w:b/>
        </w:rPr>
        <w:t xml:space="preserve">Datos mínimos. </w:t>
      </w:r>
      <w:r>
        <w:t>Acordar qué capas se recuperarán y cuáles pueden incorporarse después. La geofísica vacía no impide ensayar con otras familias de datos.</w:t>
      </w:r>
    </w:p>
    <w:p>
      <w:pPr>
        <w:pStyle w:val="MeetingBullet"/>
        <w:numPr>
          <w:ilvl w:val="0"/>
          <w:numId w:val="71"/>
        </w:numPr>
      </w:pPr>
      <w:r>
        <w:rPr>
          <w:b/>
        </w:rPr>
        <w:t xml:space="preserve">Entrega y responsables. </w:t>
      </w:r>
      <w:r>
        <w:t>Asignar la revisión geológica y la preparación técnica; fijar una fecha realista y el criterio para aceptar el primer ensayo.</w:t>
      </w:r>
    </w:p>
    <w:p>
      <w:pPr>
        <w:pStyle w:val="Heading2"/>
      </w:pPr>
      <w:r>
        <w:t>Próximo entregable propuesto</w:t>
      </w:r>
    </w:p>
    <w:p>
      <w:r>
        <w:t>Un cuaderno reproducible que documente las fuentes, construya la tabla de entrenamiento y compare modelos con validación espacial. Tras superar esa evaluación, se generaría el mapa de prospectividad. Hoy no hay métricas de rendimiento ni un mapa predictivo validado que presentar.</w:t>
      </w:r>
    </w:p>
    <w:p>
      <w:pPr>
        <w:pStyle w:val="Heading2"/>
      </w:pPr>
      <w:r>
        <w:t>Guion de apertura · aproximadamente un minuto</w:t>
      </w:r>
    </w:p>
    <w:p>
      <w:pPr>
        <w:pStyle w:val="MeetingQuote"/>
      </w:pPr>
      <w:r>
        <w:t>«El objetivo es aprender qué condiciones geológicas se asocian a los indicios de oro del BDMIN y utilizar ese conocimiento para priorizar otras zonas. Ya hemos localizado las principales familias de datos y revisado parte de ellas. La base recomendada contiene 790 registros con oro; también hemos detectado archivos vacíos, duplicados y diferencias de resolución que debemos resolver. Proponemos trabajar con un cuaderno explicativo, como el reto del vino, comparando varios algoritmos y evaluándolos en zonas separadas. Hoy necesitamos acordar la zona piloto, el tipo de oro y el alcance de la primera versión.»</w:t>
      </w:r>
    </w:p>
    <w:p>
      <w:pPr>
        <w:pStyle w:val="SourceNote"/>
      </w:pPr>
      <w:r>
        <w:t xml:space="preserve">Apoyo documental: </w:t>
      </w:r>
      <w:hyperlink r:id="rId11">
        <w:r>
          <w:rPr>
            <w:color w:val="1F4D78"/>
            <w:u w:val="single"/>
          </w:rPr>
          <w:t>revisión detallada de capas</w:t>
        </w:r>
      </w:hyperlink>
      <w:r>
        <w:t xml:space="preserve"> · </w:t>
      </w:r>
      <w:hyperlink r:id="rId12">
        <w:r>
          <w:rPr>
            <w:color w:val="1F4D78"/>
            <w:u w:val="single"/>
          </w:rPr>
          <w:t>carpeta del proyecto</w:t>
        </w:r>
      </w:hyperlink>
    </w:p>
    <w:p>
      <w:pPr>
        <w:pStyle w:val="SourceNote"/>
      </w:pPr>
      <w:r>
        <w:t>El resultado previsto es una priorización de zonas. La puntuación no estima por sí sola probabilidad real de hallazgo, cantidad de oro, profundidad ni rentabilidad.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Reunión · 07/09/2026     |   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PROYECTO BDMIN · PROSPECTIVIDAD AURÍFERA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1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/>
      </w:rPr>
    </w:lvl>
  </w:abstractNum>
  <w:num w:numId="71">
    <w:abstractNumId w:val="71"/>
  </w:num>
  <w:abstractNum w:abstractNumId="72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Calibri" w:hAnsi="Calibri"/>
      </w:rPr>
    </w:lvl>
  </w:abstract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b w:val="0"/>
      <w:i w:val="0"/>
      <w:color w:val="202B38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b w:val="0"/>
      <w:i w:val="0"/>
      <w:color w:val="616D79"/>
      <w:sz w:val="17"/>
      <w:lang w:val="es-E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b w:val="0"/>
      <w:i w:val="0"/>
      <w:color w:val="616D79"/>
      <w:sz w:val="17"/>
      <w:lang w:val="es-E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32"/>
      <w:szCs w:val="28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26"/>
      <w:szCs w:val="26"/>
      <w:lang w:val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F4D78"/>
      <w:sz w:val="24"/>
      <w:lang w:val="es-E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8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0B2545"/>
      <w:kern w:val="28"/>
      <w:sz w:val="44"/>
      <w:szCs w:val="52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64" w:lineRule="auto"/>
    </w:pPr>
    <w:rPr>
      <w:rFonts w:asciiTheme="majorHAnsi" w:eastAsiaTheme="majorEastAsia" w:hAnsiTheme="majorHAnsi" w:cstheme="majorBidi" w:ascii="Calibri" w:hAnsi="Calibri"/>
      <w:b w:val="0"/>
      <w:i w:val="0"/>
      <w:iCs/>
      <w:color w:val="4B5563"/>
      <w:sz w:val="24"/>
      <w:szCs w:val="24"/>
      <w:lang w:val="es-E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widowControl/>
      <w:spacing w:before="0" w:after="160" w:line="264" w:lineRule="auto"/>
    </w:pPr>
    <w:rPr>
      <w:rFonts w:ascii="Calibri" w:hAnsi="Calibri"/>
      <w:b w:val="0"/>
      <w:i w:val="0"/>
      <w:color w:val="616D79"/>
      <w:sz w:val="18"/>
      <w:lang w:val="es-ES"/>
    </w:rPr>
  </w:style>
  <w:style w:type="paragraph" w:customStyle="1" w:styleId="Lead">
    <w:name w:val="Lead"/>
    <w:pPr>
      <w:widowControl/>
      <w:spacing w:before="0" w:after="160" w:line="264" w:lineRule="auto"/>
    </w:pPr>
    <w:rPr>
      <w:rFonts w:ascii="Calibri" w:hAnsi="Calibri"/>
      <w:b/>
      <w:i w:val="0"/>
      <w:color w:val="0B2545"/>
      <w:sz w:val="22"/>
      <w:lang w:val="es-ES"/>
    </w:rPr>
  </w:style>
  <w:style w:type="paragraph" w:customStyle="1" w:styleId="TableBody">
    <w:name w:val="Table Body"/>
    <w:pPr>
      <w:widowControl/>
      <w:spacing w:before="0" w:after="40" w:line="252" w:lineRule="auto"/>
    </w:pPr>
    <w:rPr>
      <w:rFonts w:ascii="Calibri" w:hAnsi="Calibri"/>
      <w:b w:val="0"/>
      <w:i w:val="0"/>
      <w:color w:val="202B38"/>
      <w:sz w:val="20"/>
      <w:lang w:val="es-ES"/>
    </w:rPr>
  </w:style>
  <w:style w:type="paragraph" w:customStyle="1" w:styleId="TableHeader">
    <w:name w:val="Table Header"/>
    <w:pPr>
      <w:widowControl/>
      <w:spacing w:before="0" w:after="40" w:line="252" w:lineRule="auto"/>
    </w:pPr>
    <w:rPr>
      <w:rFonts w:ascii="Calibri" w:hAnsi="Calibri"/>
      <w:b/>
      <w:i w:val="0"/>
      <w:color w:val="0B2545"/>
      <w:sz w:val="20"/>
      <w:lang w:val="es-ES"/>
    </w:rPr>
  </w:style>
  <w:style w:type="paragraph" w:customStyle="1" w:styleId="TableSource">
    <w:name w:val="Table Source"/>
    <w:pPr>
      <w:widowControl/>
      <w:spacing w:before="80" w:after="80" w:line="252" w:lineRule="auto"/>
    </w:pPr>
    <w:rPr>
      <w:rFonts w:ascii="Calibri" w:hAnsi="Calibri"/>
      <w:b w:val="0"/>
      <w:i w:val="0"/>
      <w:color w:val="616D79"/>
      <w:sz w:val="17"/>
      <w:lang w:val="es-ES"/>
    </w:rPr>
  </w:style>
  <w:style w:type="paragraph" w:customStyle="1" w:styleId="SourceNote">
    <w:name w:val="Source Note"/>
    <w:pPr>
      <w:widowControl/>
      <w:spacing w:before="0" w:after="60" w:line="252" w:lineRule="auto"/>
    </w:pPr>
    <w:rPr>
      <w:rFonts w:ascii="Calibri" w:hAnsi="Calibri"/>
      <w:b w:val="0"/>
      <w:i w:val="0"/>
      <w:color w:val="616D79"/>
      <w:sz w:val="17"/>
      <w:lang w:val="es-ES"/>
    </w:rPr>
  </w:style>
  <w:style w:type="paragraph" w:customStyle="1" w:styleId="MeetingQuote">
    <w:name w:val="Meeting Quote"/>
    <w:pPr>
      <w:widowControl/>
      <w:spacing w:before="0" w:after="120" w:line="264" w:lineRule="auto"/>
    </w:pPr>
    <w:rPr>
      <w:rFonts w:ascii="Calibri" w:hAnsi="Calibri"/>
      <w:b w:val="0"/>
      <w:i w:val="0"/>
      <w:color w:val="202B38"/>
      <w:sz w:val="22"/>
      <w:lang w:val="es-ES"/>
    </w:rPr>
  </w:style>
  <w:style w:type="paragraph" w:customStyle="1" w:styleId="MeetingBullet">
    <w:name w:val="Meeting Bullet"/>
    <w:pPr>
      <w:keepLines/>
      <w:widowControl/>
      <w:spacing w:before="0" w:after="160" w:line="280" w:lineRule="auto"/>
      <w:ind w:left="720" w:hanging="360"/>
    </w:pPr>
    <w:rPr>
      <w:rFonts w:ascii="Calibri" w:hAnsi="Calibri"/>
      <w:b w:val="0"/>
      <w:i w:val="0"/>
      <w:color w:val="202B38"/>
      <w:sz w:val="22"/>
      <w:lang w:val="es-ES"/>
    </w:rPr>
  </w:style>
  <w:style w:type="paragraph" w:customStyle="1" w:styleId="MeetingNumber">
    <w:name w:val="Meeting Number"/>
    <w:pPr>
      <w:keepLines/>
      <w:widowControl/>
      <w:spacing w:before="0" w:after="160" w:line="280" w:lineRule="auto"/>
      <w:ind w:left="720" w:hanging="360"/>
    </w:pPr>
    <w:rPr>
      <w:rFonts w:ascii="Calibri" w:hAnsi="Calibri"/>
      <w:b w:val="0"/>
      <w:i w:val="0"/>
      <w:color w:val="202B38"/>
      <w:sz w:val="22"/>
      <w:lang w:val="es-E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gpt.com/api/library/files/libfile_d7d1c85474248191ae5dd10b0ec38c6a/download" TargetMode="External"/><Relationship Id="rId12" Type="http://schemas.openxmlformats.org/officeDocument/2006/relationships/hyperlink" Target="https://drive.google.com/drive/folders/1hWyP_7X6JOeSiTUELDGBA-e6_JT4h_l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Prospectividad de oro con IA: ideas para la reunión</dc:title>
  <dc:subject>Avances comprobados, decisiones y siguiente entrega del proyecto BDMIN</dc:subject>
  <dc:creator>Antonio Mateos Fernández</dc:creator>
  <cp:keywords>BDMIN, oro, prospectividad, reunión, inteligencia artificial</cp:keywords>
  <dc:description>generated by python-docx</dc:description>
  <cp:lastModifiedBy/>
  <cp:revision>1</cp:revision>
  <dcterms:created xsi:type="dcterms:W3CDTF">2026-09-04T12:00:00Z</dcterms:created>
  <dcterms:modified xsi:type="dcterms:W3CDTF">2026-09-04T12:00:00Z</dcterms:modified>
  <cp:category/>
</cp:coreProperties>
</file>