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rFonts w:ascii="Carlito" w:hAnsi="Carlito" w:eastAsia="Carlito"/>
          <w:b/>
          <w:color w:val="17365D"/>
          <w:sz w:val="50"/>
        </w:rPr>
        <w:t>MODELO GeoAI DE</w:t>
        <w:br/>
        <w:t>PROSPECTIVIDAD MINERAL EN ESPAÑA</w:t>
      </w:r>
    </w:p>
    <w:p>
      <w:r>
        <w:rPr>
          <w:rFonts w:ascii="Carlito" w:hAnsi="Carlito" w:eastAsia="Carlito"/>
          <w:b/>
          <w:color w:val="1F6D7A"/>
          <w:sz w:val="28"/>
        </w:rPr>
        <w:t>Aprendizaje automático, conocimiento geológico y evidencias de minería romana</w:t>
      </w:r>
    </w:p>
    <w:p>
      <w:pPr>
        <w:spacing w:before="360"/>
      </w:pPr>
      <w:r>
        <w:rPr>
          <w:rFonts w:ascii="Carlito" w:hAnsi="Carlito" w:eastAsia="Carlito"/>
          <w:color w:val="5B6573"/>
          <w:sz w:val="24"/>
        </w:rPr>
        <w:t>Aplicación a materias primas minerales de interés económico, críticas y estratégicas</w:t>
      </w:r>
    </w:p>
    <w:tbl>
      <w:tblPr>
        <w:tblW w:type="auto" w:w="0"/>
        <w:jc w:val="left"/>
        <w:tblLayout w:type="fixed"/>
        <w:tblLook w:firstColumn="1" w:firstRow="1" w:lastColumn="0" w:lastRow="0" w:noHBand="0" w:noVBand="1" w:val="04A0"/>
      </w:tblPr>
      <w:tblGrid>
        <w:gridCol w:w="8787"/>
      </w:tblGrid>
      <w:tr>
        <w:trPr>
          <w:cantSplit/>
        </w:trPr>
        <w:tc>
          <w:tcPr>
            <w:tcW w:type="dxa" w:w="9354"/>
            <w:shd w:fill="EEF4F8"/>
            <w:tcMar>
              <w:top w:w="220" w:type="dxa"/>
              <w:start w:w="260" w:type="dxa"/>
              <w:bottom w:w="220" w:type="dxa"/>
              <w:end w:w="260" w:type="dxa"/>
            </w:tcMar>
            <w:vAlign w:val="center"/>
          </w:tcPr>
          <w:p>
            <w:r>
              <w:rPr>
                <w:rFonts w:ascii="Carlito" w:hAnsi="Carlito" w:eastAsia="Carlito"/>
                <w:b/>
                <w:color w:val="17365D"/>
                <w:sz w:val="22"/>
              </w:rPr>
              <w:t>Idea central</w:t>
            </w:r>
          </w:p>
          <w:p>
            <w:r>
              <w:rPr>
                <w:rFonts w:ascii="Carlito" w:hAnsi="Carlito" w:eastAsia="Carlito"/>
                <w:sz w:val="21"/>
              </w:rPr>
              <w:t>Predecir zonas con potencial de mineralización en España a partir de la relación entre explotaciones mineras romanas conocidas y las características geológicas, geoquímicas, geofísicas, estructurales y geomorfológicas del territorio.</w:t>
            </w:r>
          </w:p>
          <w:p>
            <w:r>
              <w:rPr>
                <w:rFonts w:ascii="Carlito" w:hAnsi="Carlito" w:eastAsia="Carlito"/>
                <w:b/>
                <w:sz w:val="21"/>
              </w:rPr>
              <w:t>Principio metodológico: la mina romana no se plantea como una X principal. Se utiliza como fuente de evidencia para construir Y en el modelo histórico y como señal derivada que después puede contrastarse con mineralizaciones modernas.</w:t>
            </w:r>
          </w:p>
        </w:tc>
      </w:tr>
    </w:tbl>
    <w:p>
      <w:pPr>
        <w:spacing w:before="480"/>
      </w:pPr>
      <w:r>
        <w:rPr>
          <w:rFonts w:ascii="Carlito" w:hAnsi="Carlito" w:eastAsia="Carlito"/>
          <w:color w:val="5B6573"/>
          <w:sz w:val="19"/>
        </w:rPr>
        <w:t>Documento de trabajo para discusión académica · Agosto de 2026</w:t>
      </w:r>
    </w:p>
    <w:p>
      <w:r>
        <w:br w:type="page"/>
      </w:r>
    </w:p>
    <w:p>
      <w:pPr>
        <w:pStyle w:val="Heading1"/>
      </w:pPr>
      <w:r>
        <w:t>Resumen ejecutivo</w:t>
      </w:r>
    </w:p>
    <w:p>
      <w:pPr>
        <w:pStyle w:val="Lead"/>
      </w:pPr>
      <w:r>
        <w:rPr>
          <w:b/>
        </w:rPr>
        <w:t xml:space="preserve">Se propone desarrollar un sistema GeoAI de prospectividad mineral para España que combine Machine Learning, información geocientífica y evidencias de minería romana. </w:t>
      </w:r>
      <w:r>
        <w:t>La hipótesis de trabajo es que las explotaciones romanas no se distribuyen aleatoriamente, sino que reflejan condiciones geológicas favorables a determinados sistemas mineralizantes. Esa señal histórica puede modelizarse y, posteriormente, contrastarse con depósitos e indicios modernos para evaluar su utilidad en la prospección de materias primas de interés económico, crítico y estratégico.</w:t>
      </w:r>
    </w:p>
    <w:tbl>
      <w:tblPr>
        <w:tblW w:type="auto" w:w="0"/>
        <w:jc w:val="center"/>
        <w:tblLook w:firstColumn="1" w:firstRow="1" w:lastColumn="0" w:lastRow="0" w:noHBand="0" w:noVBand="1" w:val="04A0"/>
      </w:tblPr>
      <w:tblGrid>
        <w:gridCol w:w="9354"/>
      </w:tblGrid>
      <w:tr>
        <w:trPr>
          <w:cantSplit/>
        </w:trPr>
        <w:tc>
          <w:tcPr>
            <w:tcW w:type="dxa" w:w="9354"/>
            <w:shd w:fill="E6F0F5"/>
            <w:tcMar>
              <w:top w:w="180" w:type="dxa"/>
              <w:start w:w="220" w:type="dxa"/>
              <w:bottom w:w="180" w:type="dxa"/>
              <w:end w:w="220" w:type="dxa"/>
            </w:tcMar>
            <w:vAlign w:val="center"/>
          </w:tcPr>
          <w:p>
            <w:r>
              <w:rPr>
                <w:rFonts w:ascii="Carlito" w:hAnsi="Carlito" w:eastAsia="Carlito"/>
                <w:b/>
                <w:color w:val="17365D"/>
              </w:rPr>
              <w:t xml:space="preserve">Idea metodológica clave: </w:t>
            </w:r>
            <w:r>
              <w:rPr>
                <w:rFonts w:ascii="Carlito" w:hAnsi="Carlito" w:eastAsia="Carlito"/>
                <w:b/>
              </w:rPr>
              <w:t>X describe el territorio; Y representa la evidencia mineral que se quiere aprender.</w:t>
            </w:r>
          </w:p>
        </w:tc>
      </w:tr>
    </w:tbl>
    <w:p>
      <w:r>
        <w:t>El primer modelo no debe interpretarse como un predictor directo de tierras raras. Si Y procede de OxREP, el algoritmo aprende la firma espacial y geológica asociada a la minería romana documentada. Para REE, litio u otras materias primas sin suficientes positivos romanos se requieren labels modernos independientes. El valor científico del proyecto reside precisamente en comprobar si la señal histórica aporta capacidad predictiva adicional sobre la prospectividad mineral contemporánea.</w:t>
      </w:r>
    </w:p>
    <w:p>
      <w:pPr>
        <w:pStyle w:val="Heading2"/>
      </w:pPr>
      <w:r>
        <w:t>Estructura del informe</w:t>
      </w:r>
    </w:p>
    <w:p>
      <w:pPr>
        <w:pStyle w:val="ListBullet"/>
        <w:spacing w:after="40"/>
      </w:pPr>
      <w:r>
        <w:t>1. Problema y oportunidad de investigación</w:t>
      </w:r>
    </w:p>
    <w:p>
      <w:pPr>
        <w:pStyle w:val="ListBullet"/>
        <w:spacing w:after="40"/>
      </w:pPr>
      <w:r>
        <w:t>2. Objetivo, hipótesis y preguntas de investigación</w:t>
      </w:r>
    </w:p>
    <w:p>
      <w:pPr>
        <w:pStyle w:val="ListBullet"/>
        <w:spacing w:after="40"/>
      </w:pPr>
      <w:r>
        <w:t>3. Formulación de Machine Learning: X e Y</w:t>
      </w:r>
    </w:p>
    <w:p>
      <w:pPr>
        <w:pStyle w:val="ListBullet"/>
        <w:spacing w:after="40"/>
      </w:pPr>
      <w:r>
        <w:t>4. Diseño multicommodity y materias primas críticas/estratégicas</w:t>
      </w:r>
    </w:p>
    <w:p>
      <w:pPr>
        <w:pStyle w:val="ListBullet"/>
        <w:spacing w:after="40"/>
      </w:pPr>
      <w:r>
        <w:t>5. Ontología y capa de conocimiento</w:t>
      </w:r>
    </w:p>
    <w:p>
      <w:pPr>
        <w:pStyle w:val="ListBullet"/>
        <w:spacing w:after="40"/>
      </w:pPr>
      <w:r>
        <w:t>6. Arquitectura propuesta del sistema</w:t>
      </w:r>
    </w:p>
    <w:p>
      <w:pPr>
        <w:pStyle w:val="ListBullet"/>
        <w:spacing w:after="40"/>
      </w:pPr>
      <w:r>
        <w:t>7. Diseño experimental y validación</w:t>
      </w:r>
    </w:p>
    <w:p>
      <w:pPr>
        <w:pStyle w:val="ListBullet"/>
        <w:spacing w:after="40"/>
      </w:pPr>
      <w:r>
        <w:t>8. Datos requeridos y fuentes preliminares</w:t>
      </w:r>
    </w:p>
    <w:p>
      <w:pPr>
        <w:pStyle w:val="ListBullet"/>
        <w:spacing w:after="40"/>
      </w:pPr>
      <w:r>
        <w:t>9. Riesgos metodológicos y mitigaciones</w:t>
      </w:r>
    </w:p>
    <w:p>
      <w:pPr>
        <w:pStyle w:val="ListBullet"/>
        <w:spacing w:after="40"/>
      </w:pPr>
      <w:r>
        <w:t>10. Resultados esperados y propuesta para el profesor</w:t>
      </w:r>
    </w:p>
    <w:p>
      <w:r>
        <w:br w:type="page"/>
      </w:r>
    </w:p>
    <w:p>
      <w:pPr>
        <w:pStyle w:val="Heading1"/>
      </w:pPr>
      <w:r>
        <w:t>1. Problema y oportunidad de investigación</w:t>
      </w:r>
    </w:p>
    <w:p>
      <w:r>
        <w:t>España posee una larga tradición minera y un patrimonio arqueominero excepcional. Las explotaciones romanas constituyen observaciones históricas de lugares en los que existió una mineralización suficientemente accesible, concentrada e interesante como para justificar su aprovechamiento. El proyecto propone tratar estas evidencias no solo como información arqueológica, sino como proxies históricos de sistemas mineralizantes.</w:t>
      </w:r>
    </w:p>
    <w:p>
      <w:r>
        <w:t>La oportunidad consiste en conectar tres dominios que suelen analizarse por separado:</w:t>
      </w:r>
    </w:p>
    <w:p>
      <w:pPr>
        <w:pStyle w:val="ListBullet"/>
      </w:pPr>
      <w:r>
        <w:t>Arqueología minera: localización, cronología, commodity y técnica de las explotaciones romanas.</w:t>
      </w:r>
    </w:p>
    <w:p>
      <w:pPr>
        <w:pStyle w:val="ListBullet"/>
      </w:pPr>
      <w:r>
        <w:t>Geociencias: geología, estructuras, geoquímica, geofísica, metalogenia y geomorfología.</w:t>
      </w:r>
    </w:p>
    <w:p>
      <w:pPr>
        <w:pStyle w:val="ListBullet"/>
      </w:pPr>
      <w:r>
        <w:t>Inteligencia Artificial geoespacial: modelización supervisada, ingeniería de variables espaciales, mapas de prospectividad y apoyo a la decisión.</w:t>
      </w:r>
    </w:p>
    <w:p>
      <w:pPr>
        <w:pStyle w:val="Heading2"/>
      </w:pPr>
      <w:r>
        <w:t>1.1. Propuesta de valor científico</w:t>
      </w:r>
    </w:p>
    <w:p>
      <w:r>
        <w:t>El interés no está únicamente en reproducir el patrón de las minas romanas conocidas. La pregunta de investigación es si la señal geológica asociada a esas explotaciones puede mejorar modelos modernos de prospectividad mineral. En otras palabras, se busca medir si el conocimiento arqueológico aporta información predictiva adicional y cuantificable.</w:t>
      </w:r>
    </w:p>
    <w:p>
      <w:pPr>
        <w:pStyle w:val="Heading1"/>
      </w:pPr>
      <w:r>
        <w:t>2. Objetivo, hipótesis y preguntas de investigación</w:t>
      </w:r>
    </w:p>
    <w:p>
      <w:pPr>
        <w:pStyle w:val="Heading2"/>
      </w:pPr>
      <w:r>
        <w:t>2.1. Objetivo general</w:t>
      </w:r>
    </w:p>
    <w:p>
      <w:r>
        <w:rPr>
          <w:rFonts w:ascii="Carlito" w:hAnsi="Carlito" w:eastAsia="Carlito"/>
          <w:b/>
        </w:rPr>
        <w:t>Desarrollar un modelo de prospectividad mineral basado en Machine Learning capaz de identificar áreas geológicamente favorables para mineralizaciones de interés económico, crítico y estratégico en España, utilizando las explotaciones mineras romanas como evidencia histórica de sistemas mineralizantes y combinándolas con información geológica, estructural, geoquímica, geofísica y geomorfológica.</w:t>
      </w:r>
    </w:p>
    <w:p>
      <w:pPr>
        <w:pStyle w:val="Heading2"/>
      </w:pPr>
      <w:r>
        <w:t>2.2. Hipótesis de trabajo</w:t>
      </w:r>
    </w:p>
    <w:tbl>
      <w:tblPr>
        <w:tblStyle w:val="TableGrid"/>
        <w:tblW w:type="auto" w:w="0"/>
        <w:jc w:val="center"/>
        <w:tblLook w:firstColumn="1" w:firstRow="1" w:lastColumn="0" w:lastRow="0" w:noHBand="0" w:noVBand="1" w:val="04A0"/>
      </w:tblPr>
      <w:tblGrid>
        <w:gridCol w:w="4677"/>
        <w:gridCol w:w="4677"/>
      </w:tblGrid>
      <w:tr>
        <w:trPr>
          <w:cantSplit/>
        </w:trPr>
        <w:tc>
          <w:tcPr>
            <w:tcW w:type="dxa" w:w="4677"/>
            <w:shd w:fill="D9EAF7"/>
            <w:tcMar>
              <w:top w:w="120" w:type="dxa"/>
              <w:start w:w="140" w:type="dxa"/>
              <w:bottom w:w="120" w:type="dxa"/>
              <w:end w:w="140" w:type="dxa"/>
            </w:tcMar>
            <w:vAlign w:val="center"/>
          </w:tcPr>
          <w:p>
            <w:r>
              <w:rPr>
                <w:rFonts w:ascii="Carlito" w:hAnsi="Carlito" w:eastAsia="Carlito"/>
                <w:b/>
                <w:color w:val="17365D"/>
              </w:rPr>
              <w:t>H1</w:t>
            </w:r>
          </w:p>
        </w:tc>
        <w:tc>
          <w:tcPr>
            <w:tcW w:type="dxa" w:w="4677"/>
            <w:tcMar>
              <w:top w:w="120" w:type="dxa"/>
              <w:start w:w="140" w:type="dxa"/>
              <w:bottom w:w="120" w:type="dxa"/>
              <w:end w:w="140" w:type="dxa"/>
            </w:tcMar>
            <w:vAlign w:val="center"/>
          </w:tcPr>
          <w:p>
            <w:r>
              <w:rPr>
                <w:rFonts w:ascii="Carlito" w:hAnsi="Carlito" w:eastAsia="Carlito"/>
              </w:rPr>
              <w:t>Las explotaciones mineras romanas no se distribuyen aleatoriamente en el territorio, sino que presentan relaciones cuantificables con determinadas características geológicas, geoquímicas, geofísicas y estructurales.</w:t>
            </w:r>
          </w:p>
        </w:tc>
      </w:tr>
      <w:tr>
        <w:trPr>
          <w:cantSplit/>
        </w:trPr>
        <w:tc>
          <w:tcPr>
            <w:tcW w:type="dxa" w:w="4677"/>
            <w:shd w:fill="D9EAF7"/>
            <w:tcMar>
              <w:top w:w="120" w:type="dxa"/>
              <w:start w:w="140" w:type="dxa"/>
              <w:bottom w:w="120" w:type="dxa"/>
              <w:end w:w="140" w:type="dxa"/>
            </w:tcMar>
            <w:vAlign w:val="center"/>
          </w:tcPr>
          <w:p>
            <w:r>
              <w:rPr>
                <w:rFonts w:ascii="Carlito" w:hAnsi="Carlito" w:eastAsia="Carlito"/>
                <w:b/>
                <w:color w:val="17365D"/>
              </w:rPr>
              <w:t>H2</w:t>
            </w:r>
          </w:p>
        </w:tc>
        <w:tc>
          <w:tcPr>
            <w:tcW w:type="dxa" w:w="4677"/>
            <w:tcMar>
              <w:top w:w="120" w:type="dxa"/>
              <w:start w:w="140" w:type="dxa"/>
              <w:bottom w:w="120" w:type="dxa"/>
              <w:end w:w="140" w:type="dxa"/>
            </w:tcMar>
            <w:vAlign w:val="center"/>
          </w:tcPr>
          <w:p>
            <w:r>
              <w:rPr>
                <w:rFonts w:ascii="Carlito" w:hAnsi="Carlito" w:eastAsia="Carlito"/>
              </w:rPr>
              <w:t>La señal geológica aprendida a partir de esas explotaciones históricas puede contribuir a identificar áreas favorables para sistemas mineralizantes de interés contemporáneo.</w:t>
            </w:r>
          </w:p>
        </w:tc>
      </w:tr>
    </w:tbl>
    <w:p>
      <w:pPr>
        <w:pStyle w:val="Heading2"/>
      </w:pPr>
      <w:r>
        <w:t>2.3. Preguntas de investigación</w:t>
      </w:r>
    </w:p>
    <w:p>
      <w:pPr>
        <w:pStyle w:val="ListBullet"/>
      </w:pPr>
      <w:r>
        <w:t>¿Qué combinación de variables geológicas y geoespaciales caracteriza a las explotaciones mineras romanas conocidas?</w:t>
      </w:r>
    </w:p>
    <w:p>
      <w:pPr>
        <w:pStyle w:val="ListBullet"/>
      </w:pPr>
      <w:r>
        <w:t>¿Existen diferencias significativas entre las firmas espaciales asociadas a Au, Ag, Cu, Pb u otros commodities?</w:t>
      </w:r>
    </w:p>
    <w:p>
      <w:pPr>
        <w:pStyle w:val="ListBullet"/>
      </w:pPr>
      <w:r>
        <w:t>¿La señal derivada de la minería romana mejora la predicción de mineralizaciones modernas frente a un modelo exclusivamente geocientífico?</w:t>
      </w:r>
    </w:p>
    <w:p>
      <w:pPr>
        <w:pStyle w:val="ListBullet"/>
      </w:pPr>
      <w:r>
        <w:t>¿Puede construirse un marco multicommodity que integre metales históricamente explotados y materias primas críticas o estratégicas actuales?</w:t>
      </w:r>
    </w:p>
    <w:p>
      <w:pPr>
        <w:pStyle w:val="ListBullet"/>
      </w:pPr>
      <w:r>
        <w:t>¿Qué variables explican con mayor robustez la prospectividad cuando se utiliza validación espacial estricta?</w:t>
      </w:r>
    </w:p>
    <w:p>
      <w:pPr>
        <w:pStyle w:val="Heading1"/>
      </w:pPr>
      <w:r>
        <w:t>3. Formulación de Machine Learning: X e Y</w:t>
      </w:r>
    </w:p>
    <w:p>
      <w:r>
        <w:t>En aprendizaje supervisado, X contiene las variables predictoras y Y representa el fenómeno que el modelo debe aprender. En este proyecto, el error conceptual a evitar es utilizar la mera presencia de una mina romana como una variable geológica equivalente a litología o magnetometría. La mina romana es, ante todo, una fuente de evidencia para construir el objetivo del modelo histórico.</w:t>
      </w:r>
    </w:p>
    <w:p>
      <w:pPr>
        <w:pStyle w:val="Heading2"/>
      </w:pPr>
      <w:r>
        <w:t>3.1. Variables X: descripción del territorio</w:t>
      </w:r>
    </w:p>
    <w:tbl>
      <w:tblPr>
        <w:tblStyle w:val="TableGrid"/>
        <w:tblW w:type="auto" w:w="0"/>
        <w:jc w:val="center"/>
        <w:tblLook w:firstColumn="1" w:firstRow="1" w:lastColumn="0" w:lastRow="0" w:noHBand="0" w:noVBand="1" w:val="04A0"/>
      </w:tblPr>
      <w:tblGrid>
        <w:gridCol w:w="3118"/>
        <w:gridCol w:w="3118"/>
        <w:gridCol w:w="3118"/>
      </w:tblGrid>
      <w:tr>
        <w:trPr>
          <w:tblHeader w:val="true"/>
          <w:cantSplit/>
          <w:tblHeader w:val="true"/>
        </w:trPr>
        <w:tc>
          <w:tcPr>
            <w:tcW w:type="dxa" w:w="3118"/>
            <w:shd w:fill="17365D"/>
            <w:vAlign w:val="center"/>
          </w:tcPr>
          <w:p>
            <w:r>
              <w:rPr>
                <w:rFonts w:ascii="Carlito" w:hAnsi="Carlito" w:eastAsia="Carlito"/>
                <w:b/>
                <w:color w:val="FFFFFF"/>
                <w:sz w:val="17"/>
              </w:rPr>
              <w:t>Familia</w:t>
            </w:r>
          </w:p>
        </w:tc>
        <w:tc>
          <w:tcPr>
            <w:tcW w:type="dxa" w:w="3118"/>
            <w:shd w:fill="17365D"/>
            <w:vAlign w:val="center"/>
          </w:tcPr>
          <w:p>
            <w:r>
              <w:rPr>
                <w:rFonts w:ascii="Carlito" w:hAnsi="Carlito" w:eastAsia="Carlito"/>
                <w:b/>
                <w:color w:val="FFFFFF"/>
                <w:sz w:val="17"/>
              </w:rPr>
              <w:t>Ejemplos de variables X</w:t>
            </w:r>
          </w:p>
        </w:tc>
        <w:tc>
          <w:tcPr>
            <w:tcW w:type="dxa" w:w="3118"/>
            <w:shd w:fill="17365D"/>
            <w:vAlign w:val="center"/>
          </w:tcPr>
          <w:p>
            <w:r>
              <w:rPr>
                <w:rFonts w:ascii="Carlito" w:hAnsi="Carlito" w:eastAsia="Carlito"/>
                <w:b/>
                <w:color w:val="FFFFFF"/>
                <w:sz w:val="17"/>
              </w:rPr>
              <w:t>Transformaciones útiles</w:t>
            </w:r>
          </w:p>
        </w:tc>
      </w:tr>
      <w:tr>
        <w:trPr>
          <w:cantSplit/>
        </w:trPr>
        <w:tc>
          <w:tcPr>
            <w:tcW w:type="dxa" w:w="3118"/>
            <w:tcMar>
              <w:top w:w="90" w:type="dxa"/>
              <w:start w:w="100" w:type="dxa"/>
              <w:bottom w:w="90" w:type="dxa"/>
              <w:end w:w="100" w:type="dxa"/>
            </w:tcMar>
            <w:vAlign w:val="center"/>
          </w:tcPr>
          <w:p>
            <w:r>
              <w:rPr>
                <w:rFonts w:ascii="Carlito" w:hAnsi="Carlito" w:eastAsia="Carlito"/>
                <w:sz w:val="17"/>
              </w:rPr>
              <w:t>Geología</w:t>
            </w:r>
          </w:p>
        </w:tc>
        <w:tc>
          <w:tcPr>
            <w:tcW w:type="dxa" w:w="3118"/>
            <w:tcMar>
              <w:top w:w="90" w:type="dxa"/>
              <w:start w:w="100" w:type="dxa"/>
              <w:bottom w:w="90" w:type="dxa"/>
              <w:end w:w="100" w:type="dxa"/>
            </w:tcMar>
            <w:vAlign w:val="center"/>
          </w:tcPr>
          <w:p>
            <w:r>
              <w:rPr>
                <w:rFonts w:ascii="Carlito" w:hAnsi="Carlito" w:eastAsia="Carlito"/>
                <w:sz w:val="17"/>
              </w:rPr>
              <w:t>Litología, edad, unidad geológica, tipo de roca</w:t>
            </w:r>
          </w:p>
        </w:tc>
        <w:tc>
          <w:tcPr>
            <w:tcW w:type="dxa" w:w="3118"/>
            <w:tcMar>
              <w:top w:w="90" w:type="dxa"/>
              <w:start w:w="100" w:type="dxa"/>
              <w:bottom w:w="90" w:type="dxa"/>
              <w:end w:w="100" w:type="dxa"/>
            </w:tcMar>
            <w:vAlign w:val="center"/>
          </w:tcPr>
          <w:p>
            <w:r>
              <w:rPr>
                <w:rFonts w:ascii="Carlito" w:hAnsi="Carlito" w:eastAsia="Carlito"/>
                <w:sz w:val="17"/>
              </w:rPr>
              <w:t>Codificación categórica; distancia a contactos; proximidad a intrusivos</w:t>
            </w:r>
          </w:p>
        </w:tc>
      </w:tr>
      <w:tr>
        <w:trPr>
          <w:cantSplit/>
        </w:trPr>
        <w:tc>
          <w:tcPr>
            <w:tcW w:type="dxa" w:w="3118"/>
            <w:tcMar>
              <w:top w:w="90" w:type="dxa"/>
              <w:start w:w="100" w:type="dxa"/>
              <w:bottom w:w="90" w:type="dxa"/>
              <w:end w:w="100" w:type="dxa"/>
            </w:tcMar>
            <w:vAlign w:val="center"/>
          </w:tcPr>
          <w:p>
            <w:r>
              <w:rPr>
                <w:rFonts w:ascii="Carlito" w:hAnsi="Carlito" w:eastAsia="Carlito"/>
                <w:sz w:val="17"/>
              </w:rPr>
              <w:t>Estructuras</w:t>
            </w:r>
          </w:p>
        </w:tc>
        <w:tc>
          <w:tcPr>
            <w:tcW w:type="dxa" w:w="3118"/>
            <w:tcMar>
              <w:top w:w="90" w:type="dxa"/>
              <w:start w:w="100" w:type="dxa"/>
              <w:bottom w:w="90" w:type="dxa"/>
              <w:end w:w="100" w:type="dxa"/>
            </w:tcMar>
            <w:vAlign w:val="center"/>
          </w:tcPr>
          <w:p>
            <w:r>
              <w:rPr>
                <w:rFonts w:ascii="Carlito" w:hAnsi="Carlito" w:eastAsia="Carlito"/>
                <w:sz w:val="17"/>
              </w:rPr>
              <w:t>Fallas, fracturas, contactos, lineamientos</w:t>
            </w:r>
          </w:p>
        </w:tc>
        <w:tc>
          <w:tcPr>
            <w:tcW w:type="dxa" w:w="3118"/>
            <w:tcMar>
              <w:top w:w="90" w:type="dxa"/>
              <w:start w:w="100" w:type="dxa"/>
              <w:bottom w:w="90" w:type="dxa"/>
              <w:end w:w="100" w:type="dxa"/>
            </w:tcMar>
            <w:vAlign w:val="center"/>
          </w:tcPr>
          <w:p>
            <w:r>
              <w:rPr>
                <w:rFonts w:ascii="Carlito" w:hAnsi="Carlito" w:eastAsia="Carlito"/>
                <w:sz w:val="17"/>
              </w:rPr>
              <w:t>Distancia a falla; densidad; intersecciones; orientación</w:t>
            </w:r>
          </w:p>
        </w:tc>
      </w:tr>
      <w:tr>
        <w:trPr>
          <w:cantSplit/>
        </w:trPr>
        <w:tc>
          <w:tcPr>
            <w:tcW w:type="dxa" w:w="3118"/>
            <w:tcMar>
              <w:top w:w="90" w:type="dxa"/>
              <w:start w:w="100" w:type="dxa"/>
              <w:bottom w:w="90" w:type="dxa"/>
              <w:end w:w="100" w:type="dxa"/>
            </w:tcMar>
            <w:vAlign w:val="center"/>
          </w:tcPr>
          <w:p>
            <w:r>
              <w:rPr>
                <w:rFonts w:ascii="Carlito" w:hAnsi="Carlito" w:eastAsia="Carlito"/>
                <w:sz w:val="17"/>
              </w:rPr>
              <w:t>Geoquímica</w:t>
            </w:r>
          </w:p>
        </w:tc>
        <w:tc>
          <w:tcPr>
            <w:tcW w:type="dxa" w:w="3118"/>
            <w:tcMar>
              <w:top w:w="90" w:type="dxa"/>
              <w:start w:w="100" w:type="dxa"/>
              <w:bottom w:w="90" w:type="dxa"/>
              <w:end w:w="100" w:type="dxa"/>
            </w:tcMar>
            <w:vAlign w:val="center"/>
          </w:tcPr>
          <w:p>
            <w:r>
              <w:rPr>
                <w:rFonts w:ascii="Carlito" w:hAnsi="Carlito" w:eastAsia="Carlito"/>
                <w:sz w:val="17"/>
              </w:rPr>
              <w:t>Au, Ag, Cu, Pb, As, Sb, Sn, W, Li, Co, REE...</w:t>
            </w:r>
          </w:p>
        </w:tc>
        <w:tc>
          <w:tcPr>
            <w:tcW w:type="dxa" w:w="3118"/>
            <w:tcMar>
              <w:top w:w="90" w:type="dxa"/>
              <w:start w:w="100" w:type="dxa"/>
              <w:bottom w:w="90" w:type="dxa"/>
              <w:end w:w="100" w:type="dxa"/>
            </w:tcMar>
            <w:vAlign w:val="center"/>
          </w:tcPr>
          <w:p>
            <w:r>
              <w:rPr>
                <w:rFonts w:ascii="Carlito" w:hAnsi="Carlito" w:eastAsia="Carlito"/>
                <w:sz w:val="17"/>
              </w:rPr>
              <w:t>Concentraciones, anomalías, ratios, transformaciones logarítmicas</w:t>
            </w:r>
          </w:p>
        </w:tc>
      </w:tr>
      <w:tr>
        <w:trPr>
          <w:cantSplit/>
        </w:trPr>
        <w:tc>
          <w:tcPr>
            <w:tcW w:type="dxa" w:w="3118"/>
            <w:tcMar>
              <w:top w:w="90" w:type="dxa"/>
              <w:start w:w="100" w:type="dxa"/>
              <w:bottom w:w="90" w:type="dxa"/>
              <w:end w:w="100" w:type="dxa"/>
            </w:tcMar>
            <w:vAlign w:val="center"/>
          </w:tcPr>
          <w:p>
            <w:r>
              <w:rPr>
                <w:rFonts w:ascii="Carlito" w:hAnsi="Carlito" w:eastAsia="Carlito"/>
                <w:sz w:val="17"/>
              </w:rPr>
              <w:t>Geofísica</w:t>
            </w:r>
          </w:p>
        </w:tc>
        <w:tc>
          <w:tcPr>
            <w:tcW w:type="dxa" w:w="3118"/>
            <w:tcMar>
              <w:top w:w="90" w:type="dxa"/>
              <w:start w:w="100" w:type="dxa"/>
              <w:bottom w:w="90" w:type="dxa"/>
              <w:end w:w="100" w:type="dxa"/>
            </w:tcMar>
            <w:vAlign w:val="center"/>
          </w:tcPr>
          <w:p>
            <w:r>
              <w:rPr>
                <w:rFonts w:ascii="Carlito" w:hAnsi="Carlito" w:eastAsia="Carlito"/>
                <w:sz w:val="17"/>
              </w:rPr>
              <w:t>Magnetometría, gravimetría, radiometría, EM</w:t>
            </w:r>
          </w:p>
        </w:tc>
        <w:tc>
          <w:tcPr>
            <w:tcW w:type="dxa" w:w="3118"/>
            <w:tcMar>
              <w:top w:w="90" w:type="dxa"/>
              <w:start w:w="100" w:type="dxa"/>
              <w:bottom w:w="90" w:type="dxa"/>
              <w:end w:w="100" w:type="dxa"/>
            </w:tcMar>
            <w:vAlign w:val="center"/>
          </w:tcPr>
          <w:p>
            <w:r>
              <w:rPr>
                <w:rFonts w:ascii="Carlito" w:hAnsi="Carlito" w:eastAsia="Carlito"/>
                <w:sz w:val="17"/>
              </w:rPr>
              <w:t>Anomalías, gradientes, filtros y métricas locales</w:t>
            </w:r>
          </w:p>
        </w:tc>
      </w:tr>
      <w:tr>
        <w:trPr>
          <w:cantSplit/>
        </w:trPr>
        <w:tc>
          <w:tcPr>
            <w:tcW w:type="dxa" w:w="3118"/>
            <w:tcMar>
              <w:top w:w="90" w:type="dxa"/>
              <w:start w:w="100" w:type="dxa"/>
              <w:bottom w:w="90" w:type="dxa"/>
              <w:end w:w="100" w:type="dxa"/>
            </w:tcMar>
            <w:vAlign w:val="center"/>
          </w:tcPr>
          <w:p>
            <w:r>
              <w:rPr>
                <w:rFonts w:ascii="Carlito" w:hAnsi="Carlito" w:eastAsia="Carlito"/>
                <w:sz w:val="17"/>
              </w:rPr>
              <w:t>Geomorfología</w:t>
            </w:r>
          </w:p>
        </w:tc>
        <w:tc>
          <w:tcPr>
            <w:tcW w:type="dxa" w:w="3118"/>
            <w:tcMar>
              <w:top w:w="90" w:type="dxa"/>
              <w:start w:w="100" w:type="dxa"/>
              <w:bottom w:w="90" w:type="dxa"/>
              <w:end w:w="100" w:type="dxa"/>
            </w:tcMar>
            <w:vAlign w:val="center"/>
          </w:tcPr>
          <w:p>
            <w:r>
              <w:rPr>
                <w:rFonts w:ascii="Carlito" w:hAnsi="Carlito" w:eastAsia="Carlito"/>
                <w:sz w:val="17"/>
              </w:rPr>
              <w:t>Elevación, pendiente, curvatura, rugosidad</w:t>
            </w:r>
          </w:p>
        </w:tc>
        <w:tc>
          <w:tcPr>
            <w:tcW w:type="dxa" w:w="3118"/>
            <w:tcMar>
              <w:top w:w="90" w:type="dxa"/>
              <w:start w:w="100" w:type="dxa"/>
              <w:bottom w:w="90" w:type="dxa"/>
              <w:end w:w="100" w:type="dxa"/>
            </w:tcMar>
            <w:vAlign w:val="center"/>
          </w:tcPr>
          <w:p>
            <w:r>
              <w:rPr>
                <w:rFonts w:ascii="Carlito" w:hAnsi="Carlito" w:eastAsia="Carlito"/>
                <w:sz w:val="17"/>
              </w:rPr>
              <w:t>Derivadas DEM y métricas multiescala</w:t>
            </w:r>
          </w:p>
        </w:tc>
      </w:tr>
      <w:tr>
        <w:trPr>
          <w:cantSplit/>
        </w:trPr>
        <w:tc>
          <w:tcPr>
            <w:tcW w:type="dxa" w:w="3118"/>
            <w:tcMar>
              <w:top w:w="90" w:type="dxa"/>
              <w:start w:w="100" w:type="dxa"/>
              <w:bottom w:w="90" w:type="dxa"/>
              <w:end w:w="100" w:type="dxa"/>
            </w:tcMar>
            <w:vAlign w:val="center"/>
          </w:tcPr>
          <w:p>
            <w:r>
              <w:rPr>
                <w:rFonts w:ascii="Carlito" w:hAnsi="Carlito" w:eastAsia="Carlito"/>
                <w:sz w:val="17"/>
              </w:rPr>
              <w:t>Hidrología</w:t>
            </w:r>
          </w:p>
        </w:tc>
        <w:tc>
          <w:tcPr>
            <w:tcW w:type="dxa" w:w="3118"/>
            <w:tcMar>
              <w:top w:w="90" w:type="dxa"/>
              <w:start w:w="100" w:type="dxa"/>
              <w:bottom w:w="90" w:type="dxa"/>
              <w:end w:w="100" w:type="dxa"/>
            </w:tcMar>
            <w:vAlign w:val="center"/>
          </w:tcPr>
          <w:p>
            <w:r>
              <w:rPr>
                <w:rFonts w:ascii="Carlito" w:hAnsi="Carlito" w:eastAsia="Carlito"/>
                <w:sz w:val="17"/>
              </w:rPr>
              <w:t>Drenaje y cuencas</w:t>
            </w:r>
          </w:p>
        </w:tc>
        <w:tc>
          <w:tcPr>
            <w:tcW w:type="dxa" w:w="3118"/>
            <w:tcMar>
              <w:top w:w="90" w:type="dxa"/>
              <w:start w:w="100" w:type="dxa"/>
              <w:bottom w:w="90" w:type="dxa"/>
              <w:end w:w="100" w:type="dxa"/>
            </w:tcMar>
            <w:vAlign w:val="center"/>
          </w:tcPr>
          <w:p>
            <w:r>
              <w:rPr>
                <w:rFonts w:ascii="Carlito" w:hAnsi="Carlito" w:eastAsia="Carlito"/>
                <w:sz w:val="17"/>
              </w:rPr>
              <w:t>Distancia a cauces; densidad de drenaje</w:t>
            </w:r>
          </w:p>
        </w:tc>
      </w:tr>
      <w:tr>
        <w:trPr>
          <w:cantSplit/>
        </w:trPr>
        <w:tc>
          <w:tcPr>
            <w:tcW w:type="dxa" w:w="3118"/>
            <w:tcMar>
              <w:top w:w="90" w:type="dxa"/>
              <w:start w:w="100" w:type="dxa"/>
              <w:bottom w:w="90" w:type="dxa"/>
              <w:end w:w="100" w:type="dxa"/>
            </w:tcMar>
            <w:vAlign w:val="center"/>
          </w:tcPr>
          <w:p>
            <w:r>
              <w:rPr>
                <w:rFonts w:ascii="Carlito" w:hAnsi="Carlito" w:eastAsia="Carlito"/>
                <w:sz w:val="17"/>
              </w:rPr>
              <w:t>Teledetección</w:t>
            </w:r>
          </w:p>
        </w:tc>
        <w:tc>
          <w:tcPr>
            <w:tcW w:type="dxa" w:w="3118"/>
            <w:tcMar>
              <w:top w:w="90" w:type="dxa"/>
              <w:start w:w="100" w:type="dxa"/>
              <w:bottom w:w="90" w:type="dxa"/>
              <w:end w:w="100" w:type="dxa"/>
            </w:tcMar>
            <w:vAlign w:val="center"/>
          </w:tcPr>
          <w:p>
            <w:r>
              <w:rPr>
                <w:rFonts w:ascii="Carlito" w:hAnsi="Carlito" w:eastAsia="Carlito"/>
                <w:sz w:val="17"/>
              </w:rPr>
              <w:t>Sentinel/Landsat e índices espectrales</w:t>
            </w:r>
          </w:p>
        </w:tc>
        <w:tc>
          <w:tcPr>
            <w:tcW w:type="dxa" w:w="3118"/>
            <w:tcMar>
              <w:top w:w="90" w:type="dxa"/>
              <w:start w:w="100" w:type="dxa"/>
              <w:bottom w:w="90" w:type="dxa"/>
              <w:end w:w="100" w:type="dxa"/>
            </w:tcMar>
            <w:vAlign w:val="center"/>
          </w:tcPr>
          <w:p>
            <w:r>
              <w:rPr>
                <w:rFonts w:ascii="Carlito" w:hAnsi="Carlito" w:eastAsia="Carlito"/>
                <w:sz w:val="17"/>
              </w:rPr>
              <w:t>Índices de alteración, hierro, arcillas y cobertura</w:t>
            </w:r>
          </w:p>
        </w:tc>
      </w:tr>
    </w:tbl>
    <w:p>
      <w:pPr>
        <w:pStyle w:val="Heading2"/>
      </w:pPr>
      <w:r>
        <w:t>3.2. Variable Y: qué queremos aprender</w:t>
      </w:r>
    </w:p>
    <w:p>
      <w:r>
        <w:t>La Y debe formularse según el objetivo de cada experimento. No existe una única Y válida para todo el proyecto.</w:t>
      </w:r>
    </w:p>
    <w:p>
      <w:r>
        <w:rPr>
          <w:rFonts w:ascii="Carlito" w:hAnsi="Carlito" w:eastAsia="Carlito"/>
          <w:b/>
          <w:color w:val="1F4E79"/>
        </w:rPr>
        <w:t xml:space="preserve">Modelo histórico — YRoman: </w:t>
      </w:r>
      <w:r>
        <w:rPr>
          <w:rFonts w:ascii="Carlito" w:hAnsi="Carlito" w:eastAsia="Carlito"/>
        </w:rPr>
        <w:t>1 = localización/celda asociada a una explotación romana documentada; 0 = background o ausencia de evidencia conocida.</w:t>
      </w:r>
    </w:p>
    <w:p>
      <w:r>
        <w:rPr>
          <w:rFonts w:ascii="Carlito" w:hAnsi="Carlito" w:eastAsia="Carlito"/>
          <w:b/>
          <w:color w:val="1F4E79"/>
        </w:rPr>
        <w:t xml:space="preserve">Modelos romanos por commodity — YAu, YAg, YCu, YPb: </w:t>
      </w:r>
      <w:r>
        <w:rPr>
          <w:rFonts w:ascii="Carlito" w:hAnsi="Carlito" w:eastAsia="Carlito"/>
        </w:rPr>
        <w:t>Cada commodity dispone de su propia etiqueta positiva cuando la base histórica registra su explotación.</w:t>
      </w:r>
    </w:p>
    <w:p>
      <w:r>
        <w:rPr>
          <w:rFonts w:ascii="Carlito" w:hAnsi="Carlito" w:eastAsia="Carlito"/>
          <w:b/>
          <w:color w:val="1F4E79"/>
        </w:rPr>
        <w:t xml:space="preserve">Modelos modernos — YREE, YLi, YW, YCo, etc.: </w:t>
      </w:r>
      <w:r>
        <w:rPr>
          <w:rFonts w:ascii="Carlito" w:hAnsi="Carlito" w:eastAsia="Carlito"/>
        </w:rPr>
        <w:t>Los positivos deben proceder de depósitos o indicios modernos independientes; no pueden deducirse automáticamente de las minas romanas.</w:t>
      </w:r>
    </w:p>
    <w:tbl>
      <w:tblPr>
        <w:tblW w:type="auto" w:w="0"/>
        <w:tblLook w:firstColumn="1" w:firstRow="1" w:lastColumn="0" w:lastRow="0" w:noHBand="0" w:noVBand="1" w:val="04A0"/>
      </w:tblPr>
      <w:tblGrid>
        <w:gridCol w:w="9354"/>
      </w:tblGrid>
      <w:tr>
        <w:trPr>
          <w:cantSplit/>
        </w:trPr>
        <w:tc>
          <w:tcPr>
            <w:tcW w:type="dxa" w:w="9354"/>
            <w:shd w:fill="FBEFD9"/>
            <w:tcMar>
              <w:top w:w="170" w:type="dxa"/>
              <w:start w:w="220" w:type="dxa"/>
              <w:bottom w:w="170" w:type="dxa"/>
              <w:end w:w="220" w:type="dxa"/>
            </w:tcMar>
            <w:vAlign w:val="center"/>
          </w:tcPr>
          <w:p>
            <w:r>
              <w:rPr>
                <w:rFonts w:ascii="Carlito" w:hAnsi="Carlito" w:eastAsia="Carlito"/>
                <w:b/>
                <w:color w:val="9C7623"/>
              </w:rPr>
              <w:t xml:space="preserve">Advertencia metodológica: </w:t>
            </w:r>
            <w:r>
              <w:rPr>
                <w:rFonts w:ascii="Carlito" w:hAnsi="Carlito" w:eastAsia="Carlito"/>
              </w:rPr>
              <w:t>Y = 0 no significa “no existe mineralización”. Significa que no existe evidencia positiva conocida en el dataset considerado. El problema se aproxima a un escenario presence-background o Positive-Unlabeled (PU), no a una clasificación con negativos geológicos perfectos.</w:t>
            </w:r>
          </w:p>
        </w:tc>
      </w:tr>
    </w:tbl>
    <w:p>
      <w:pPr>
        <w:pStyle w:val="Heading2"/>
      </w:pPr>
      <w:r>
        <w:t>3.3. Interpretación probabilística</w:t>
      </w:r>
    </w:p>
    <w:p>
      <w:pPr>
        <w:jc w:val="center"/>
      </w:pPr>
      <w:r>
        <w:t>El modelo histórico estima conceptualmente:</w:t>
      </w:r>
      <w:r>
        <w:rPr>
          <w:rFonts w:ascii="Carlito" w:hAnsi="Carlito" w:eastAsia="Carlito"/>
          <w:b/>
          <w:color w:val="17365D"/>
          <w:sz w:val="24"/>
        </w:rPr>
        <w:t>P(minería romana | X geocientíficas)</w:t>
      </w:r>
    </w:p>
    <w:p>
      <w:pPr>
        <w:jc w:val="center"/>
      </w:pPr>
      <w:r>
        <w:t>Los modelos modernos por commodity estiman:</w:t>
      </w:r>
      <w:r>
        <w:rPr>
          <w:rFonts w:ascii="Carlito" w:hAnsi="Carlito" w:eastAsia="Carlito"/>
          <w:b/>
          <w:color w:val="17365D"/>
          <w:sz w:val="24"/>
        </w:rPr>
        <w:t>P(commodity | X geocientíficas)</w:t>
      </w:r>
    </w:p>
    <w:p>
      <w:pPr>
        <w:pStyle w:val="Heading1"/>
      </w:pPr>
      <w:r>
        <w:t>4. Diseño multicommodity y materias primas críticas/estratégicas</w:t>
      </w:r>
    </w:p>
    <w:p>
      <w:r>
        <w:t>El proyecto puede integrar la propuesta del equipo —centrada en oro, plata y cobre— con el interés académico por tierras raras y con una visión más amplia de materias primas relevantes. La clave es no mezclar commodities geológicamente distintos en una única clase sin justificación.</w:t>
      </w:r>
    </w:p>
    <w:p>
      <w:pPr>
        <w:pStyle w:val="Heading2"/>
      </w:pPr>
      <w:r>
        <w:t>4.1. Estructura propuesta</w:t>
      </w:r>
    </w:p>
    <w:tbl>
      <w:tblPr>
        <w:tblStyle w:val="TableGrid"/>
        <w:tblW w:type="auto" w:w="0"/>
        <w:jc w:val="center"/>
        <w:tblLook w:firstColumn="1" w:firstRow="1" w:lastColumn="0" w:lastRow="0" w:noHBand="0" w:noVBand="1" w:val="04A0"/>
      </w:tblPr>
      <w:tblGrid>
        <w:gridCol w:w="3118"/>
        <w:gridCol w:w="3118"/>
        <w:gridCol w:w="3118"/>
      </w:tblGrid>
      <w:tr>
        <w:trPr>
          <w:cantSplit/>
        </w:trPr>
        <w:tc>
          <w:tcPr>
            <w:tcW w:type="dxa" w:w="3118"/>
            <w:shd w:fill="17365D"/>
            <w:vAlign w:val="center"/>
          </w:tcPr>
          <w:p>
            <w:r>
              <w:rPr>
                <w:rFonts w:ascii="Carlito" w:hAnsi="Carlito" w:eastAsia="Carlito"/>
                <w:b/>
                <w:color w:val="FFFFFF"/>
                <w:sz w:val="18"/>
              </w:rPr>
              <w:t>Bloque</w:t>
            </w:r>
          </w:p>
        </w:tc>
        <w:tc>
          <w:tcPr>
            <w:tcW w:type="dxa" w:w="3118"/>
            <w:shd w:fill="17365D"/>
            <w:vAlign w:val="center"/>
          </w:tcPr>
          <w:p>
            <w:r>
              <w:rPr>
                <w:rFonts w:ascii="Carlito" w:hAnsi="Carlito" w:eastAsia="Carlito"/>
                <w:b/>
                <w:color w:val="FFFFFF"/>
                <w:sz w:val="18"/>
              </w:rPr>
              <w:t>Commodities orientativos</w:t>
            </w:r>
          </w:p>
        </w:tc>
        <w:tc>
          <w:tcPr>
            <w:tcW w:type="dxa" w:w="3118"/>
            <w:shd w:fill="17365D"/>
            <w:vAlign w:val="center"/>
          </w:tcPr>
          <w:p>
            <w:r>
              <w:rPr>
                <w:rFonts w:ascii="Carlito" w:hAnsi="Carlito" w:eastAsia="Carlito"/>
                <w:b/>
                <w:color w:val="FFFFFF"/>
                <w:sz w:val="18"/>
              </w:rPr>
              <w:t>Papel en el proyecto</w:t>
            </w:r>
          </w:p>
        </w:tc>
      </w:tr>
      <w:tr>
        <w:trPr>
          <w:cantSplit/>
        </w:trPr>
        <w:tc>
          <w:tcPr>
            <w:tcW w:type="dxa" w:w="3118"/>
            <w:tcMar>
              <w:top w:w="100" w:type="dxa"/>
              <w:start w:w="100" w:type="dxa"/>
              <w:bottom w:w="100" w:type="dxa"/>
              <w:end w:w="100" w:type="dxa"/>
            </w:tcMar>
            <w:vAlign w:val="center"/>
          </w:tcPr>
          <w:p>
            <w:r>
              <w:rPr>
                <w:rFonts w:ascii="Carlito" w:hAnsi="Carlito" w:eastAsia="Carlito"/>
                <w:sz w:val="18"/>
              </w:rPr>
              <w:t>Histórico</w:t>
            </w:r>
          </w:p>
        </w:tc>
        <w:tc>
          <w:tcPr>
            <w:tcW w:type="dxa" w:w="3118"/>
            <w:tcMar>
              <w:top w:w="100" w:type="dxa"/>
              <w:start w:w="100" w:type="dxa"/>
              <w:bottom w:w="100" w:type="dxa"/>
              <w:end w:w="100" w:type="dxa"/>
            </w:tcMar>
            <w:vAlign w:val="center"/>
          </w:tcPr>
          <w:p>
            <w:r>
              <w:rPr>
                <w:rFonts w:ascii="Carlito" w:hAnsi="Carlito" w:eastAsia="Carlito"/>
                <w:sz w:val="18"/>
              </w:rPr>
              <w:t>Au, Ag, Cu, Pb</w:t>
            </w:r>
          </w:p>
        </w:tc>
        <w:tc>
          <w:tcPr>
            <w:tcW w:type="dxa" w:w="3118"/>
            <w:tcMar>
              <w:top w:w="100" w:type="dxa"/>
              <w:start w:w="100" w:type="dxa"/>
              <w:bottom w:w="100" w:type="dxa"/>
              <w:end w:w="100" w:type="dxa"/>
            </w:tcMar>
            <w:vAlign w:val="center"/>
          </w:tcPr>
          <w:p>
            <w:r>
              <w:rPr>
                <w:rFonts w:ascii="Carlito" w:hAnsi="Carlito" w:eastAsia="Carlito"/>
                <w:sz w:val="18"/>
              </w:rPr>
              <w:t>Conexión directa con la minería romana y construcción de la señal histórica.</w:t>
            </w:r>
          </w:p>
        </w:tc>
      </w:tr>
      <w:tr>
        <w:trPr>
          <w:cantSplit/>
        </w:trPr>
        <w:tc>
          <w:tcPr>
            <w:tcW w:type="dxa" w:w="3118"/>
            <w:tcMar>
              <w:top w:w="100" w:type="dxa"/>
              <w:start w:w="100" w:type="dxa"/>
              <w:bottom w:w="100" w:type="dxa"/>
              <w:end w:w="100" w:type="dxa"/>
            </w:tcMar>
            <w:vAlign w:val="center"/>
          </w:tcPr>
          <w:p>
            <w:r>
              <w:rPr>
                <w:rFonts w:ascii="Carlito" w:hAnsi="Carlito" w:eastAsia="Carlito"/>
                <w:sz w:val="18"/>
              </w:rPr>
              <w:t>Crítico/estratégico</w:t>
            </w:r>
          </w:p>
        </w:tc>
        <w:tc>
          <w:tcPr>
            <w:tcW w:type="dxa" w:w="3118"/>
            <w:tcMar>
              <w:top w:w="100" w:type="dxa"/>
              <w:start w:w="100" w:type="dxa"/>
              <w:bottom w:w="100" w:type="dxa"/>
              <w:end w:w="100" w:type="dxa"/>
            </w:tcMar>
            <w:vAlign w:val="center"/>
          </w:tcPr>
          <w:p>
            <w:r>
              <w:rPr>
                <w:rFonts w:ascii="Carlito" w:hAnsi="Carlito" w:eastAsia="Carlito"/>
                <w:sz w:val="18"/>
              </w:rPr>
              <w:t>REE, Li, Co, Ni, W, Sn, Ta, Nb, V...</w:t>
            </w:r>
          </w:p>
        </w:tc>
        <w:tc>
          <w:tcPr>
            <w:tcW w:type="dxa" w:w="3118"/>
            <w:tcMar>
              <w:top w:w="100" w:type="dxa"/>
              <w:start w:w="100" w:type="dxa"/>
              <w:bottom w:w="100" w:type="dxa"/>
              <w:end w:w="100" w:type="dxa"/>
            </w:tcMar>
            <w:vAlign w:val="center"/>
          </w:tcPr>
          <w:p>
            <w:r>
              <w:rPr>
                <w:rFonts w:ascii="Carlito" w:hAnsi="Carlito" w:eastAsia="Carlito"/>
                <w:sz w:val="18"/>
              </w:rPr>
              <w:t>Prospectividad moderna mediante labels independientes y datasets geocientíficos.</w:t>
            </w:r>
          </w:p>
        </w:tc>
      </w:tr>
      <w:tr>
        <w:trPr>
          <w:cantSplit/>
        </w:trPr>
        <w:tc>
          <w:tcPr>
            <w:tcW w:type="dxa" w:w="3118"/>
            <w:tcMar>
              <w:top w:w="100" w:type="dxa"/>
              <w:start w:w="100" w:type="dxa"/>
              <w:bottom w:w="100" w:type="dxa"/>
              <w:end w:w="100" w:type="dxa"/>
            </w:tcMar>
            <w:vAlign w:val="center"/>
          </w:tcPr>
          <w:p>
            <w:r>
              <w:rPr>
                <w:rFonts w:ascii="Carlito" w:hAnsi="Carlito" w:eastAsia="Carlito"/>
                <w:sz w:val="18"/>
              </w:rPr>
              <w:t>Sistemas mineralizantes</w:t>
            </w:r>
          </w:p>
        </w:tc>
        <w:tc>
          <w:tcPr>
            <w:tcW w:type="dxa" w:w="3118"/>
            <w:tcMar>
              <w:top w:w="100" w:type="dxa"/>
              <w:start w:w="100" w:type="dxa"/>
              <w:bottom w:w="100" w:type="dxa"/>
              <w:end w:w="100" w:type="dxa"/>
            </w:tcMar>
            <w:vAlign w:val="center"/>
          </w:tcPr>
          <w:p>
            <w:r>
              <w:rPr>
                <w:rFonts w:ascii="Carlito" w:hAnsi="Carlito" w:eastAsia="Carlito"/>
                <w:sz w:val="18"/>
              </w:rPr>
              <w:t>Asociaciones y pathfinders</w:t>
            </w:r>
          </w:p>
        </w:tc>
        <w:tc>
          <w:tcPr>
            <w:tcW w:type="dxa" w:w="3118"/>
            <w:tcMar>
              <w:top w:w="100" w:type="dxa"/>
              <w:start w:w="100" w:type="dxa"/>
              <w:bottom w:w="100" w:type="dxa"/>
              <w:end w:w="100" w:type="dxa"/>
            </w:tcMar>
            <w:vAlign w:val="center"/>
          </w:tcPr>
          <w:p>
            <w:r>
              <w:rPr>
                <w:rFonts w:ascii="Carlito" w:hAnsi="Carlito" w:eastAsia="Carlito"/>
                <w:sz w:val="18"/>
              </w:rPr>
              <w:t>Modelizar procesos y contextos geológicos, no únicamente elementos aislados.</w:t>
            </w:r>
          </w:p>
        </w:tc>
      </w:tr>
    </w:tbl>
    <w:p>
      <w:pPr>
        <w:pStyle w:val="Heading2"/>
      </w:pPr>
      <w:r>
        <w:t>4.2. Por qué REE requiere un tratamiento separado</w:t>
      </w:r>
    </w:p>
    <w:p>
      <w:r>
        <w:t>Si la base romana no contiene suficientes observaciones positivas de tierras raras, no existe una YREE histórica adecuada para entrenar un Random Forest supervisado. El modelo puede transferir conocimiento a nivel de contexto geológico, pero la validación de REE debe apoyarse en indicios y depósitos modernos. Esta separación evita afirmar una relación directa inexistente entre explotación romana y tierras raras.</w:t>
      </w:r>
    </w:p>
    <w:p>
      <w:pPr>
        <w:pStyle w:val="Heading1"/>
      </w:pPr>
      <w:r>
        <w:t>5. Ontología y capa de conocimiento</w:t>
      </w:r>
    </w:p>
    <w:p>
      <w:r>
        <w:t>Un Random Forest no necesita una ontología para entrenarse. Sin embargo, una ontología aporta un modelo semántico formal del dominio y permite construir una arquitectura de IA basada en conocimiento además de Machine Learning. En este proyecto, la ontología puede conectar arqueología, geología, commodities, observaciones, procedencia de datos y resultados de modelización.</w:t>
      </w:r>
    </w:p>
    <w:p>
      <w:pPr>
        <w:pStyle w:val="Heading2"/>
      </w:pPr>
      <w:r>
        <w:t>5.1. Clases principales sugeridas</w:t>
      </w:r>
    </w:p>
    <w:tbl>
      <w:tblPr>
        <w:tblStyle w:val="TableGrid"/>
        <w:tblW w:type="auto" w:w="0"/>
        <w:jc w:val="center"/>
        <w:tblLook w:firstColumn="1" w:firstRow="1" w:lastColumn="0" w:lastRow="0" w:noHBand="0" w:noVBand="1" w:val="04A0"/>
      </w:tblPr>
      <w:tblGrid>
        <w:gridCol w:w="4677"/>
        <w:gridCol w:w="4677"/>
      </w:tblGrid>
      <w:tr>
        <w:trPr>
          <w:cantSplit/>
          <w:tblHeader w:val="true"/>
        </w:trPr>
        <w:tc>
          <w:tcPr>
            <w:tcW w:type="dxa" w:w="4677"/>
            <w:shd w:fill="1F6D7A"/>
            <w:vAlign w:val="center"/>
          </w:tcPr>
          <w:p>
            <w:r>
              <w:rPr>
                <w:rFonts w:ascii="Carlito" w:hAnsi="Carlito" w:eastAsia="Carlito"/>
                <w:b/>
                <w:color w:val="FFFFFF"/>
                <w:sz w:val="17"/>
              </w:rPr>
              <w:t>Clase</w:t>
            </w:r>
          </w:p>
        </w:tc>
        <w:tc>
          <w:tcPr>
            <w:tcW w:type="dxa" w:w="4677"/>
            <w:shd w:fill="1F6D7A"/>
            <w:vAlign w:val="center"/>
          </w:tcPr>
          <w:p>
            <w:r>
              <w:rPr>
                <w:rFonts w:ascii="Carlito" w:hAnsi="Carlito" w:eastAsia="Carlito"/>
                <w:b/>
                <w:color w:val="FFFFFF"/>
                <w:sz w:val="17"/>
              </w:rPr>
              <w:t>Ejemplos / subclases</w:t>
            </w:r>
          </w:p>
        </w:tc>
      </w:tr>
      <w:tr>
        <w:trPr>
          <w:cantSplit/>
        </w:trPr>
        <w:tc>
          <w:tcPr>
            <w:tcW w:type="dxa" w:w="4677"/>
            <w:tcMar>
              <w:top w:w="80" w:type="dxa"/>
              <w:start w:w="100" w:type="dxa"/>
              <w:bottom w:w="80" w:type="dxa"/>
              <w:end w:w="100" w:type="dxa"/>
            </w:tcMar>
            <w:vAlign w:val="center"/>
          </w:tcPr>
          <w:p>
            <w:r>
              <w:rPr>
                <w:rFonts w:ascii="Carlito" w:hAnsi="Carlito" w:eastAsia="Carlito"/>
                <w:sz w:val="17"/>
              </w:rPr>
              <w:t>MineralOccurrence</w:t>
            </w:r>
          </w:p>
        </w:tc>
        <w:tc>
          <w:tcPr>
            <w:tcW w:type="dxa" w:w="4677"/>
            <w:tcMar>
              <w:top w:w="80" w:type="dxa"/>
              <w:start w:w="100" w:type="dxa"/>
              <w:bottom w:w="80" w:type="dxa"/>
              <w:end w:w="100" w:type="dxa"/>
            </w:tcMar>
            <w:vAlign w:val="center"/>
          </w:tcPr>
          <w:p>
            <w:r>
              <w:rPr>
                <w:rFonts w:ascii="Carlito" w:hAnsi="Carlito" w:eastAsia="Carlito"/>
                <w:sz w:val="17"/>
              </w:rPr>
              <w:t>RomanMine, ModernMine, MineralIndication</w:t>
            </w:r>
          </w:p>
        </w:tc>
      </w:tr>
      <w:tr>
        <w:trPr>
          <w:cantSplit/>
        </w:trPr>
        <w:tc>
          <w:tcPr>
            <w:tcW w:type="dxa" w:w="4677"/>
            <w:tcMar>
              <w:top w:w="80" w:type="dxa"/>
              <w:start w:w="100" w:type="dxa"/>
              <w:bottom w:w="80" w:type="dxa"/>
              <w:end w:w="100" w:type="dxa"/>
            </w:tcMar>
            <w:vAlign w:val="center"/>
          </w:tcPr>
          <w:p>
            <w:r>
              <w:rPr>
                <w:rFonts w:ascii="Carlito" w:hAnsi="Carlito" w:eastAsia="Carlito"/>
                <w:sz w:val="17"/>
              </w:rPr>
              <w:t>MineralDeposit</w:t>
            </w:r>
          </w:p>
        </w:tc>
        <w:tc>
          <w:tcPr>
            <w:tcW w:type="dxa" w:w="4677"/>
            <w:tcMar>
              <w:top w:w="80" w:type="dxa"/>
              <w:start w:w="100" w:type="dxa"/>
              <w:bottom w:w="80" w:type="dxa"/>
              <w:end w:w="100" w:type="dxa"/>
            </w:tcMar>
            <w:vAlign w:val="center"/>
          </w:tcPr>
          <w:p>
            <w:r>
              <w:rPr>
                <w:rFonts w:ascii="Carlito" w:hAnsi="Carlito" w:eastAsia="Carlito"/>
                <w:sz w:val="17"/>
              </w:rPr>
              <w:t>Depósito, sistema mineralizante, cuerpo mineralizado</w:t>
            </w:r>
          </w:p>
        </w:tc>
      </w:tr>
      <w:tr>
        <w:trPr>
          <w:cantSplit/>
        </w:trPr>
        <w:tc>
          <w:tcPr>
            <w:tcW w:type="dxa" w:w="4677"/>
            <w:tcMar>
              <w:top w:w="80" w:type="dxa"/>
              <w:start w:w="100" w:type="dxa"/>
              <w:bottom w:w="80" w:type="dxa"/>
              <w:end w:w="100" w:type="dxa"/>
            </w:tcMar>
            <w:vAlign w:val="center"/>
          </w:tcPr>
          <w:p>
            <w:r>
              <w:rPr>
                <w:rFonts w:ascii="Carlito" w:hAnsi="Carlito" w:eastAsia="Carlito"/>
                <w:sz w:val="17"/>
              </w:rPr>
              <w:t>Commodity</w:t>
            </w:r>
          </w:p>
        </w:tc>
        <w:tc>
          <w:tcPr>
            <w:tcW w:type="dxa" w:w="4677"/>
            <w:tcMar>
              <w:top w:w="80" w:type="dxa"/>
              <w:start w:w="100" w:type="dxa"/>
              <w:bottom w:w="80" w:type="dxa"/>
              <w:end w:w="100" w:type="dxa"/>
            </w:tcMar>
            <w:vAlign w:val="center"/>
          </w:tcPr>
          <w:p>
            <w:r>
              <w:rPr>
                <w:rFonts w:ascii="Carlito" w:hAnsi="Carlito" w:eastAsia="Carlito"/>
                <w:sz w:val="17"/>
              </w:rPr>
              <w:t>Gold, Silver, Copper, RareEarthElement, Lithium, Tungsten...</w:t>
            </w:r>
          </w:p>
        </w:tc>
      </w:tr>
      <w:tr>
        <w:trPr>
          <w:cantSplit/>
        </w:trPr>
        <w:tc>
          <w:tcPr>
            <w:tcW w:type="dxa" w:w="4677"/>
            <w:tcMar>
              <w:top w:w="80" w:type="dxa"/>
              <w:start w:w="100" w:type="dxa"/>
              <w:bottom w:w="80" w:type="dxa"/>
              <w:end w:w="100" w:type="dxa"/>
            </w:tcMar>
            <w:vAlign w:val="center"/>
          </w:tcPr>
          <w:p>
            <w:r>
              <w:rPr>
                <w:rFonts w:ascii="Carlito" w:hAnsi="Carlito" w:eastAsia="Carlito"/>
                <w:sz w:val="17"/>
              </w:rPr>
              <w:t>GeologicalUnit</w:t>
            </w:r>
          </w:p>
        </w:tc>
        <w:tc>
          <w:tcPr>
            <w:tcW w:type="dxa" w:w="4677"/>
            <w:tcMar>
              <w:top w:w="80" w:type="dxa"/>
              <w:start w:w="100" w:type="dxa"/>
              <w:bottom w:w="80" w:type="dxa"/>
              <w:end w:w="100" w:type="dxa"/>
            </w:tcMar>
            <w:vAlign w:val="center"/>
          </w:tcPr>
          <w:p>
            <w:r>
              <w:rPr>
                <w:rFonts w:ascii="Carlito" w:hAnsi="Carlito" w:eastAsia="Carlito"/>
                <w:sz w:val="17"/>
              </w:rPr>
              <w:t>Unidad litológica, formación, intrusión</w:t>
            </w:r>
          </w:p>
        </w:tc>
      </w:tr>
      <w:tr>
        <w:trPr>
          <w:cantSplit/>
        </w:trPr>
        <w:tc>
          <w:tcPr>
            <w:tcW w:type="dxa" w:w="4677"/>
            <w:tcMar>
              <w:top w:w="80" w:type="dxa"/>
              <w:start w:w="100" w:type="dxa"/>
              <w:bottom w:w="80" w:type="dxa"/>
              <w:end w:w="100" w:type="dxa"/>
            </w:tcMar>
            <w:vAlign w:val="center"/>
          </w:tcPr>
          <w:p>
            <w:r>
              <w:rPr>
                <w:rFonts w:ascii="Carlito" w:hAnsi="Carlito" w:eastAsia="Carlito"/>
                <w:sz w:val="17"/>
              </w:rPr>
              <w:t>GeologicalStructure</w:t>
            </w:r>
          </w:p>
        </w:tc>
        <w:tc>
          <w:tcPr>
            <w:tcW w:type="dxa" w:w="4677"/>
            <w:tcMar>
              <w:top w:w="80" w:type="dxa"/>
              <w:start w:w="100" w:type="dxa"/>
              <w:bottom w:w="80" w:type="dxa"/>
              <w:end w:w="100" w:type="dxa"/>
            </w:tcMar>
            <w:vAlign w:val="center"/>
          </w:tcPr>
          <w:p>
            <w:r>
              <w:rPr>
                <w:rFonts w:ascii="Carlito" w:hAnsi="Carlito" w:eastAsia="Carlito"/>
                <w:sz w:val="17"/>
              </w:rPr>
              <w:t>Fault, Fracture, Contact, Lineament</w:t>
            </w:r>
          </w:p>
        </w:tc>
      </w:tr>
      <w:tr>
        <w:trPr>
          <w:cantSplit/>
        </w:trPr>
        <w:tc>
          <w:tcPr>
            <w:tcW w:type="dxa" w:w="4677"/>
            <w:tcMar>
              <w:top w:w="80" w:type="dxa"/>
              <w:start w:w="100" w:type="dxa"/>
              <w:bottom w:w="80" w:type="dxa"/>
              <w:end w:w="100" w:type="dxa"/>
            </w:tcMar>
            <w:vAlign w:val="center"/>
          </w:tcPr>
          <w:p>
            <w:r>
              <w:rPr>
                <w:rFonts w:ascii="Carlito" w:hAnsi="Carlito" w:eastAsia="Carlito"/>
                <w:sz w:val="17"/>
              </w:rPr>
              <w:t>GeochemicalObservation</w:t>
            </w:r>
          </w:p>
        </w:tc>
        <w:tc>
          <w:tcPr>
            <w:tcW w:type="dxa" w:w="4677"/>
            <w:tcMar>
              <w:top w:w="80" w:type="dxa"/>
              <w:start w:w="100" w:type="dxa"/>
              <w:bottom w:w="80" w:type="dxa"/>
              <w:end w:w="100" w:type="dxa"/>
            </w:tcMar>
            <w:vAlign w:val="center"/>
          </w:tcPr>
          <w:p>
            <w:r>
              <w:rPr>
                <w:rFonts w:ascii="Carlito" w:hAnsi="Carlito" w:eastAsia="Carlito"/>
                <w:sz w:val="17"/>
              </w:rPr>
              <w:t>Concentración, anomalía, elemento observado</w:t>
            </w:r>
          </w:p>
        </w:tc>
      </w:tr>
      <w:tr>
        <w:trPr>
          <w:cantSplit/>
        </w:trPr>
        <w:tc>
          <w:tcPr>
            <w:tcW w:type="dxa" w:w="4677"/>
            <w:tcMar>
              <w:top w:w="80" w:type="dxa"/>
              <w:start w:w="100" w:type="dxa"/>
              <w:bottom w:w="80" w:type="dxa"/>
              <w:end w:w="100" w:type="dxa"/>
            </w:tcMar>
            <w:vAlign w:val="center"/>
          </w:tcPr>
          <w:p>
            <w:r>
              <w:rPr>
                <w:rFonts w:ascii="Carlito" w:hAnsi="Carlito" w:eastAsia="Carlito"/>
                <w:sz w:val="17"/>
              </w:rPr>
              <w:t>GeophysicalObservation</w:t>
            </w:r>
          </w:p>
        </w:tc>
        <w:tc>
          <w:tcPr>
            <w:tcW w:type="dxa" w:w="4677"/>
            <w:tcMar>
              <w:top w:w="80" w:type="dxa"/>
              <w:start w:w="100" w:type="dxa"/>
              <w:bottom w:w="80" w:type="dxa"/>
              <w:end w:w="100" w:type="dxa"/>
            </w:tcMar>
            <w:vAlign w:val="center"/>
          </w:tcPr>
          <w:p>
            <w:r>
              <w:rPr>
                <w:rFonts w:ascii="Carlito" w:hAnsi="Carlito" w:eastAsia="Carlito"/>
                <w:sz w:val="17"/>
              </w:rPr>
              <w:t>Magnetismo, gravedad, radiometría, EM</w:t>
            </w:r>
          </w:p>
        </w:tc>
      </w:tr>
      <w:tr>
        <w:trPr>
          <w:cantSplit/>
        </w:trPr>
        <w:tc>
          <w:tcPr>
            <w:tcW w:type="dxa" w:w="4677"/>
            <w:tcMar>
              <w:top w:w="80" w:type="dxa"/>
              <w:start w:w="100" w:type="dxa"/>
              <w:bottom w:w="80" w:type="dxa"/>
              <w:end w:w="100" w:type="dxa"/>
            </w:tcMar>
            <w:vAlign w:val="center"/>
          </w:tcPr>
          <w:p>
            <w:r>
              <w:rPr>
                <w:rFonts w:ascii="Carlito" w:hAnsi="Carlito" w:eastAsia="Carlito"/>
                <w:sz w:val="17"/>
              </w:rPr>
              <w:t>SpatialCell</w:t>
            </w:r>
          </w:p>
        </w:tc>
        <w:tc>
          <w:tcPr>
            <w:tcW w:type="dxa" w:w="4677"/>
            <w:tcMar>
              <w:top w:w="80" w:type="dxa"/>
              <w:start w:w="100" w:type="dxa"/>
              <w:bottom w:w="80" w:type="dxa"/>
              <w:end w:w="100" w:type="dxa"/>
            </w:tcMar>
            <w:vAlign w:val="center"/>
          </w:tcPr>
          <w:p>
            <w:r>
              <w:rPr>
                <w:rFonts w:ascii="Carlito" w:hAnsi="Carlito" w:eastAsia="Carlito"/>
                <w:sz w:val="17"/>
              </w:rPr>
              <w:t>Unidad espacial de análisis</w:t>
            </w:r>
          </w:p>
        </w:tc>
      </w:tr>
      <w:tr>
        <w:trPr>
          <w:cantSplit/>
        </w:trPr>
        <w:tc>
          <w:tcPr>
            <w:tcW w:type="dxa" w:w="4677"/>
            <w:tcMar>
              <w:top w:w="80" w:type="dxa"/>
              <w:start w:w="100" w:type="dxa"/>
              <w:bottom w:w="80" w:type="dxa"/>
              <w:end w:w="100" w:type="dxa"/>
            </w:tcMar>
            <w:vAlign w:val="center"/>
          </w:tcPr>
          <w:p>
            <w:r>
              <w:rPr>
                <w:rFonts w:ascii="Carlito" w:hAnsi="Carlito" w:eastAsia="Carlito"/>
                <w:sz w:val="17"/>
              </w:rPr>
              <w:t>DataSource</w:t>
            </w:r>
          </w:p>
        </w:tc>
        <w:tc>
          <w:tcPr>
            <w:tcW w:type="dxa" w:w="4677"/>
            <w:tcMar>
              <w:top w:w="80" w:type="dxa"/>
              <w:start w:w="100" w:type="dxa"/>
              <w:bottom w:w="80" w:type="dxa"/>
              <w:end w:w="100" w:type="dxa"/>
            </w:tcMar>
            <w:vAlign w:val="center"/>
          </w:tcPr>
          <w:p>
            <w:r>
              <w:rPr>
                <w:rFonts w:ascii="Carlito" w:hAnsi="Carlito" w:eastAsia="Carlito"/>
                <w:sz w:val="17"/>
              </w:rPr>
              <w:t>OxREP, IGME, IGN, teledetección</w:t>
            </w:r>
          </w:p>
        </w:tc>
      </w:tr>
      <w:tr>
        <w:trPr>
          <w:cantSplit/>
        </w:trPr>
        <w:tc>
          <w:tcPr>
            <w:tcW w:type="dxa" w:w="4677"/>
            <w:tcMar>
              <w:top w:w="80" w:type="dxa"/>
              <w:start w:w="100" w:type="dxa"/>
              <w:bottom w:w="80" w:type="dxa"/>
              <w:end w:w="100" w:type="dxa"/>
            </w:tcMar>
            <w:vAlign w:val="center"/>
          </w:tcPr>
          <w:p>
            <w:r>
              <w:rPr>
                <w:rFonts w:ascii="Carlito" w:hAnsi="Carlito" w:eastAsia="Carlito"/>
                <w:sz w:val="17"/>
              </w:rPr>
              <w:t>MLModel / Prediction</w:t>
            </w:r>
          </w:p>
        </w:tc>
        <w:tc>
          <w:tcPr>
            <w:tcW w:type="dxa" w:w="4677"/>
            <w:tcMar>
              <w:top w:w="80" w:type="dxa"/>
              <w:start w:w="100" w:type="dxa"/>
              <w:bottom w:w="80" w:type="dxa"/>
              <w:end w:w="100" w:type="dxa"/>
            </w:tcMar>
            <w:vAlign w:val="center"/>
          </w:tcPr>
          <w:p>
            <w:r>
              <w:rPr>
                <w:rFonts w:ascii="Carlito" w:hAnsi="Carlito" w:eastAsia="Carlito"/>
                <w:sz w:val="17"/>
              </w:rPr>
              <w:t>Modelo, versión, probabilidad, incertidumbre</w:t>
            </w:r>
          </w:p>
        </w:tc>
      </w:tr>
    </w:tbl>
    <w:p>
      <w:pPr>
        <w:pStyle w:val="Heading2"/>
      </w:pPr>
      <w:r>
        <w:t>5.2. Relaciones semánticas de ejemplo</w:t>
      </w:r>
    </w:p>
    <w:p>
      <w:pPr>
        <w:pStyle w:val="ListBullet"/>
      </w:pPr>
      <w:r>
        <w:rPr>
          <w:rFonts w:ascii="Liberation Mono" w:hAnsi="Liberation Mono"/>
          <w:sz w:val="18"/>
        </w:rPr>
        <w:t>RomanMine → exploitsCommodity → Gold</w:t>
      </w:r>
    </w:p>
    <w:p>
      <w:pPr>
        <w:pStyle w:val="ListBullet"/>
      </w:pPr>
      <w:r>
        <w:rPr>
          <w:rFonts w:ascii="Liberation Mono" w:hAnsi="Liberation Mono"/>
          <w:sz w:val="18"/>
        </w:rPr>
        <w:t>RomanMine → locatedIn → GeologicalUnit</w:t>
      </w:r>
    </w:p>
    <w:p>
      <w:pPr>
        <w:pStyle w:val="ListBullet"/>
      </w:pPr>
      <w:r>
        <w:rPr>
          <w:rFonts w:ascii="Liberation Mono" w:hAnsi="Liberation Mono"/>
          <w:sz w:val="18"/>
        </w:rPr>
        <w:t>MineralDeposit → associatedWith → Fault</w:t>
      </w:r>
    </w:p>
    <w:p>
      <w:pPr>
        <w:pStyle w:val="ListBullet"/>
      </w:pPr>
      <w:r>
        <w:rPr>
          <w:rFonts w:ascii="Liberation Mono" w:hAnsi="Liberation Mono"/>
          <w:sz w:val="18"/>
        </w:rPr>
        <w:t>GeochemicalObservation → observedProperty → Cu concentration</w:t>
      </w:r>
    </w:p>
    <w:p>
      <w:pPr>
        <w:pStyle w:val="ListBullet"/>
      </w:pPr>
      <w:r>
        <w:rPr>
          <w:rFonts w:ascii="Liberation Mono" w:hAnsi="Liberation Mono"/>
          <w:sz w:val="18"/>
        </w:rPr>
        <w:t>Observation → derivedFrom → DataSource</w:t>
      </w:r>
    </w:p>
    <w:p>
      <w:pPr>
        <w:pStyle w:val="ListBullet"/>
      </w:pPr>
      <w:r>
        <w:rPr>
          <w:rFonts w:ascii="Liberation Mono" w:hAnsi="Liberation Mono"/>
          <w:sz w:val="18"/>
        </w:rPr>
        <w:t>MLModel → usesFeature → distance_to_fault</w:t>
      </w:r>
    </w:p>
    <w:p>
      <w:pPr>
        <w:pStyle w:val="ListBullet"/>
      </w:pPr>
      <w:r>
        <w:rPr>
          <w:rFonts w:ascii="Liberation Mono" w:hAnsi="Liberation Mono"/>
          <w:sz w:val="18"/>
        </w:rPr>
        <w:t>Prediction → predictsCommodity → RareEarthElement</w:t>
      </w:r>
    </w:p>
    <w:p>
      <w:pPr>
        <w:pStyle w:val="Heading2"/>
      </w:pPr>
      <w:r>
        <w:t>5.3. Estándares reutilizables</w:t>
      </w:r>
    </w:p>
    <w:p>
      <w:r>
        <w:t>La ontología propia puede inspirarse o alinearse con estándares existentes para no reinventar conceptos ya formalizados: GeoSciML para geociencias; PROV-O para procedencia y trazabilidad; SOSA/SSN para observaciones y sensores; y QUDT para magnitudes y unidades. La integración puede ser progresiva: primero un modelo conceptual mínimo y después alineamientos formales cuando aporten valor.</w:t>
      </w:r>
    </w:p>
    <w:p>
      <w:pPr>
        <w:pStyle w:val="Heading1"/>
      </w:pPr>
      <w:r>
        <w:t>6. Arquitectura propuesta del sistema</w:t>
      </w:r>
    </w:p>
    <w:p>
      <w:r>
        <w:t>La arquitectura combina una capa de datos, una capa semántica, una capa de ingeniería geoespacial y una capa predictiva. El objetivo es que el resultado sea trazable: cada predicción debe poder relacionarse con sus datos de origen, sus variables y la versión del modelo.</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7365D"/>
            <w:tcMar>
              <w:top w:w="90" w:type="dxa"/>
              <w:start w:w="110" w:type="dxa"/>
              <w:bottom w:w="90" w:type="dxa"/>
              <w:end w:w="110" w:type="dxa"/>
            </w:tcMar>
            <w:vAlign w:val="center"/>
          </w:tcPr>
          <w:p>
            <w:r>
              <w:rPr>
                <w:rFonts w:ascii="Carlito" w:hAnsi="Carlito" w:eastAsia="Carlito"/>
                <w:b/>
                <w:color w:val="FFFFFF"/>
                <w:sz w:val="17"/>
              </w:rPr>
              <w:t>1. FUENTES DE DATOS</w:t>
            </w:r>
          </w:p>
        </w:tc>
        <w:tc>
          <w:tcPr>
            <w:tcW w:type="dxa" w:w="4677"/>
            <w:shd w:fill="EEF4F8"/>
            <w:tcMar>
              <w:top w:w="90" w:type="dxa"/>
              <w:start w:w="110" w:type="dxa"/>
              <w:bottom w:w="90" w:type="dxa"/>
              <w:end w:w="110" w:type="dxa"/>
            </w:tcMar>
            <w:vAlign w:val="center"/>
          </w:tcPr>
          <w:p>
            <w:r>
              <w:rPr>
                <w:rFonts w:ascii="Carlito" w:hAnsi="Carlito" w:eastAsia="Carlito"/>
                <w:sz w:val="18"/>
              </w:rPr>
              <w:t>OxREP · IGME · IGN · teledetección · otras fuentes</w:t>
            </w:r>
          </w:p>
        </w:tc>
      </w:tr>
    </w:tbl>
    <w:p>
      <w:pPr>
        <w:spacing w:before="0" w:after="0"/>
        <w:jc w:val="center"/>
      </w:pPr>
      <w:r>
        <w:rPr>
          <w:rFonts w:ascii="Carlito" w:hAnsi="Carlito" w:eastAsia="Carlito"/>
          <w:color w:val="5B6573"/>
          <w:sz w:val="24"/>
        </w:rPr>
        <w:t>↓</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7365D"/>
            <w:tcMar>
              <w:top w:w="90" w:type="dxa"/>
              <w:start w:w="110" w:type="dxa"/>
              <w:bottom w:w="90" w:type="dxa"/>
              <w:end w:w="110" w:type="dxa"/>
            </w:tcMar>
            <w:vAlign w:val="center"/>
          </w:tcPr>
          <w:p>
            <w:r>
              <w:rPr>
                <w:rFonts w:ascii="Carlito" w:hAnsi="Carlito" w:eastAsia="Carlito"/>
                <w:b/>
                <w:color w:val="FFFFFF"/>
                <w:sz w:val="17"/>
              </w:rPr>
              <w:t>2. ONTOLOGÍA / KNOWLEDGE GRAPH</w:t>
            </w:r>
          </w:p>
        </w:tc>
        <w:tc>
          <w:tcPr>
            <w:tcW w:type="dxa" w:w="4677"/>
            <w:shd w:fill="EEF4F8"/>
            <w:tcMar>
              <w:top w:w="90" w:type="dxa"/>
              <w:start w:w="110" w:type="dxa"/>
              <w:bottom w:w="90" w:type="dxa"/>
              <w:end w:w="110" w:type="dxa"/>
            </w:tcMar>
            <w:vAlign w:val="center"/>
          </w:tcPr>
          <w:p>
            <w:r>
              <w:rPr>
                <w:rFonts w:ascii="Carlito" w:hAnsi="Carlito" w:eastAsia="Carlito"/>
                <w:sz w:val="18"/>
              </w:rPr>
              <w:t>Entidades, relaciones, commodities, geología, procedencia</w:t>
            </w:r>
          </w:p>
        </w:tc>
      </w:tr>
    </w:tbl>
    <w:p>
      <w:pPr>
        <w:spacing w:before="0" w:after="0"/>
        <w:jc w:val="center"/>
      </w:pPr>
      <w:r>
        <w:rPr>
          <w:rFonts w:ascii="Carlito" w:hAnsi="Carlito" w:eastAsia="Carlito"/>
          <w:color w:val="5B6573"/>
          <w:sz w:val="24"/>
        </w:rPr>
        <w:t>↓</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7365D"/>
            <w:tcMar>
              <w:top w:w="90" w:type="dxa"/>
              <w:start w:w="110" w:type="dxa"/>
              <w:bottom w:w="90" w:type="dxa"/>
              <w:end w:w="110" w:type="dxa"/>
            </w:tcMar>
            <w:vAlign w:val="center"/>
          </w:tcPr>
          <w:p>
            <w:r>
              <w:rPr>
                <w:rFonts w:ascii="Carlito" w:hAnsi="Carlito" w:eastAsia="Carlito"/>
                <w:b/>
                <w:color w:val="FFFFFF"/>
                <w:sz w:val="17"/>
              </w:rPr>
              <w:t>3. CAPAS GEOESPACIALES</w:t>
            </w:r>
          </w:p>
        </w:tc>
        <w:tc>
          <w:tcPr>
            <w:tcW w:type="dxa" w:w="4677"/>
            <w:shd w:fill="EEF4F8"/>
            <w:tcMar>
              <w:top w:w="90" w:type="dxa"/>
              <w:start w:w="110" w:type="dxa"/>
              <w:bottom w:w="90" w:type="dxa"/>
              <w:end w:w="110" w:type="dxa"/>
            </w:tcMar>
            <w:vAlign w:val="center"/>
          </w:tcPr>
          <w:p>
            <w:r>
              <w:rPr>
                <w:rFonts w:ascii="Carlito" w:hAnsi="Carlito" w:eastAsia="Carlito"/>
                <w:sz w:val="18"/>
              </w:rPr>
              <w:t>Geología · geoquímica · geofísica · estructuras · DEM</w:t>
            </w:r>
          </w:p>
        </w:tc>
      </w:tr>
    </w:tbl>
    <w:p>
      <w:pPr>
        <w:spacing w:before="0" w:after="0"/>
        <w:jc w:val="center"/>
      </w:pPr>
      <w:r>
        <w:rPr>
          <w:rFonts w:ascii="Carlito" w:hAnsi="Carlito" w:eastAsia="Carlito"/>
          <w:color w:val="5B6573"/>
          <w:sz w:val="24"/>
        </w:rPr>
        <w:t>↓</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7365D"/>
            <w:tcMar>
              <w:top w:w="90" w:type="dxa"/>
              <w:start w:w="110" w:type="dxa"/>
              <w:bottom w:w="90" w:type="dxa"/>
              <w:end w:w="110" w:type="dxa"/>
            </w:tcMar>
            <w:vAlign w:val="center"/>
          </w:tcPr>
          <w:p>
            <w:r>
              <w:rPr>
                <w:rFonts w:ascii="Carlito" w:hAnsi="Carlito" w:eastAsia="Carlito"/>
                <w:b/>
                <w:color w:val="FFFFFF"/>
                <w:sz w:val="17"/>
              </w:rPr>
              <w:t>4. FEATURE ENGINEERING</w:t>
            </w:r>
          </w:p>
        </w:tc>
        <w:tc>
          <w:tcPr>
            <w:tcW w:type="dxa" w:w="4677"/>
            <w:shd w:fill="EEF4F8"/>
            <w:tcMar>
              <w:top w:w="90" w:type="dxa"/>
              <w:start w:w="110" w:type="dxa"/>
              <w:bottom w:w="90" w:type="dxa"/>
              <w:end w:w="110" w:type="dxa"/>
            </w:tcMar>
            <w:vAlign w:val="center"/>
          </w:tcPr>
          <w:p>
            <w:r>
              <w:rPr>
                <w:rFonts w:ascii="Carlito" w:hAnsi="Carlito" w:eastAsia="Carlito"/>
                <w:sz w:val="18"/>
              </w:rPr>
              <w:t>Extracción por celda/punto · distancias · densidades · anomalías · escalado</w:t>
            </w:r>
          </w:p>
        </w:tc>
      </w:tr>
    </w:tbl>
    <w:p>
      <w:pPr>
        <w:spacing w:before="0" w:after="0"/>
        <w:jc w:val="center"/>
      </w:pPr>
      <w:r>
        <w:rPr>
          <w:rFonts w:ascii="Carlito" w:hAnsi="Carlito" w:eastAsia="Carlito"/>
          <w:color w:val="5B6573"/>
          <w:sz w:val="24"/>
        </w:rPr>
        <w:t>↓</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F6D7A"/>
            <w:tcMar>
              <w:top w:w="90" w:type="dxa"/>
              <w:start w:w="110" w:type="dxa"/>
              <w:bottom w:w="90" w:type="dxa"/>
              <w:end w:w="110" w:type="dxa"/>
            </w:tcMar>
            <w:vAlign w:val="center"/>
          </w:tcPr>
          <w:p>
            <w:r>
              <w:rPr>
                <w:rFonts w:ascii="Carlito" w:hAnsi="Carlito" w:eastAsia="Carlito"/>
                <w:b/>
                <w:color w:val="FFFFFF"/>
                <w:sz w:val="17"/>
              </w:rPr>
              <w:t>5. DATASET ML</w:t>
            </w:r>
          </w:p>
        </w:tc>
        <w:tc>
          <w:tcPr>
            <w:tcW w:type="dxa" w:w="4677"/>
            <w:shd w:fill="EEF4F8"/>
            <w:tcMar>
              <w:top w:w="90" w:type="dxa"/>
              <w:start w:w="110" w:type="dxa"/>
              <w:bottom w:w="90" w:type="dxa"/>
              <w:end w:w="110" w:type="dxa"/>
            </w:tcMar>
            <w:vAlign w:val="center"/>
          </w:tcPr>
          <w:p>
            <w:r>
              <w:rPr>
                <w:rFonts w:ascii="Carlito" w:hAnsi="Carlito" w:eastAsia="Carlito"/>
                <w:sz w:val="18"/>
              </w:rPr>
              <w:t>X geocientíficas + Y histórica o Y por commodity</w:t>
            </w:r>
          </w:p>
        </w:tc>
      </w:tr>
    </w:tbl>
    <w:p>
      <w:pPr>
        <w:spacing w:before="0" w:after="0"/>
        <w:jc w:val="center"/>
      </w:pPr>
      <w:r>
        <w:rPr>
          <w:rFonts w:ascii="Carlito" w:hAnsi="Carlito" w:eastAsia="Carlito"/>
          <w:color w:val="5B6573"/>
          <w:sz w:val="24"/>
        </w:rPr>
        <w:t>↓</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F6D7A"/>
            <w:tcMar>
              <w:top w:w="90" w:type="dxa"/>
              <w:start w:w="110" w:type="dxa"/>
              <w:bottom w:w="90" w:type="dxa"/>
              <w:end w:w="110" w:type="dxa"/>
            </w:tcMar>
            <w:vAlign w:val="center"/>
          </w:tcPr>
          <w:p>
            <w:r>
              <w:rPr>
                <w:rFonts w:ascii="Carlito" w:hAnsi="Carlito" w:eastAsia="Carlito"/>
                <w:b/>
                <w:color w:val="FFFFFF"/>
                <w:sz w:val="17"/>
              </w:rPr>
              <w:t>6. MODELOS</w:t>
            </w:r>
          </w:p>
        </w:tc>
        <w:tc>
          <w:tcPr>
            <w:tcW w:type="dxa" w:w="4677"/>
            <w:shd w:fill="EEF4F8"/>
            <w:tcMar>
              <w:top w:w="90" w:type="dxa"/>
              <w:start w:w="110" w:type="dxa"/>
              <w:bottom w:w="90" w:type="dxa"/>
              <w:end w:w="110" w:type="dxa"/>
            </w:tcMar>
            <w:vAlign w:val="center"/>
          </w:tcPr>
          <w:p>
            <w:r>
              <w:rPr>
                <w:rFonts w:ascii="Carlito" w:hAnsi="Carlito" w:eastAsia="Carlito"/>
                <w:sz w:val="18"/>
              </w:rPr>
              <w:t>Random Forest baseline · comparación con otros modelos si procede</w:t>
            </w:r>
          </w:p>
        </w:tc>
      </w:tr>
    </w:tbl>
    <w:p>
      <w:pPr>
        <w:spacing w:before="0" w:after="0"/>
        <w:jc w:val="center"/>
      </w:pPr>
      <w:r>
        <w:rPr>
          <w:rFonts w:ascii="Carlito" w:hAnsi="Carlito" w:eastAsia="Carlito"/>
          <w:color w:val="5B6573"/>
          <w:sz w:val="24"/>
        </w:rPr>
        <w:t>↓</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F6D7A"/>
            <w:tcMar>
              <w:top w:w="90" w:type="dxa"/>
              <w:start w:w="110" w:type="dxa"/>
              <w:bottom w:w="90" w:type="dxa"/>
              <w:end w:w="110" w:type="dxa"/>
            </w:tcMar>
            <w:vAlign w:val="center"/>
          </w:tcPr>
          <w:p>
            <w:r>
              <w:rPr>
                <w:rFonts w:ascii="Carlito" w:hAnsi="Carlito" w:eastAsia="Carlito"/>
                <w:b/>
                <w:color w:val="FFFFFF"/>
                <w:sz w:val="17"/>
              </w:rPr>
              <w:t>7. VALIDACIÓN ESPACIAL</w:t>
            </w:r>
          </w:p>
        </w:tc>
        <w:tc>
          <w:tcPr>
            <w:tcW w:type="dxa" w:w="4677"/>
            <w:shd w:fill="EEF4F8"/>
            <w:tcMar>
              <w:top w:w="90" w:type="dxa"/>
              <w:start w:w="110" w:type="dxa"/>
              <w:bottom w:w="90" w:type="dxa"/>
              <w:end w:w="110" w:type="dxa"/>
            </w:tcMar>
            <w:vAlign w:val="center"/>
          </w:tcPr>
          <w:p>
            <w:r>
              <w:rPr>
                <w:rFonts w:ascii="Carlito" w:hAnsi="Carlito" w:eastAsia="Carlito"/>
                <w:sz w:val="18"/>
              </w:rPr>
              <w:t>Spatial CV · evaluación por región · control de leakage</w:t>
            </w:r>
          </w:p>
        </w:tc>
      </w:tr>
    </w:tbl>
    <w:p>
      <w:pPr>
        <w:spacing w:before="0" w:after="0"/>
        <w:jc w:val="center"/>
      </w:pPr>
      <w:r>
        <w:rPr>
          <w:rFonts w:ascii="Carlito" w:hAnsi="Carlito" w:eastAsia="Carlito"/>
          <w:color w:val="5B6573"/>
          <w:sz w:val="24"/>
        </w:rPr>
        <w:t>↓</w:t>
      </w:r>
    </w:p>
    <w:tbl>
      <w:tblPr>
        <w:tblW w:type="auto" w:w="0"/>
        <w:jc w:val="center"/>
        <w:tblLayout w:type="fixed"/>
        <w:tblLook w:firstColumn="1" w:firstRow="1" w:lastColumn="0" w:lastRow="0" w:noHBand="0" w:noVBand="1" w:val="04A0"/>
      </w:tblPr>
      <w:tblGrid>
        <w:gridCol w:w="2324"/>
        <w:gridCol w:w="6350"/>
      </w:tblGrid>
      <w:tr>
        <w:trPr>
          <w:cantSplit/>
        </w:trPr>
        <w:tc>
          <w:tcPr>
            <w:tcW w:type="dxa" w:w="4677"/>
            <w:shd w:fill="1F6D7A"/>
            <w:tcMar>
              <w:top w:w="90" w:type="dxa"/>
              <w:start w:w="110" w:type="dxa"/>
              <w:bottom w:w="90" w:type="dxa"/>
              <w:end w:w="110" w:type="dxa"/>
            </w:tcMar>
            <w:vAlign w:val="center"/>
          </w:tcPr>
          <w:p>
            <w:r>
              <w:rPr>
                <w:rFonts w:ascii="Carlito" w:hAnsi="Carlito" w:eastAsia="Carlito"/>
                <w:b/>
                <w:color w:val="FFFFFF"/>
                <w:sz w:val="17"/>
              </w:rPr>
              <w:t>8. SALIDA</w:t>
            </w:r>
          </w:p>
        </w:tc>
        <w:tc>
          <w:tcPr>
            <w:tcW w:type="dxa" w:w="4677"/>
            <w:shd w:fill="EEF4F8"/>
            <w:tcMar>
              <w:top w:w="90" w:type="dxa"/>
              <w:start w:w="110" w:type="dxa"/>
              <w:bottom w:w="90" w:type="dxa"/>
              <w:end w:w="110" w:type="dxa"/>
            </w:tcMar>
            <w:vAlign w:val="center"/>
          </w:tcPr>
          <w:p>
            <w:r>
              <w:rPr>
                <w:rFonts w:ascii="Carlito" w:hAnsi="Carlito" w:eastAsia="Carlito"/>
                <w:sz w:val="18"/>
              </w:rPr>
              <w:t>Mapas de prospectividad · incertidumbre · explicación · apoyo a decisión</w:t>
            </w:r>
          </w:p>
        </w:tc>
      </w:tr>
    </w:tbl>
    <w:p>
      <w:pPr>
        <w:pStyle w:val="Heading1"/>
      </w:pPr>
      <w:r>
        <w:t>7. Diseño experimental y validación</w:t>
      </w:r>
    </w:p>
    <w:p>
      <w:pPr>
        <w:pStyle w:val="Heading2"/>
      </w:pPr>
      <w:r>
        <w:t>7.1. Experimento central: ¿aporta valor la señal romana?</w:t>
      </w:r>
    </w:p>
    <w:p>
      <w:r>
        <w:t>Se propone un experimento A/B que convierta la aportación arqueológica en una hipótesis cuantificable.</w:t>
      </w:r>
    </w:p>
    <w:tbl>
      <w:tblPr>
        <w:tblStyle w:val="TableGrid"/>
        <w:tblW w:type="auto" w:w="0"/>
        <w:jc w:val="center"/>
        <w:tblLook w:firstColumn="1" w:firstRow="1" w:lastColumn="0" w:lastRow="0" w:noHBand="0" w:noVBand="1" w:val="04A0"/>
      </w:tblPr>
      <w:tblGrid>
        <w:gridCol w:w="3118"/>
        <w:gridCol w:w="3118"/>
        <w:gridCol w:w="3118"/>
      </w:tblGrid>
      <w:tr>
        <w:trPr>
          <w:cantSplit/>
        </w:trPr>
        <w:tc>
          <w:tcPr>
            <w:tcW w:type="dxa" w:w="3118"/>
            <w:shd w:fill="17365D"/>
            <w:vAlign w:val="center"/>
          </w:tcPr>
          <w:p>
            <w:r>
              <w:rPr>
                <w:rFonts w:ascii="Carlito" w:hAnsi="Carlito" w:eastAsia="Carlito"/>
                <w:b/>
                <w:color w:val="FFFFFF"/>
                <w:sz w:val="18"/>
              </w:rPr>
              <w:t>Modelo</w:t>
            </w:r>
          </w:p>
        </w:tc>
        <w:tc>
          <w:tcPr>
            <w:tcW w:type="dxa" w:w="3118"/>
            <w:shd w:fill="17365D"/>
            <w:vAlign w:val="center"/>
          </w:tcPr>
          <w:p>
            <w:r>
              <w:rPr>
                <w:rFonts w:ascii="Carlito" w:hAnsi="Carlito" w:eastAsia="Carlito"/>
                <w:b/>
                <w:color w:val="FFFFFF"/>
                <w:sz w:val="18"/>
              </w:rPr>
              <w:t>Entrada</w:t>
            </w:r>
          </w:p>
        </w:tc>
        <w:tc>
          <w:tcPr>
            <w:tcW w:type="dxa" w:w="3118"/>
            <w:shd w:fill="17365D"/>
            <w:vAlign w:val="center"/>
          </w:tcPr>
          <w:p>
            <w:r>
              <w:rPr>
                <w:rFonts w:ascii="Carlito" w:hAnsi="Carlito" w:eastAsia="Carlito"/>
                <w:b/>
                <w:color w:val="FFFFFF"/>
                <w:sz w:val="18"/>
              </w:rPr>
              <w:t>Objetivo</w:t>
            </w:r>
          </w:p>
        </w:tc>
      </w:tr>
      <w:tr>
        <w:trPr>
          <w:cantSplit/>
        </w:trPr>
        <w:tc>
          <w:tcPr>
            <w:tcW w:type="dxa" w:w="3118"/>
            <w:tcMar>
              <w:top w:w="110" w:type="dxa"/>
              <w:start w:w="110" w:type="dxa"/>
              <w:bottom w:w="110" w:type="dxa"/>
              <w:end w:w="110" w:type="dxa"/>
            </w:tcMar>
            <w:vAlign w:val="center"/>
          </w:tcPr>
          <w:p>
            <w:r>
              <w:rPr>
                <w:rFonts w:ascii="Carlito" w:hAnsi="Carlito" w:eastAsia="Carlito"/>
                <w:sz w:val="18"/>
              </w:rPr>
              <w:t>A · Base geocientífica</w:t>
            </w:r>
          </w:p>
        </w:tc>
        <w:tc>
          <w:tcPr>
            <w:tcW w:type="dxa" w:w="3118"/>
            <w:tcMar>
              <w:top w:w="110" w:type="dxa"/>
              <w:start w:w="110" w:type="dxa"/>
              <w:bottom w:w="110" w:type="dxa"/>
              <w:end w:w="110" w:type="dxa"/>
            </w:tcMar>
            <w:vAlign w:val="center"/>
          </w:tcPr>
          <w:p>
            <w:r>
              <w:rPr>
                <w:rFonts w:ascii="Carlito" w:hAnsi="Carlito" w:eastAsia="Carlito"/>
                <w:sz w:val="18"/>
              </w:rPr>
              <w:t>Xgeo</w:t>
            </w:r>
          </w:p>
        </w:tc>
        <w:tc>
          <w:tcPr>
            <w:tcW w:type="dxa" w:w="3118"/>
            <w:tcMar>
              <w:top w:w="110" w:type="dxa"/>
              <w:start w:w="110" w:type="dxa"/>
              <w:bottom w:w="110" w:type="dxa"/>
              <w:end w:w="110" w:type="dxa"/>
            </w:tcMar>
            <w:vAlign w:val="center"/>
          </w:tcPr>
          <w:p>
            <w:r>
              <w:rPr>
                <w:rFonts w:ascii="Carlito" w:hAnsi="Carlito" w:eastAsia="Carlito"/>
                <w:sz w:val="18"/>
              </w:rPr>
              <w:t>Predecir Ycommodity sin información histórica.</w:t>
            </w:r>
          </w:p>
        </w:tc>
      </w:tr>
      <w:tr>
        <w:trPr>
          <w:cantSplit/>
        </w:trPr>
        <w:tc>
          <w:tcPr>
            <w:tcW w:type="dxa" w:w="3118"/>
            <w:tcMar>
              <w:top w:w="110" w:type="dxa"/>
              <w:start w:w="110" w:type="dxa"/>
              <w:bottom w:w="110" w:type="dxa"/>
              <w:end w:w="110" w:type="dxa"/>
            </w:tcMar>
            <w:vAlign w:val="center"/>
          </w:tcPr>
          <w:p>
            <w:r>
              <w:rPr>
                <w:rFonts w:ascii="Carlito" w:hAnsi="Carlito" w:eastAsia="Carlito"/>
                <w:sz w:val="18"/>
              </w:rPr>
              <w:t>B · Base + señal romana</w:t>
            </w:r>
          </w:p>
        </w:tc>
        <w:tc>
          <w:tcPr>
            <w:tcW w:type="dxa" w:w="3118"/>
            <w:tcMar>
              <w:top w:w="110" w:type="dxa"/>
              <w:start w:w="110" w:type="dxa"/>
              <w:bottom w:w="110" w:type="dxa"/>
              <w:end w:w="110" w:type="dxa"/>
            </w:tcMar>
            <w:vAlign w:val="center"/>
          </w:tcPr>
          <w:p>
            <w:r>
              <w:rPr>
                <w:rFonts w:ascii="Carlito" w:hAnsi="Carlito" w:eastAsia="Carlito"/>
                <w:sz w:val="18"/>
              </w:rPr>
              <w:t>Xgeo + RomanSignal</w:t>
            </w:r>
          </w:p>
        </w:tc>
        <w:tc>
          <w:tcPr>
            <w:tcW w:type="dxa" w:w="3118"/>
            <w:tcMar>
              <w:top w:w="110" w:type="dxa"/>
              <w:start w:w="110" w:type="dxa"/>
              <w:bottom w:w="110" w:type="dxa"/>
              <w:end w:w="110" w:type="dxa"/>
            </w:tcMar>
            <w:vAlign w:val="center"/>
          </w:tcPr>
          <w:p>
            <w:r>
              <w:rPr>
                <w:rFonts w:ascii="Carlito" w:hAnsi="Carlito" w:eastAsia="Carlito"/>
                <w:sz w:val="18"/>
              </w:rPr>
              <w:t>Predecir Ycommodity incorporando la señal aprendida de minería romana.</w:t>
            </w:r>
          </w:p>
        </w:tc>
      </w:tr>
    </w:tbl>
    <w:p>
      <w:r>
        <w:t>Si el Modelo B obtiene un rendimiento espacialmente robusto superior al Modelo A, se obtiene evidencia de que la minería romana aporta información predictiva adicional. Si no mejora, el resultado también es científicamente valioso: indicaría que la señal histórica no añade capacidad predictiva una vez controladas las variables geocientíficas.</w:t>
      </w:r>
    </w:p>
    <w:p>
      <w:pPr>
        <w:pStyle w:val="Heading2"/>
      </w:pPr>
      <w:r>
        <w:t>7.2. Métricas y partición espacial</w:t>
      </w:r>
    </w:p>
    <w:p>
      <w:pPr>
        <w:pStyle w:val="ListBullet"/>
      </w:pPr>
      <w:r>
        <w:t>Usar spatial cross-validation o bloques espaciales; evitar train/test aleatorio como evaluación principal.</w:t>
      </w:r>
    </w:p>
    <w:p>
      <w:pPr>
        <w:pStyle w:val="ListBullet"/>
      </w:pPr>
      <w:r>
        <w:t>Priorizar PR-AUC cuando los positivos sean escasos; complementar con ROC-AUC, recall, precision y F1.</w:t>
      </w:r>
    </w:p>
    <w:p>
      <w:pPr>
        <w:pStyle w:val="ListBullet"/>
      </w:pPr>
      <w:r>
        <w:t>Evaluar calibración de probabilidades si el mapa se interpretará como score de prospectividad.</w:t>
      </w:r>
    </w:p>
    <w:p>
      <w:pPr>
        <w:pStyle w:val="ListBullet"/>
      </w:pPr>
      <w:r>
        <w:t>Reportar incertidumbre y estabilidad entre folds/regiones.</w:t>
      </w:r>
    </w:p>
    <w:p>
      <w:pPr>
        <w:pStyle w:val="ListBullet"/>
      </w:pPr>
      <w:r>
        <w:t>Controlar leakage espacial: capas derivadas de inventarios mineros no deben introducir información que reproduzca directamente Y.</w:t>
      </w:r>
    </w:p>
    <w:p>
      <w:pPr>
        <w:pStyle w:val="Heading1"/>
      </w:pPr>
      <w:r>
        <w:t>8. Datos requeridos y fuentes preliminares</w:t>
      </w:r>
    </w:p>
    <w:p>
      <w:r>
        <w:t>La base de datos OxREP ya proporciona el punto de partida arqueominero. Para el modelo español se requiere completar el stack geoespacial con capas oficiales y homogéneas. La selección final debe depender de cobertura, resolución, licencia, escala y calidad.</w:t>
      </w:r>
    </w:p>
    <w:tbl>
      <w:tblPr>
        <w:tblStyle w:val="TableGrid"/>
        <w:tblW w:type="auto" w:w="0"/>
        <w:jc w:val="center"/>
        <w:tblLook w:firstColumn="1" w:firstRow="1" w:lastColumn="0" w:lastRow="0" w:noHBand="0" w:noVBand="1" w:val="04A0"/>
      </w:tblPr>
      <w:tblGrid>
        <w:gridCol w:w="2338"/>
        <w:gridCol w:w="2338"/>
        <w:gridCol w:w="2338"/>
        <w:gridCol w:w="2338"/>
      </w:tblGrid>
      <w:tr>
        <w:trPr>
          <w:cantSplit/>
          <w:tblHeader w:val="true"/>
        </w:trPr>
        <w:tc>
          <w:tcPr>
            <w:tcW w:type="dxa" w:w="2338"/>
            <w:shd w:fill="17365D"/>
            <w:vAlign w:val="center"/>
          </w:tcPr>
          <w:p>
            <w:r>
              <w:rPr>
                <w:rFonts w:ascii="Carlito" w:hAnsi="Carlito" w:eastAsia="Carlito"/>
                <w:b/>
                <w:color w:val="FFFFFF"/>
                <w:sz w:val="16"/>
              </w:rPr>
              <w:t>Componente</w:t>
            </w:r>
          </w:p>
        </w:tc>
        <w:tc>
          <w:tcPr>
            <w:tcW w:type="dxa" w:w="2338"/>
            <w:shd w:fill="17365D"/>
            <w:vAlign w:val="center"/>
          </w:tcPr>
          <w:p>
            <w:r>
              <w:rPr>
                <w:rFonts w:ascii="Carlito" w:hAnsi="Carlito" w:eastAsia="Carlito"/>
                <w:b/>
                <w:color w:val="FFFFFF"/>
                <w:sz w:val="16"/>
              </w:rPr>
              <w:t>Uso</w:t>
            </w:r>
          </w:p>
        </w:tc>
        <w:tc>
          <w:tcPr>
            <w:tcW w:type="dxa" w:w="2338"/>
            <w:shd w:fill="17365D"/>
            <w:vAlign w:val="center"/>
          </w:tcPr>
          <w:p>
            <w:r>
              <w:rPr>
                <w:rFonts w:ascii="Carlito" w:hAnsi="Carlito" w:eastAsia="Carlito"/>
                <w:b/>
                <w:color w:val="FFFFFF"/>
                <w:sz w:val="16"/>
              </w:rPr>
              <w:t>Fuente preliminar</w:t>
            </w:r>
          </w:p>
        </w:tc>
        <w:tc>
          <w:tcPr>
            <w:tcW w:type="dxa" w:w="2338"/>
            <w:shd w:fill="17365D"/>
            <w:vAlign w:val="center"/>
          </w:tcPr>
          <w:p>
            <w:r>
              <w:rPr>
                <w:rFonts w:ascii="Carlito" w:hAnsi="Carlito" w:eastAsia="Carlito"/>
                <w:b/>
                <w:color w:val="FFFFFF"/>
                <w:sz w:val="16"/>
              </w:rPr>
              <w:t>Prioridad</w:t>
            </w:r>
          </w:p>
        </w:tc>
      </w:tr>
      <w:tr>
        <w:trPr>
          <w:cantSplit/>
        </w:trPr>
        <w:tc>
          <w:tcPr>
            <w:tcW w:type="dxa" w:w="2338"/>
            <w:tcMar>
              <w:top w:w="70" w:type="dxa"/>
              <w:start w:w="70" w:type="dxa"/>
              <w:bottom w:w="70" w:type="dxa"/>
              <w:end w:w="70" w:type="dxa"/>
            </w:tcMar>
            <w:vAlign w:val="center"/>
          </w:tcPr>
          <w:p>
            <w:r>
              <w:rPr>
                <w:rFonts w:ascii="Carlito" w:hAnsi="Carlito" w:eastAsia="Carlito"/>
                <w:sz w:val="16"/>
              </w:rPr>
              <w:t>Minería romana</w:t>
            </w:r>
          </w:p>
        </w:tc>
        <w:tc>
          <w:tcPr>
            <w:tcW w:type="dxa" w:w="2338"/>
            <w:tcMar>
              <w:top w:w="70" w:type="dxa"/>
              <w:start w:w="70" w:type="dxa"/>
              <w:bottom w:w="70" w:type="dxa"/>
              <w:end w:w="70" w:type="dxa"/>
            </w:tcMar>
            <w:vAlign w:val="center"/>
          </w:tcPr>
          <w:p>
            <w:r>
              <w:rPr>
                <w:rFonts w:ascii="Carlito" w:hAnsi="Carlito" w:eastAsia="Carlito"/>
                <w:sz w:val="16"/>
              </w:rPr>
              <w:t>Y histórica; commodity; técnicas</w:t>
            </w:r>
          </w:p>
        </w:tc>
        <w:tc>
          <w:tcPr>
            <w:tcW w:type="dxa" w:w="2338"/>
            <w:tcMar>
              <w:top w:w="70" w:type="dxa"/>
              <w:start w:w="70" w:type="dxa"/>
              <w:bottom w:w="70" w:type="dxa"/>
              <w:end w:w="70" w:type="dxa"/>
            </w:tcMar>
            <w:vAlign w:val="center"/>
          </w:tcPr>
          <w:p>
            <w:r>
              <w:rPr>
                <w:rFonts w:ascii="Carlito" w:hAnsi="Carlito" w:eastAsia="Carlito"/>
                <w:sz w:val="16"/>
              </w:rPr>
              <w:t>OxREP Mines Database</w:t>
            </w:r>
          </w:p>
        </w:tc>
        <w:tc>
          <w:tcPr>
            <w:tcW w:type="dxa" w:w="2338"/>
            <w:tcMar>
              <w:top w:w="70" w:type="dxa"/>
              <w:start w:w="70" w:type="dxa"/>
              <w:bottom w:w="70" w:type="dxa"/>
              <w:end w:w="70" w:type="dxa"/>
            </w:tcMar>
            <w:vAlign w:val="center"/>
          </w:tcPr>
          <w:p>
            <w:r>
              <w:rPr>
                <w:rFonts w:ascii="Carlito" w:hAnsi="Carlito" w:eastAsia="Carlito"/>
                <w:sz w:val="16"/>
              </w:rPr>
              <w:t>Muy alta</w:t>
            </w:r>
          </w:p>
        </w:tc>
      </w:tr>
      <w:tr>
        <w:trPr>
          <w:cantSplit/>
        </w:trPr>
        <w:tc>
          <w:tcPr>
            <w:tcW w:type="dxa" w:w="2338"/>
            <w:tcMar>
              <w:top w:w="70" w:type="dxa"/>
              <w:start w:w="70" w:type="dxa"/>
              <w:bottom w:w="70" w:type="dxa"/>
              <w:end w:w="70" w:type="dxa"/>
            </w:tcMar>
            <w:vAlign w:val="center"/>
          </w:tcPr>
          <w:p>
            <w:r>
              <w:rPr>
                <w:rFonts w:ascii="Carlito" w:hAnsi="Carlito" w:eastAsia="Carlito"/>
                <w:sz w:val="16"/>
              </w:rPr>
              <w:t>Geología</w:t>
            </w:r>
          </w:p>
        </w:tc>
        <w:tc>
          <w:tcPr>
            <w:tcW w:type="dxa" w:w="2338"/>
            <w:tcMar>
              <w:top w:w="70" w:type="dxa"/>
              <w:start w:w="70" w:type="dxa"/>
              <w:bottom w:w="70" w:type="dxa"/>
              <w:end w:w="70" w:type="dxa"/>
            </w:tcMar>
            <w:vAlign w:val="center"/>
          </w:tcPr>
          <w:p>
            <w:r>
              <w:rPr>
                <w:rFonts w:ascii="Carlito" w:hAnsi="Carlito" w:eastAsia="Carlito"/>
                <w:sz w:val="16"/>
              </w:rPr>
              <w:t>Litología, edad, contactos, intrusivos</w:t>
            </w:r>
          </w:p>
        </w:tc>
        <w:tc>
          <w:tcPr>
            <w:tcW w:type="dxa" w:w="2338"/>
            <w:tcMar>
              <w:top w:w="70" w:type="dxa"/>
              <w:start w:w="70" w:type="dxa"/>
              <w:bottom w:w="70" w:type="dxa"/>
              <w:end w:w="70" w:type="dxa"/>
            </w:tcMar>
            <w:vAlign w:val="center"/>
          </w:tcPr>
          <w:p>
            <w:r>
              <w:rPr>
                <w:rFonts w:ascii="Carlito" w:hAnsi="Carlito" w:eastAsia="Carlito"/>
                <w:sz w:val="16"/>
              </w:rPr>
              <w:t>IGME · GEODE / MAGNA</w:t>
            </w:r>
          </w:p>
        </w:tc>
        <w:tc>
          <w:tcPr>
            <w:tcW w:type="dxa" w:w="2338"/>
            <w:tcMar>
              <w:top w:w="70" w:type="dxa"/>
              <w:start w:w="70" w:type="dxa"/>
              <w:bottom w:w="70" w:type="dxa"/>
              <w:end w:w="70" w:type="dxa"/>
            </w:tcMar>
            <w:vAlign w:val="center"/>
          </w:tcPr>
          <w:p>
            <w:r>
              <w:rPr>
                <w:rFonts w:ascii="Carlito" w:hAnsi="Carlito" w:eastAsia="Carlito"/>
                <w:sz w:val="16"/>
              </w:rPr>
              <w:t>Muy alta</w:t>
            </w:r>
          </w:p>
        </w:tc>
      </w:tr>
      <w:tr>
        <w:trPr>
          <w:cantSplit/>
        </w:trPr>
        <w:tc>
          <w:tcPr>
            <w:tcW w:type="dxa" w:w="2338"/>
            <w:tcMar>
              <w:top w:w="70" w:type="dxa"/>
              <w:start w:w="70" w:type="dxa"/>
              <w:bottom w:w="70" w:type="dxa"/>
              <w:end w:w="70" w:type="dxa"/>
            </w:tcMar>
            <w:vAlign w:val="center"/>
          </w:tcPr>
          <w:p>
            <w:r>
              <w:rPr>
                <w:rFonts w:ascii="Carlito" w:hAnsi="Carlito" w:eastAsia="Carlito"/>
                <w:sz w:val="16"/>
              </w:rPr>
              <w:t>Estructuras</w:t>
            </w:r>
          </w:p>
        </w:tc>
        <w:tc>
          <w:tcPr>
            <w:tcW w:type="dxa" w:w="2338"/>
            <w:tcMar>
              <w:top w:w="70" w:type="dxa"/>
              <w:start w:w="70" w:type="dxa"/>
              <w:bottom w:w="70" w:type="dxa"/>
              <w:end w:w="70" w:type="dxa"/>
            </w:tcMar>
            <w:vAlign w:val="center"/>
          </w:tcPr>
          <w:p>
            <w:r>
              <w:rPr>
                <w:rFonts w:ascii="Carlito" w:hAnsi="Carlito" w:eastAsia="Carlito"/>
                <w:sz w:val="16"/>
              </w:rPr>
              <w:t>Fallas, contactos, lineamientos</w:t>
            </w:r>
          </w:p>
        </w:tc>
        <w:tc>
          <w:tcPr>
            <w:tcW w:type="dxa" w:w="2338"/>
            <w:tcMar>
              <w:top w:w="70" w:type="dxa"/>
              <w:start w:w="70" w:type="dxa"/>
              <w:bottom w:w="70" w:type="dxa"/>
              <w:end w:w="70" w:type="dxa"/>
            </w:tcMar>
            <w:vAlign w:val="center"/>
          </w:tcPr>
          <w:p>
            <w:r>
              <w:rPr>
                <w:rFonts w:ascii="Carlito" w:hAnsi="Carlito" w:eastAsia="Carlito"/>
                <w:sz w:val="16"/>
              </w:rPr>
              <w:t>IGME</w:t>
            </w:r>
          </w:p>
        </w:tc>
        <w:tc>
          <w:tcPr>
            <w:tcW w:type="dxa" w:w="2338"/>
            <w:tcMar>
              <w:top w:w="70" w:type="dxa"/>
              <w:start w:w="70" w:type="dxa"/>
              <w:bottom w:w="70" w:type="dxa"/>
              <w:end w:w="70" w:type="dxa"/>
            </w:tcMar>
            <w:vAlign w:val="center"/>
          </w:tcPr>
          <w:p>
            <w:r>
              <w:rPr>
                <w:rFonts w:ascii="Carlito" w:hAnsi="Carlito" w:eastAsia="Carlito"/>
                <w:sz w:val="16"/>
              </w:rPr>
              <w:t>Muy alta</w:t>
            </w:r>
          </w:p>
        </w:tc>
      </w:tr>
      <w:tr>
        <w:trPr>
          <w:cantSplit/>
        </w:trPr>
        <w:tc>
          <w:tcPr>
            <w:tcW w:type="dxa" w:w="2338"/>
            <w:tcMar>
              <w:top w:w="70" w:type="dxa"/>
              <w:start w:w="70" w:type="dxa"/>
              <w:bottom w:w="70" w:type="dxa"/>
              <w:end w:w="70" w:type="dxa"/>
            </w:tcMar>
            <w:vAlign w:val="center"/>
          </w:tcPr>
          <w:p>
            <w:r>
              <w:rPr>
                <w:rFonts w:ascii="Carlito" w:hAnsi="Carlito" w:eastAsia="Carlito"/>
                <w:sz w:val="16"/>
              </w:rPr>
              <w:t>Geoquímica</w:t>
            </w:r>
          </w:p>
        </w:tc>
        <w:tc>
          <w:tcPr>
            <w:tcW w:type="dxa" w:w="2338"/>
            <w:tcMar>
              <w:top w:w="70" w:type="dxa"/>
              <w:start w:w="70" w:type="dxa"/>
              <w:bottom w:w="70" w:type="dxa"/>
              <w:end w:w="70" w:type="dxa"/>
            </w:tcMar>
            <w:vAlign w:val="center"/>
          </w:tcPr>
          <w:p>
            <w:r>
              <w:rPr>
                <w:rFonts w:ascii="Carlito" w:hAnsi="Carlito" w:eastAsia="Carlito"/>
                <w:sz w:val="16"/>
              </w:rPr>
              <w:t>Elementos, anomalías, pathfinders</w:t>
            </w:r>
          </w:p>
        </w:tc>
        <w:tc>
          <w:tcPr>
            <w:tcW w:type="dxa" w:w="2338"/>
            <w:tcMar>
              <w:top w:w="70" w:type="dxa"/>
              <w:start w:w="70" w:type="dxa"/>
              <w:bottom w:w="70" w:type="dxa"/>
              <w:end w:w="70" w:type="dxa"/>
            </w:tcMar>
            <w:vAlign w:val="center"/>
          </w:tcPr>
          <w:p>
            <w:r>
              <w:rPr>
                <w:rFonts w:ascii="Carlito" w:hAnsi="Carlito" w:eastAsia="Carlito"/>
                <w:sz w:val="16"/>
              </w:rPr>
              <w:t>IGME</w:t>
            </w:r>
          </w:p>
        </w:tc>
        <w:tc>
          <w:tcPr>
            <w:tcW w:type="dxa" w:w="2338"/>
            <w:tcMar>
              <w:top w:w="70" w:type="dxa"/>
              <w:start w:w="70" w:type="dxa"/>
              <w:bottom w:w="70" w:type="dxa"/>
              <w:end w:w="70" w:type="dxa"/>
            </w:tcMar>
            <w:vAlign w:val="center"/>
          </w:tcPr>
          <w:p>
            <w:r>
              <w:rPr>
                <w:rFonts w:ascii="Carlito" w:hAnsi="Carlito" w:eastAsia="Carlito"/>
                <w:sz w:val="16"/>
              </w:rPr>
              <w:t>Muy alta</w:t>
            </w:r>
          </w:p>
        </w:tc>
      </w:tr>
      <w:tr>
        <w:trPr>
          <w:cantSplit/>
        </w:trPr>
        <w:tc>
          <w:tcPr>
            <w:tcW w:type="dxa" w:w="2338"/>
            <w:tcMar>
              <w:top w:w="70" w:type="dxa"/>
              <w:start w:w="70" w:type="dxa"/>
              <w:bottom w:w="70" w:type="dxa"/>
              <w:end w:w="70" w:type="dxa"/>
            </w:tcMar>
            <w:vAlign w:val="center"/>
          </w:tcPr>
          <w:p>
            <w:r>
              <w:rPr>
                <w:rFonts w:ascii="Carlito" w:hAnsi="Carlito" w:eastAsia="Carlito"/>
                <w:sz w:val="16"/>
              </w:rPr>
              <w:t>Geofísica</w:t>
            </w:r>
          </w:p>
        </w:tc>
        <w:tc>
          <w:tcPr>
            <w:tcW w:type="dxa" w:w="2338"/>
            <w:tcMar>
              <w:top w:w="70" w:type="dxa"/>
              <w:start w:w="70" w:type="dxa"/>
              <w:bottom w:w="70" w:type="dxa"/>
              <w:end w:w="70" w:type="dxa"/>
            </w:tcMar>
            <w:vAlign w:val="center"/>
          </w:tcPr>
          <w:p>
            <w:r>
              <w:rPr>
                <w:rFonts w:ascii="Carlito" w:hAnsi="Carlito" w:eastAsia="Carlito"/>
                <w:sz w:val="16"/>
              </w:rPr>
              <w:t>Magnetometría, gravedad, radiometría, EM</w:t>
            </w:r>
          </w:p>
        </w:tc>
        <w:tc>
          <w:tcPr>
            <w:tcW w:type="dxa" w:w="2338"/>
            <w:tcMar>
              <w:top w:w="70" w:type="dxa"/>
              <w:start w:w="70" w:type="dxa"/>
              <w:bottom w:w="70" w:type="dxa"/>
              <w:end w:w="70" w:type="dxa"/>
            </w:tcMar>
            <w:vAlign w:val="center"/>
          </w:tcPr>
          <w:p>
            <w:r>
              <w:rPr>
                <w:rFonts w:ascii="Carlito" w:hAnsi="Carlito" w:eastAsia="Carlito"/>
                <w:sz w:val="16"/>
              </w:rPr>
              <w:t>IGME / SIGEOF</w:t>
            </w:r>
          </w:p>
        </w:tc>
        <w:tc>
          <w:tcPr>
            <w:tcW w:type="dxa" w:w="2338"/>
            <w:tcMar>
              <w:top w:w="70" w:type="dxa"/>
              <w:start w:w="70" w:type="dxa"/>
              <w:bottom w:w="70" w:type="dxa"/>
              <w:end w:w="70" w:type="dxa"/>
            </w:tcMar>
            <w:vAlign w:val="center"/>
          </w:tcPr>
          <w:p>
            <w:r>
              <w:rPr>
                <w:rFonts w:ascii="Carlito" w:hAnsi="Carlito" w:eastAsia="Carlito"/>
                <w:sz w:val="16"/>
              </w:rPr>
              <w:t>Muy alta</w:t>
            </w:r>
          </w:p>
        </w:tc>
      </w:tr>
      <w:tr>
        <w:trPr>
          <w:cantSplit/>
        </w:trPr>
        <w:tc>
          <w:tcPr>
            <w:tcW w:type="dxa" w:w="2338"/>
            <w:tcMar>
              <w:top w:w="70" w:type="dxa"/>
              <w:start w:w="70" w:type="dxa"/>
              <w:bottom w:w="70" w:type="dxa"/>
              <w:end w:w="70" w:type="dxa"/>
            </w:tcMar>
            <w:vAlign w:val="center"/>
          </w:tcPr>
          <w:p>
            <w:r>
              <w:rPr>
                <w:rFonts w:ascii="Carlito" w:hAnsi="Carlito" w:eastAsia="Carlito"/>
                <w:sz w:val="16"/>
              </w:rPr>
              <w:t>Metalogenia</w:t>
            </w:r>
          </w:p>
        </w:tc>
        <w:tc>
          <w:tcPr>
            <w:tcW w:type="dxa" w:w="2338"/>
            <w:tcMar>
              <w:top w:w="70" w:type="dxa"/>
              <w:start w:w="70" w:type="dxa"/>
              <w:bottom w:w="70" w:type="dxa"/>
              <w:end w:w="70" w:type="dxa"/>
            </w:tcMar>
            <w:vAlign w:val="center"/>
          </w:tcPr>
          <w:p>
            <w:r>
              <w:rPr>
                <w:rFonts w:ascii="Carlito" w:hAnsi="Carlito" w:eastAsia="Carlito"/>
                <w:sz w:val="16"/>
              </w:rPr>
              <w:t>Validación y labels modernos</w:t>
            </w:r>
          </w:p>
        </w:tc>
        <w:tc>
          <w:tcPr>
            <w:tcW w:type="dxa" w:w="2338"/>
            <w:tcMar>
              <w:top w:w="70" w:type="dxa"/>
              <w:start w:w="70" w:type="dxa"/>
              <w:bottom w:w="70" w:type="dxa"/>
              <w:end w:w="70" w:type="dxa"/>
            </w:tcMar>
            <w:vAlign w:val="center"/>
          </w:tcPr>
          <w:p>
            <w:r>
              <w:rPr>
                <w:rFonts w:ascii="Carlito" w:hAnsi="Carlito" w:eastAsia="Carlito"/>
                <w:sz w:val="16"/>
              </w:rPr>
              <w:t>IGME · cartografía metalogenética / inventarios</w:t>
            </w:r>
          </w:p>
        </w:tc>
        <w:tc>
          <w:tcPr>
            <w:tcW w:type="dxa" w:w="2338"/>
            <w:tcMar>
              <w:top w:w="70" w:type="dxa"/>
              <w:start w:w="70" w:type="dxa"/>
              <w:bottom w:w="70" w:type="dxa"/>
              <w:end w:w="70" w:type="dxa"/>
            </w:tcMar>
            <w:vAlign w:val="center"/>
          </w:tcPr>
          <w:p>
            <w:r>
              <w:rPr>
                <w:rFonts w:ascii="Carlito" w:hAnsi="Carlito" w:eastAsia="Carlito"/>
                <w:sz w:val="16"/>
              </w:rPr>
              <w:t>Alta</w:t>
            </w:r>
          </w:p>
        </w:tc>
      </w:tr>
      <w:tr>
        <w:trPr>
          <w:cantSplit/>
        </w:trPr>
        <w:tc>
          <w:tcPr>
            <w:tcW w:type="dxa" w:w="2338"/>
            <w:tcMar>
              <w:top w:w="70" w:type="dxa"/>
              <w:start w:w="70" w:type="dxa"/>
              <w:bottom w:w="70" w:type="dxa"/>
              <w:end w:w="70" w:type="dxa"/>
            </w:tcMar>
            <w:vAlign w:val="center"/>
          </w:tcPr>
          <w:p>
            <w:r>
              <w:rPr>
                <w:rFonts w:ascii="Carlito" w:hAnsi="Carlito" w:eastAsia="Carlito"/>
                <w:sz w:val="16"/>
              </w:rPr>
              <w:t>DEM</w:t>
            </w:r>
          </w:p>
        </w:tc>
        <w:tc>
          <w:tcPr>
            <w:tcW w:type="dxa" w:w="2338"/>
            <w:tcMar>
              <w:top w:w="70" w:type="dxa"/>
              <w:start w:w="70" w:type="dxa"/>
              <w:bottom w:w="70" w:type="dxa"/>
              <w:end w:w="70" w:type="dxa"/>
            </w:tcMar>
            <w:vAlign w:val="center"/>
          </w:tcPr>
          <w:p>
            <w:r>
              <w:rPr>
                <w:rFonts w:ascii="Carlito" w:hAnsi="Carlito" w:eastAsia="Carlito"/>
                <w:sz w:val="16"/>
              </w:rPr>
              <w:t>Elevación y derivados</w:t>
            </w:r>
          </w:p>
        </w:tc>
        <w:tc>
          <w:tcPr>
            <w:tcW w:type="dxa" w:w="2338"/>
            <w:tcMar>
              <w:top w:w="70" w:type="dxa"/>
              <w:start w:w="70" w:type="dxa"/>
              <w:bottom w:w="70" w:type="dxa"/>
              <w:end w:w="70" w:type="dxa"/>
            </w:tcMar>
            <w:vAlign w:val="center"/>
          </w:tcPr>
          <w:p>
            <w:r>
              <w:rPr>
                <w:rFonts w:ascii="Carlito" w:hAnsi="Carlito" w:eastAsia="Carlito"/>
                <w:sz w:val="16"/>
              </w:rPr>
              <w:t>IGN</w:t>
            </w:r>
          </w:p>
        </w:tc>
        <w:tc>
          <w:tcPr>
            <w:tcW w:type="dxa" w:w="2338"/>
            <w:tcMar>
              <w:top w:w="70" w:type="dxa"/>
              <w:start w:w="70" w:type="dxa"/>
              <w:bottom w:w="70" w:type="dxa"/>
              <w:end w:w="70" w:type="dxa"/>
            </w:tcMar>
            <w:vAlign w:val="center"/>
          </w:tcPr>
          <w:p>
            <w:r>
              <w:rPr>
                <w:rFonts w:ascii="Carlito" w:hAnsi="Carlito" w:eastAsia="Carlito"/>
                <w:sz w:val="16"/>
              </w:rPr>
              <w:t>Media</w:t>
            </w:r>
          </w:p>
        </w:tc>
      </w:tr>
      <w:tr>
        <w:trPr>
          <w:cantSplit/>
        </w:trPr>
        <w:tc>
          <w:tcPr>
            <w:tcW w:type="dxa" w:w="2338"/>
            <w:tcMar>
              <w:top w:w="70" w:type="dxa"/>
              <w:start w:w="70" w:type="dxa"/>
              <w:bottom w:w="70" w:type="dxa"/>
              <w:end w:w="70" w:type="dxa"/>
            </w:tcMar>
            <w:vAlign w:val="center"/>
          </w:tcPr>
          <w:p>
            <w:r>
              <w:rPr>
                <w:rFonts w:ascii="Carlito" w:hAnsi="Carlito" w:eastAsia="Carlito"/>
                <w:sz w:val="16"/>
              </w:rPr>
              <w:t>Teledetección</w:t>
            </w:r>
          </w:p>
        </w:tc>
        <w:tc>
          <w:tcPr>
            <w:tcW w:type="dxa" w:w="2338"/>
            <w:tcMar>
              <w:top w:w="70" w:type="dxa"/>
              <w:start w:w="70" w:type="dxa"/>
              <w:bottom w:w="70" w:type="dxa"/>
              <w:end w:w="70" w:type="dxa"/>
            </w:tcMar>
            <w:vAlign w:val="center"/>
          </w:tcPr>
          <w:p>
            <w:r>
              <w:rPr>
                <w:rFonts w:ascii="Carlito" w:hAnsi="Carlito" w:eastAsia="Carlito"/>
                <w:sz w:val="16"/>
              </w:rPr>
              <w:t>Índices espectrales/alteración</w:t>
            </w:r>
          </w:p>
        </w:tc>
        <w:tc>
          <w:tcPr>
            <w:tcW w:type="dxa" w:w="2338"/>
            <w:tcMar>
              <w:top w:w="70" w:type="dxa"/>
              <w:start w:w="70" w:type="dxa"/>
              <w:bottom w:w="70" w:type="dxa"/>
              <w:end w:w="70" w:type="dxa"/>
            </w:tcMar>
            <w:vAlign w:val="center"/>
          </w:tcPr>
          <w:p>
            <w:r>
              <w:rPr>
                <w:rFonts w:ascii="Carlito" w:hAnsi="Carlito" w:eastAsia="Carlito"/>
                <w:sz w:val="16"/>
              </w:rPr>
              <w:t>Copernicus / Landsat</w:t>
            </w:r>
          </w:p>
        </w:tc>
        <w:tc>
          <w:tcPr>
            <w:tcW w:type="dxa" w:w="2338"/>
            <w:tcMar>
              <w:top w:w="70" w:type="dxa"/>
              <w:start w:w="70" w:type="dxa"/>
              <w:bottom w:w="70" w:type="dxa"/>
              <w:end w:w="70" w:type="dxa"/>
            </w:tcMar>
            <w:vAlign w:val="center"/>
          </w:tcPr>
          <w:p>
            <w:r>
              <w:rPr>
                <w:rFonts w:ascii="Carlito" w:hAnsi="Carlito" w:eastAsia="Carlito"/>
                <w:sz w:val="16"/>
              </w:rPr>
              <w:t>Media</w:t>
            </w:r>
          </w:p>
        </w:tc>
      </w:tr>
      <w:tr>
        <w:trPr>
          <w:cantSplit/>
        </w:trPr>
        <w:tc>
          <w:tcPr>
            <w:tcW w:type="dxa" w:w="2338"/>
            <w:tcMar>
              <w:top w:w="70" w:type="dxa"/>
              <w:start w:w="70" w:type="dxa"/>
              <w:bottom w:w="70" w:type="dxa"/>
              <w:end w:w="70" w:type="dxa"/>
            </w:tcMar>
            <w:vAlign w:val="center"/>
          </w:tcPr>
          <w:p>
            <w:r>
              <w:rPr>
                <w:rFonts w:ascii="Carlito" w:hAnsi="Carlito" w:eastAsia="Carlito"/>
                <w:sz w:val="16"/>
              </w:rPr>
              <w:t>Ocurrencias críticas</w:t>
            </w:r>
          </w:p>
        </w:tc>
        <w:tc>
          <w:tcPr>
            <w:tcW w:type="dxa" w:w="2338"/>
            <w:tcMar>
              <w:top w:w="70" w:type="dxa"/>
              <w:start w:w="70" w:type="dxa"/>
              <w:bottom w:w="70" w:type="dxa"/>
              <w:end w:w="70" w:type="dxa"/>
            </w:tcMar>
            <w:vAlign w:val="center"/>
          </w:tcPr>
          <w:p>
            <w:r>
              <w:rPr>
                <w:rFonts w:ascii="Carlito" w:hAnsi="Carlito" w:eastAsia="Carlito"/>
                <w:sz w:val="16"/>
              </w:rPr>
              <w:t>Y para REE, Li, W, etc.</w:t>
            </w:r>
          </w:p>
        </w:tc>
        <w:tc>
          <w:tcPr>
            <w:tcW w:type="dxa" w:w="2338"/>
            <w:tcMar>
              <w:top w:w="70" w:type="dxa"/>
              <w:start w:w="70" w:type="dxa"/>
              <w:bottom w:w="70" w:type="dxa"/>
              <w:end w:w="70" w:type="dxa"/>
            </w:tcMar>
            <w:vAlign w:val="center"/>
          </w:tcPr>
          <w:p>
            <w:r>
              <w:rPr>
                <w:rFonts w:ascii="Carlito" w:hAnsi="Carlito" w:eastAsia="Carlito"/>
                <w:sz w:val="16"/>
              </w:rPr>
              <w:t>IGME y fuentes especializadas</w:t>
            </w:r>
          </w:p>
        </w:tc>
        <w:tc>
          <w:tcPr>
            <w:tcW w:type="dxa" w:w="2338"/>
            <w:tcMar>
              <w:top w:w="70" w:type="dxa"/>
              <w:start w:w="70" w:type="dxa"/>
              <w:bottom w:w="70" w:type="dxa"/>
              <w:end w:w="70" w:type="dxa"/>
            </w:tcMar>
            <w:vAlign w:val="center"/>
          </w:tcPr>
          <w:p>
            <w:r>
              <w:rPr>
                <w:rFonts w:ascii="Carlito" w:hAnsi="Carlito" w:eastAsia="Carlito"/>
                <w:sz w:val="16"/>
              </w:rPr>
              <w:t>Muy alta</w:t>
            </w:r>
          </w:p>
        </w:tc>
      </w:tr>
    </w:tbl>
    <w:p>
      <w:pPr>
        <w:pStyle w:val="Heading1"/>
      </w:pPr>
      <w:r>
        <w:t>9. Riesgos metodológicos y mitigaciones</w:t>
      </w:r>
    </w:p>
    <w:tbl>
      <w:tblPr>
        <w:tblStyle w:val="TableGrid"/>
        <w:tblW w:type="auto" w:w="0"/>
        <w:jc w:val="center"/>
        <w:tblLook w:firstColumn="1" w:firstRow="1" w:lastColumn="0" w:lastRow="0" w:noHBand="0" w:noVBand="1" w:val="04A0"/>
      </w:tblPr>
      <w:tblGrid>
        <w:gridCol w:w="3118"/>
        <w:gridCol w:w="3118"/>
        <w:gridCol w:w="3118"/>
      </w:tblGrid>
      <w:tr>
        <w:trPr>
          <w:cantSplit/>
          <w:tblHeader w:val="true"/>
        </w:trPr>
        <w:tc>
          <w:tcPr>
            <w:tcW w:type="dxa" w:w="3118"/>
            <w:shd w:fill="8A3C3C"/>
            <w:vAlign w:val="center"/>
          </w:tcPr>
          <w:p>
            <w:r>
              <w:rPr>
                <w:rFonts w:ascii="Carlito" w:hAnsi="Carlito" w:eastAsia="Carlito"/>
                <w:b/>
                <w:color w:val="FFFFFF"/>
                <w:sz w:val="15"/>
              </w:rPr>
              <w:t>Riesgo</w:t>
            </w:r>
          </w:p>
        </w:tc>
        <w:tc>
          <w:tcPr>
            <w:tcW w:type="dxa" w:w="3118"/>
            <w:shd w:fill="8A3C3C"/>
            <w:vAlign w:val="center"/>
          </w:tcPr>
          <w:p>
            <w:r>
              <w:rPr>
                <w:rFonts w:ascii="Carlito" w:hAnsi="Carlito" w:eastAsia="Carlito"/>
                <w:b/>
                <w:color w:val="FFFFFF"/>
                <w:sz w:val="15"/>
              </w:rPr>
              <w:t>Impacto</w:t>
            </w:r>
          </w:p>
        </w:tc>
        <w:tc>
          <w:tcPr>
            <w:tcW w:type="dxa" w:w="3118"/>
            <w:shd w:fill="8A3C3C"/>
            <w:vAlign w:val="center"/>
          </w:tcPr>
          <w:p>
            <w:r>
              <w:rPr>
                <w:rFonts w:ascii="Carlito" w:hAnsi="Carlito" w:eastAsia="Carlito"/>
                <w:b/>
                <w:color w:val="FFFFFF"/>
                <w:sz w:val="15"/>
              </w:rPr>
              <w:t>Mitigación propuesta</w:t>
            </w:r>
          </w:p>
        </w:tc>
      </w:tr>
      <w:tr>
        <w:trPr>
          <w:cantSplit/>
        </w:trPr>
        <w:tc>
          <w:tcPr>
            <w:tcW w:type="dxa" w:w="3118"/>
            <w:tcMar>
              <w:top w:w="70" w:type="dxa"/>
              <w:start w:w="80" w:type="dxa"/>
              <w:bottom w:w="70" w:type="dxa"/>
              <w:end w:w="80" w:type="dxa"/>
            </w:tcMar>
            <w:vAlign w:val="center"/>
          </w:tcPr>
          <w:p>
            <w:r>
              <w:rPr>
                <w:rFonts w:ascii="Carlito" w:hAnsi="Carlito" w:eastAsia="Carlito"/>
                <w:sz w:val="15"/>
              </w:rPr>
              <w:t>Ausencia ≠ negativo real</w:t>
            </w:r>
          </w:p>
        </w:tc>
        <w:tc>
          <w:tcPr>
            <w:tcW w:type="dxa" w:w="3118"/>
            <w:tcMar>
              <w:top w:w="70" w:type="dxa"/>
              <w:start w:w="80" w:type="dxa"/>
              <w:bottom w:w="70" w:type="dxa"/>
              <w:end w:w="80" w:type="dxa"/>
            </w:tcMar>
            <w:vAlign w:val="center"/>
          </w:tcPr>
          <w:p>
            <w:r>
              <w:rPr>
                <w:rFonts w:ascii="Carlito" w:hAnsi="Carlito" w:eastAsia="Carlito"/>
                <w:sz w:val="15"/>
              </w:rPr>
              <w:t>Etiquetas 0 ruidosas y sesgo</w:t>
            </w:r>
          </w:p>
        </w:tc>
        <w:tc>
          <w:tcPr>
            <w:tcW w:type="dxa" w:w="3118"/>
            <w:tcMar>
              <w:top w:w="70" w:type="dxa"/>
              <w:start w:w="80" w:type="dxa"/>
              <w:bottom w:w="70" w:type="dxa"/>
              <w:end w:w="80" w:type="dxa"/>
            </w:tcMar>
            <w:vAlign w:val="center"/>
          </w:tcPr>
          <w:p>
            <w:r>
              <w:rPr>
                <w:rFonts w:ascii="Carlito" w:hAnsi="Carlito" w:eastAsia="Carlito"/>
                <w:sz w:val="15"/>
              </w:rPr>
              <w:t>Presence-background / PU; pseudo-ausencias controladas; sensibilidad.</w:t>
            </w:r>
          </w:p>
        </w:tc>
      </w:tr>
      <w:tr>
        <w:trPr>
          <w:cantSplit/>
        </w:trPr>
        <w:tc>
          <w:tcPr>
            <w:tcW w:type="dxa" w:w="3118"/>
            <w:tcMar>
              <w:top w:w="70" w:type="dxa"/>
              <w:start w:w="80" w:type="dxa"/>
              <w:bottom w:w="70" w:type="dxa"/>
              <w:end w:w="80" w:type="dxa"/>
            </w:tcMar>
            <w:vAlign w:val="center"/>
          </w:tcPr>
          <w:p>
            <w:r>
              <w:rPr>
                <w:rFonts w:ascii="Carlito" w:hAnsi="Carlito" w:eastAsia="Carlito"/>
                <w:sz w:val="15"/>
              </w:rPr>
              <w:t>Sesgo arqueológico y de accesibilidad</w:t>
            </w:r>
          </w:p>
        </w:tc>
        <w:tc>
          <w:tcPr>
            <w:tcW w:type="dxa" w:w="3118"/>
            <w:tcMar>
              <w:top w:w="70" w:type="dxa"/>
              <w:start w:w="80" w:type="dxa"/>
              <w:bottom w:w="70" w:type="dxa"/>
              <w:end w:w="80" w:type="dxa"/>
            </w:tcMar>
            <w:vAlign w:val="center"/>
          </w:tcPr>
          <w:p>
            <w:r>
              <w:rPr>
                <w:rFonts w:ascii="Carlito" w:hAnsi="Carlito" w:eastAsia="Carlito"/>
                <w:sz w:val="15"/>
              </w:rPr>
              <w:t>El modelo aprende dónde buscaron los romanos, no solo geología</w:t>
            </w:r>
          </w:p>
        </w:tc>
        <w:tc>
          <w:tcPr>
            <w:tcW w:type="dxa" w:w="3118"/>
            <w:tcMar>
              <w:top w:w="70" w:type="dxa"/>
              <w:start w:w="80" w:type="dxa"/>
              <w:bottom w:w="70" w:type="dxa"/>
              <w:end w:w="80" w:type="dxa"/>
            </w:tcMar>
            <w:vAlign w:val="center"/>
          </w:tcPr>
          <w:p>
            <w:r>
              <w:rPr>
                <w:rFonts w:ascii="Carlito" w:hAnsi="Carlito" w:eastAsia="Carlito"/>
                <w:sz w:val="15"/>
              </w:rPr>
              <w:t>Variables de sesgo; análisis de accesibilidad; validación independiente.</w:t>
            </w:r>
          </w:p>
        </w:tc>
      </w:tr>
      <w:tr>
        <w:trPr>
          <w:cantSplit/>
        </w:trPr>
        <w:tc>
          <w:tcPr>
            <w:tcW w:type="dxa" w:w="3118"/>
            <w:tcMar>
              <w:top w:w="70" w:type="dxa"/>
              <w:start w:w="80" w:type="dxa"/>
              <w:bottom w:w="70" w:type="dxa"/>
              <w:end w:w="80" w:type="dxa"/>
            </w:tcMar>
            <w:vAlign w:val="center"/>
          </w:tcPr>
          <w:p>
            <w:r>
              <w:rPr>
                <w:rFonts w:ascii="Carlito" w:hAnsi="Carlito" w:eastAsia="Carlito"/>
                <w:sz w:val="15"/>
              </w:rPr>
              <w:t>Autocorrelación espacial</w:t>
            </w:r>
          </w:p>
        </w:tc>
        <w:tc>
          <w:tcPr>
            <w:tcW w:type="dxa" w:w="3118"/>
            <w:tcMar>
              <w:top w:w="70" w:type="dxa"/>
              <w:start w:w="80" w:type="dxa"/>
              <w:bottom w:w="70" w:type="dxa"/>
              <w:end w:w="80" w:type="dxa"/>
            </w:tcMar>
            <w:vAlign w:val="center"/>
          </w:tcPr>
          <w:p>
            <w:r>
              <w:rPr>
                <w:rFonts w:ascii="Carlito" w:hAnsi="Carlito" w:eastAsia="Carlito"/>
                <w:sz w:val="15"/>
              </w:rPr>
              <w:t>Métricas artificialmente altas</w:t>
            </w:r>
          </w:p>
        </w:tc>
        <w:tc>
          <w:tcPr>
            <w:tcW w:type="dxa" w:w="3118"/>
            <w:tcMar>
              <w:top w:w="70" w:type="dxa"/>
              <w:start w:w="80" w:type="dxa"/>
              <w:bottom w:w="70" w:type="dxa"/>
              <w:end w:w="80" w:type="dxa"/>
            </w:tcMar>
            <w:vAlign w:val="center"/>
          </w:tcPr>
          <w:p>
            <w:r>
              <w:rPr>
                <w:rFonts w:ascii="Carlito" w:hAnsi="Carlito" w:eastAsia="Carlito"/>
                <w:sz w:val="15"/>
              </w:rPr>
              <w:t>Spatial CV y separación geográfica estricta.</w:t>
            </w:r>
          </w:p>
        </w:tc>
      </w:tr>
      <w:tr>
        <w:trPr>
          <w:cantSplit/>
        </w:trPr>
        <w:tc>
          <w:tcPr>
            <w:tcW w:type="dxa" w:w="3118"/>
            <w:tcMar>
              <w:top w:w="70" w:type="dxa"/>
              <w:start w:w="80" w:type="dxa"/>
              <w:bottom w:w="70" w:type="dxa"/>
              <w:end w:w="80" w:type="dxa"/>
            </w:tcMar>
            <w:vAlign w:val="center"/>
          </w:tcPr>
          <w:p>
            <w:r>
              <w:rPr>
                <w:rFonts w:ascii="Carlito" w:hAnsi="Carlito" w:eastAsia="Carlito"/>
                <w:sz w:val="15"/>
              </w:rPr>
              <w:t>Leakage metalogenético</w:t>
            </w:r>
          </w:p>
        </w:tc>
        <w:tc>
          <w:tcPr>
            <w:tcW w:type="dxa" w:w="3118"/>
            <w:tcMar>
              <w:top w:w="70" w:type="dxa"/>
              <w:start w:w="80" w:type="dxa"/>
              <w:bottom w:w="70" w:type="dxa"/>
              <w:end w:w="80" w:type="dxa"/>
            </w:tcMar>
            <w:vAlign w:val="center"/>
          </w:tcPr>
          <w:p>
            <w:r>
              <w:rPr>
                <w:rFonts w:ascii="Carlito" w:hAnsi="Carlito" w:eastAsia="Carlito"/>
                <w:sz w:val="15"/>
              </w:rPr>
              <w:t>El predictor contiene conocimiento equivalente a Y</w:t>
            </w:r>
          </w:p>
        </w:tc>
        <w:tc>
          <w:tcPr>
            <w:tcW w:type="dxa" w:w="3118"/>
            <w:tcMar>
              <w:top w:w="70" w:type="dxa"/>
              <w:start w:w="80" w:type="dxa"/>
              <w:bottom w:w="70" w:type="dxa"/>
              <w:end w:w="80" w:type="dxa"/>
            </w:tcMar>
            <w:vAlign w:val="center"/>
          </w:tcPr>
          <w:p>
            <w:r>
              <w:rPr>
                <w:rFonts w:ascii="Carlito" w:hAnsi="Carlito" w:eastAsia="Carlito"/>
                <w:sz w:val="15"/>
              </w:rPr>
              <w:t>Reservar inventarios para validación o construir variables sin etiquetas directas.</w:t>
            </w:r>
          </w:p>
        </w:tc>
      </w:tr>
      <w:tr>
        <w:trPr>
          <w:cantSplit/>
        </w:trPr>
        <w:tc>
          <w:tcPr>
            <w:tcW w:type="dxa" w:w="3118"/>
            <w:tcMar>
              <w:top w:w="70" w:type="dxa"/>
              <w:start w:w="80" w:type="dxa"/>
              <w:bottom w:w="70" w:type="dxa"/>
              <w:end w:w="80" w:type="dxa"/>
            </w:tcMar>
            <w:vAlign w:val="center"/>
          </w:tcPr>
          <w:p>
            <w:r>
              <w:rPr>
                <w:rFonts w:ascii="Carlito" w:hAnsi="Carlito" w:eastAsia="Carlito"/>
                <w:sz w:val="15"/>
              </w:rPr>
              <w:t>Heterogeneidad geológica de España</w:t>
            </w:r>
          </w:p>
        </w:tc>
        <w:tc>
          <w:tcPr>
            <w:tcW w:type="dxa" w:w="3118"/>
            <w:tcMar>
              <w:top w:w="70" w:type="dxa"/>
              <w:start w:w="80" w:type="dxa"/>
              <w:bottom w:w="70" w:type="dxa"/>
              <w:end w:w="80" w:type="dxa"/>
            </w:tcMar>
            <w:vAlign w:val="center"/>
          </w:tcPr>
          <w:p>
            <w:r>
              <w:rPr>
                <w:rFonts w:ascii="Carlito" w:hAnsi="Carlito" w:eastAsia="Carlito"/>
                <w:sz w:val="15"/>
              </w:rPr>
              <w:t>Un único modelo nacional puede mezclar dominios incompatibles</w:t>
            </w:r>
          </w:p>
        </w:tc>
        <w:tc>
          <w:tcPr>
            <w:tcW w:type="dxa" w:w="3118"/>
            <w:tcMar>
              <w:top w:w="70" w:type="dxa"/>
              <w:start w:w="80" w:type="dxa"/>
              <w:bottom w:w="70" w:type="dxa"/>
              <w:end w:w="80" w:type="dxa"/>
            </w:tcMar>
            <w:vAlign w:val="center"/>
          </w:tcPr>
          <w:p>
            <w:r>
              <w:rPr>
                <w:rFonts w:ascii="Carlito" w:hAnsi="Carlito" w:eastAsia="Carlito"/>
                <w:sz w:val="15"/>
              </w:rPr>
              <w:t>Modelos regionales o variable de dominio metalogenético; análisis jerárquico.</w:t>
            </w:r>
          </w:p>
        </w:tc>
      </w:tr>
      <w:tr>
        <w:trPr>
          <w:cantSplit/>
        </w:trPr>
        <w:tc>
          <w:tcPr>
            <w:tcW w:type="dxa" w:w="3118"/>
            <w:tcMar>
              <w:top w:w="70" w:type="dxa"/>
              <w:start w:w="80" w:type="dxa"/>
              <w:bottom w:w="70" w:type="dxa"/>
              <w:end w:w="80" w:type="dxa"/>
            </w:tcMar>
            <w:vAlign w:val="center"/>
          </w:tcPr>
          <w:p>
            <w:r>
              <w:rPr>
                <w:rFonts w:ascii="Carlito" w:hAnsi="Carlito" w:eastAsia="Carlito"/>
                <w:sz w:val="15"/>
              </w:rPr>
              <w:t>Pocos positivos por commodity</w:t>
            </w:r>
          </w:p>
        </w:tc>
        <w:tc>
          <w:tcPr>
            <w:tcW w:type="dxa" w:w="3118"/>
            <w:tcMar>
              <w:top w:w="70" w:type="dxa"/>
              <w:start w:w="80" w:type="dxa"/>
              <w:bottom w:w="70" w:type="dxa"/>
              <w:end w:w="80" w:type="dxa"/>
            </w:tcMar>
            <w:vAlign w:val="center"/>
          </w:tcPr>
          <w:p>
            <w:r>
              <w:rPr>
                <w:rFonts w:ascii="Carlito" w:hAnsi="Carlito" w:eastAsia="Carlito"/>
                <w:sz w:val="15"/>
              </w:rPr>
              <w:t>Sobreajuste e inestabilidad</w:t>
            </w:r>
          </w:p>
        </w:tc>
        <w:tc>
          <w:tcPr>
            <w:tcW w:type="dxa" w:w="3118"/>
            <w:tcMar>
              <w:top w:w="70" w:type="dxa"/>
              <w:start w:w="80" w:type="dxa"/>
              <w:bottom w:w="70" w:type="dxa"/>
              <w:end w:w="80" w:type="dxa"/>
            </w:tcMar>
            <w:vAlign w:val="center"/>
          </w:tcPr>
          <w:p>
            <w:r>
              <w:rPr>
                <w:rFonts w:ascii="Carlito" w:hAnsi="Carlito" w:eastAsia="Carlito"/>
                <w:sz w:val="15"/>
              </w:rPr>
              <w:t>Reducir número de commodities; agrupar sistemas justificadamente; class weights.</w:t>
            </w:r>
          </w:p>
        </w:tc>
      </w:tr>
      <w:tr>
        <w:trPr>
          <w:cantSplit/>
        </w:trPr>
        <w:tc>
          <w:tcPr>
            <w:tcW w:type="dxa" w:w="3118"/>
            <w:tcMar>
              <w:top w:w="70" w:type="dxa"/>
              <w:start w:w="80" w:type="dxa"/>
              <w:bottom w:w="70" w:type="dxa"/>
              <w:end w:w="80" w:type="dxa"/>
            </w:tcMar>
            <w:vAlign w:val="center"/>
          </w:tcPr>
          <w:p>
            <w:r>
              <w:rPr>
                <w:rFonts w:ascii="Carlito" w:hAnsi="Carlito" w:eastAsia="Carlito"/>
                <w:sz w:val="15"/>
              </w:rPr>
              <w:t>Transferencia injustificada a REE</w:t>
            </w:r>
          </w:p>
        </w:tc>
        <w:tc>
          <w:tcPr>
            <w:tcW w:type="dxa" w:w="3118"/>
            <w:tcMar>
              <w:top w:w="70" w:type="dxa"/>
              <w:start w:w="80" w:type="dxa"/>
              <w:bottom w:w="70" w:type="dxa"/>
              <w:end w:w="80" w:type="dxa"/>
            </w:tcMar>
            <w:vAlign w:val="center"/>
          </w:tcPr>
          <w:p>
            <w:r>
              <w:rPr>
                <w:rFonts w:ascii="Carlito" w:hAnsi="Carlito" w:eastAsia="Carlito"/>
                <w:sz w:val="15"/>
              </w:rPr>
              <w:t>Conclusiones causales débiles</w:t>
            </w:r>
          </w:p>
        </w:tc>
        <w:tc>
          <w:tcPr>
            <w:tcW w:type="dxa" w:w="3118"/>
            <w:tcMar>
              <w:top w:w="70" w:type="dxa"/>
              <w:start w:w="80" w:type="dxa"/>
              <w:bottom w:w="70" w:type="dxa"/>
              <w:end w:w="80" w:type="dxa"/>
            </w:tcMar>
            <w:vAlign w:val="center"/>
          </w:tcPr>
          <w:p>
            <w:r>
              <w:rPr>
                <w:rFonts w:ascii="Carlito" w:hAnsi="Carlito" w:eastAsia="Carlito"/>
                <w:sz w:val="15"/>
              </w:rPr>
              <w:t>Labels modernos específicos y evaluación A/B de la señal romana.</w:t>
            </w:r>
          </w:p>
        </w:tc>
      </w:tr>
      <w:tr>
        <w:trPr>
          <w:cantSplit/>
        </w:trPr>
        <w:tc>
          <w:tcPr>
            <w:tcW w:type="dxa" w:w="3118"/>
            <w:tcMar>
              <w:top w:w="70" w:type="dxa"/>
              <w:start w:w="80" w:type="dxa"/>
              <w:bottom w:w="70" w:type="dxa"/>
              <w:end w:w="80" w:type="dxa"/>
            </w:tcMar>
            <w:vAlign w:val="center"/>
          </w:tcPr>
          <w:p>
            <w:r>
              <w:rPr>
                <w:rFonts w:ascii="Carlito" w:hAnsi="Carlito" w:eastAsia="Carlito"/>
                <w:sz w:val="15"/>
              </w:rPr>
              <w:t>Resoluciones y escalas diferentes</w:t>
            </w:r>
          </w:p>
        </w:tc>
        <w:tc>
          <w:tcPr>
            <w:tcW w:type="dxa" w:w="3118"/>
            <w:tcMar>
              <w:top w:w="70" w:type="dxa"/>
              <w:start w:w="80" w:type="dxa"/>
              <w:bottom w:w="70" w:type="dxa"/>
              <w:end w:w="80" w:type="dxa"/>
            </w:tcMar>
            <w:vAlign w:val="center"/>
          </w:tcPr>
          <w:p>
            <w:r>
              <w:rPr>
                <w:rFonts w:ascii="Carlito" w:hAnsi="Carlito" w:eastAsia="Carlito"/>
                <w:sz w:val="15"/>
              </w:rPr>
              <w:t>Errores de alineación</w:t>
            </w:r>
          </w:p>
        </w:tc>
        <w:tc>
          <w:tcPr>
            <w:tcW w:type="dxa" w:w="3118"/>
            <w:tcMar>
              <w:top w:w="70" w:type="dxa"/>
              <w:start w:w="80" w:type="dxa"/>
              <w:bottom w:w="70" w:type="dxa"/>
              <w:end w:w="80" w:type="dxa"/>
            </w:tcMar>
            <w:vAlign w:val="center"/>
          </w:tcPr>
          <w:p>
            <w:r>
              <w:rPr>
                <w:rFonts w:ascii="Carlito" w:hAnsi="Carlito" w:eastAsia="Carlito"/>
                <w:sz w:val="15"/>
              </w:rPr>
              <w:t>Grid común, CRS común, control de resampling y trazabilidad.</w:t>
            </w:r>
          </w:p>
        </w:tc>
      </w:tr>
    </w:tbl>
    <w:p>
      <w:pPr>
        <w:pStyle w:val="Heading1"/>
      </w:pPr>
      <w:r>
        <w:t>10. Resultados esperados y propuesta para el profesor</w:t>
      </w:r>
    </w:p>
    <w:p>
      <w:pPr>
        <w:pStyle w:val="Heading2"/>
      </w:pPr>
      <w:r>
        <w:t>10.1. Resultados esperados</w:t>
      </w:r>
    </w:p>
    <w:p>
      <w:pPr>
        <w:pStyle w:val="ListBullet"/>
      </w:pPr>
      <w:r>
        <w:t>Base geoespacial armonizada de evidencias arqueomineras y variables geocientíficas.</w:t>
      </w:r>
    </w:p>
    <w:p>
      <w:pPr>
        <w:pStyle w:val="ListBullet"/>
      </w:pPr>
      <w:r>
        <w:t>Ontología mínima del dominio y, opcionalmente, grafo de conocimiento trazable.</w:t>
      </w:r>
    </w:p>
    <w:p>
      <w:pPr>
        <w:pStyle w:val="ListBullet"/>
      </w:pPr>
      <w:r>
        <w:t>Modelo histórico de firma mineral romana y modelos específicos por commodity cuando existan labels suficientes.</w:t>
      </w:r>
    </w:p>
    <w:p>
      <w:pPr>
        <w:pStyle w:val="ListBullet"/>
      </w:pPr>
      <w:r>
        <w:t>Mapas de prospectividad mineral con validación espacial e incertidumbre.</w:t>
      </w:r>
    </w:p>
    <w:p>
      <w:pPr>
        <w:pStyle w:val="ListBullet"/>
      </w:pPr>
      <w:r>
        <w:t>Experimento cuantitativo que determine si RomanSignal mejora la predicción moderna.</w:t>
      </w:r>
    </w:p>
    <w:p>
      <w:pPr>
        <w:pStyle w:val="ListBullet"/>
      </w:pPr>
      <w:r>
        <w:t>Propuesta de sistema de apoyo a la decisión para priorizar áreas de investigación, no para afirmar reservas explotables.</w:t>
      </w:r>
    </w:p>
    <w:p>
      <w:pPr>
        <w:pStyle w:val="Heading2"/>
      </w:pPr>
      <w:r>
        <w:t>10.2. Formulación breve para presentar la idea</w:t>
      </w:r>
    </w:p>
    <w:tbl>
      <w:tblPr>
        <w:tblW w:type="auto" w:w="0"/>
        <w:tblLook w:firstColumn="1" w:firstRow="1" w:lastColumn="0" w:lastRow="0" w:noHBand="0" w:noVBand="1" w:val="04A0"/>
      </w:tblPr>
      <w:tblGrid>
        <w:gridCol w:w="9354"/>
      </w:tblGrid>
      <w:tr>
        <w:trPr>
          <w:cantSplit/>
        </w:trPr>
        <w:tc>
          <w:tcPr>
            <w:tcW w:type="dxa" w:w="9354"/>
            <w:shd w:fill="E9F2EC"/>
            <w:tcMar>
              <w:top w:w="220" w:type="dxa"/>
              <w:start w:w="250" w:type="dxa"/>
              <w:bottom w:w="220" w:type="dxa"/>
              <w:end w:w="250" w:type="dxa"/>
            </w:tcMar>
            <w:vAlign w:val="center"/>
          </w:tcPr>
          <w:p>
            <w:r>
              <w:rPr>
                <w:rFonts w:ascii="Carlito" w:hAnsi="Carlito" w:eastAsia="Carlito"/>
                <w:color w:val="2E5E4E"/>
                <w:sz w:val="32"/>
              </w:rPr>
              <w:t>“</w:t>
            </w:r>
            <w:r>
              <w:rPr>
                <w:rFonts w:ascii="Carlito" w:hAnsi="Carlito" w:eastAsia="Carlito"/>
                <w:b/>
                <w:sz w:val="22"/>
              </w:rPr>
              <w:t>La minería romana no se utilizará simplemente como una capa histórica adicional, sino como una fuente de evidencias positivas sobre sistemas mineralizantes conocidos. El modelo aprenderá las relaciones entre dichas evidencias y las características geológicas del territorio. Posteriormente, este conocimiento se contrastará e integrará con depósitos e indicios modernos para generar modelos específicos de prospectividad de materias primas minerales de interés económico, crítico y estratégico.</w:t>
            </w:r>
            <w:r>
              <w:rPr>
                <w:rFonts w:ascii="Carlito" w:hAnsi="Carlito" w:eastAsia="Carlito"/>
                <w:color w:val="2E5E4E"/>
                <w:sz w:val="32"/>
              </w:rPr>
              <w:t>”</w:t>
            </w:r>
          </w:p>
        </w:tc>
      </w:tr>
    </w:tbl>
    <w:p>
      <w:pPr>
        <w:pStyle w:val="Heading2"/>
      </w:pPr>
      <w:r>
        <w:t>10.3. Decisiones que conviene cerrar con el profesor</w:t>
      </w:r>
    </w:p>
    <w:p>
      <w:pPr>
        <w:pStyle w:val="ListBullet"/>
      </w:pPr>
      <w:r>
        <w:t>Ámbito espacial inicial: España completa frente a una o varias provincias/dominios metalogenéticos.</w:t>
      </w:r>
    </w:p>
    <w:p>
      <w:pPr>
        <w:pStyle w:val="ListBullet"/>
      </w:pPr>
      <w:r>
        <w:t>Commodities del MVP: mantener Au–Ag–Cu como núcleo histórico y decidir qué REE/CRM cuentan con labels y cobertura suficientes.</w:t>
      </w:r>
    </w:p>
    <w:p>
      <w:pPr>
        <w:pStyle w:val="ListBullet"/>
      </w:pPr>
      <w:r>
        <w:t>Unidad de análisis: puntos, celdas regulares o unidades geológicas.</w:t>
      </w:r>
    </w:p>
    <w:p>
      <w:pPr>
        <w:pStyle w:val="ListBullet"/>
      </w:pPr>
      <w:r>
        <w:t>Qué inventario moderno se reservará para Y y cuál para validación externa.</w:t>
      </w:r>
    </w:p>
    <w:p>
      <w:pPr>
        <w:pStyle w:val="ListBullet"/>
      </w:pPr>
      <w:r>
        <w:t>Nivel de profundidad de la ontología: modelo conceptual mínimo vs. knowledge graph formal.</w:t>
      </w:r>
    </w:p>
    <w:p>
      <w:pPr>
        <w:pStyle w:val="ListBullet"/>
      </w:pPr>
      <w:r>
        <w:t>Criterio de éxito: rendimiento predictivo, interpretabilidad geológica y/o mejora del Modelo B respecto al Modelo A.</w:t>
      </w:r>
    </w:p>
    <w:p>
      <w:pPr>
        <w:pStyle w:val="Heading1"/>
      </w:pPr>
      <w:r>
        <w:t>Fuentes y estándares de referencia</w:t>
      </w:r>
    </w:p>
    <w:p>
      <w:pPr>
        <w:pStyle w:val="Small"/>
      </w:pPr>
      <w:r>
        <w:t>Fuentes preliminares para fundamentar la propuesta. La selección de datasets y la lista vigente de materias primas críticas/estratégicas deberán validarse antes de la versión final del trabajo.</w:t>
      </w:r>
    </w:p>
    <w:p>
      <w:pPr>
        <w:pStyle w:val="Small"/>
      </w:pPr>
      <w:r>
        <w:rPr>
          <w:rFonts w:ascii="Carlito" w:hAnsi="Carlito" w:eastAsia="Carlito"/>
          <w:b/>
          <w:sz w:val="18"/>
        </w:rPr>
        <w:t xml:space="preserve">[1] Oxford Roman Economy Project — Mines Database. </w:t>
      </w:r>
      <w:hyperlink r:id="rId10">
        <w:r>
          <w:rPr>
            <w:color w:val="1F4E79"/>
            <w:u w:val="single"/>
            <w:rFonts w:ascii="Carlito" w:hAnsi="Carlito"/>
          </w:rPr>
          <w:t>https://oxrep.web.ox.ac.uk/mines-database</w:t>
        </w:r>
      </w:hyperlink>
    </w:p>
    <w:p>
      <w:pPr>
        <w:pStyle w:val="Small"/>
      </w:pPr>
      <w:r>
        <w:rPr>
          <w:rFonts w:ascii="Carlito" w:hAnsi="Carlito" w:eastAsia="Carlito"/>
          <w:b/>
          <w:sz w:val="18"/>
        </w:rPr>
        <w:t xml:space="preserve">[2] IGME-CSIC — Datos y mapas. </w:t>
      </w:r>
      <w:hyperlink r:id="rId11">
        <w:r>
          <w:rPr>
            <w:color w:val="1F4E79"/>
            <w:u w:val="single"/>
            <w:rFonts w:ascii="Carlito" w:hAnsi="Carlito"/>
          </w:rPr>
          <w:t>https://www.igme.es/datos-y-mapas/</w:t>
        </w:r>
      </w:hyperlink>
    </w:p>
    <w:p>
      <w:pPr>
        <w:pStyle w:val="Small"/>
      </w:pPr>
      <w:r>
        <w:rPr>
          <w:rFonts w:ascii="Carlito" w:hAnsi="Carlito" w:eastAsia="Carlito"/>
          <w:b/>
          <w:sz w:val="18"/>
        </w:rPr>
        <w:t xml:space="preserve">[3] IGME — Cartografía geológica digital / GEODE. </w:t>
      </w:r>
      <w:hyperlink r:id="rId12">
        <w:r>
          <w:rPr>
            <w:color w:val="1F4E79"/>
            <w:u w:val="single"/>
            <w:rFonts w:ascii="Carlito" w:hAnsi="Carlito"/>
          </w:rPr>
          <w:t>https://info.igme.es/cartografiadigital/geologica/Geode.aspx?language=es</w:t>
        </w:r>
      </w:hyperlink>
    </w:p>
    <w:p>
      <w:pPr>
        <w:pStyle w:val="Small"/>
      </w:pPr>
      <w:r>
        <w:rPr>
          <w:rFonts w:ascii="Carlito" w:hAnsi="Carlito" w:eastAsia="Carlito"/>
          <w:b/>
          <w:sz w:val="18"/>
        </w:rPr>
        <w:t xml:space="preserve">[4] IGME — Cartografía metalogenética. </w:t>
      </w:r>
      <w:hyperlink r:id="rId13">
        <w:r>
          <w:rPr>
            <w:color w:val="1F4E79"/>
            <w:u w:val="single"/>
            <w:rFonts w:ascii="Carlito" w:hAnsi="Carlito"/>
          </w:rPr>
          <w:t>https://info.igme.es/cartografiadigital/tematica/metalogenetico200.aspx?language=es</w:t>
        </w:r>
      </w:hyperlink>
    </w:p>
    <w:p>
      <w:pPr>
        <w:pStyle w:val="Small"/>
      </w:pPr>
      <w:r>
        <w:rPr>
          <w:rFonts w:ascii="Carlito" w:hAnsi="Carlito" w:eastAsia="Carlito"/>
          <w:b/>
          <w:sz w:val="18"/>
        </w:rPr>
        <w:t xml:space="preserve">[5] Comisión Europea — Critical Raw Materials. </w:t>
      </w:r>
      <w:hyperlink r:id="rId14">
        <w:r>
          <w:rPr>
            <w:color w:val="1F4E79"/>
            <w:u w:val="single"/>
            <w:rFonts w:ascii="Carlito" w:hAnsi="Carlito"/>
          </w:rPr>
          <w:t>https://single-market-economy.ec.europa.eu/sectors/raw-materials/areas-specific-interest/critical-raw-materials_en</w:t>
        </w:r>
      </w:hyperlink>
    </w:p>
    <w:p>
      <w:pPr>
        <w:pStyle w:val="Small"/>
      </w:pPr>
      <w:r>
        <w:rPr>
          <w:rFonts w:ascii="Carlito" w:hAnsi="Carlito" w:eastAsia="Carlito"/>
          <w:b/>
          <w:sz w:val="18"/>
        </w:rPr>
        <w:t xml:space="preserve">[6] OGC — GeoSciML. </w:t>
      </w:r>
      <w:hyperlink r:id="rId15">
        <w:r>
          <w:rPr>
            <w:color w:val="1F4E79"/>
            <w:u w:val="single"/>
            <w:rFonts w:ascii="Carlito" w:hAnsi="Carlito"/>
          </w:rPr>
          <w:t>https://www.ogc.org/standards/geosciml/</w:t>
        </w:r>
      </w:hyperlink>
    </w:p>
    <w:p>
      <w:pPr>
        <w:pStyle w:val="Small"/>
      </w:pPr>
      <w:r>
        <w:rPr>
          <w:rFonts w:ascii="Carlito" w:hAnsi="Carlito" w:eastAsia="Carlito"/>
          <w:b/>
          <w:sz w:val="18"/>
        </w:rPr>
        <w:t xml:space="preserve">[7] W3C — PROV-O. </w:t>
      </w:r>
      <w:hyperlink r:id="rId16">
        <w:r>
          <w:rPr>
            <w:color w:val="1F4E79"/>
            <w:u w:val="single"/>
            <w:rFonts w:ascii="Carlito" w:hAnsi="Carlito"/>
          </w:rPr>
          <w:t>https://www.w3.org/TR/prov-o/</w:t>
        </w:r>
      </w:hyperlink>
    </w:p>
    <w:p>
      <w:pPr>
        <w:pStyle w:val="Small"/>
      </w:pPr>
      <w:r>
        <w:rPr>
          <w:rFonts w:ascii="Carlito" w:hAnsi="Carlito" w:eastAsia="Carlito"/>
          <w:b/>
          <w:sz w:val="18"/>
        </w:rPr>
        <w:t xml:space="preserve">[8] W3C — SOSA/SSN. </w:t>
      </w:r>
      <w:hyperlink r:id="rId17">
        <w:r>
          <w:rPr>
            <w:color w:val="1F4E79"/>
            <w:u w:val="single"/>
            <w:rFonts w:ascii="Carlito" w:hAnsi="Carlito"/>
          </w:rPr>
          <w:t>https://www.w3.org/TR/vocab-ssn/</w:t>
        </w:r>
      </w:hyperlink>
    </w:p>
    <w:p>
      <w:pPr>
        <w:pStyle w:val="Small"/>
      </w:pPr>
      <w:r>
        <w:rPr>
          <w:rFonts w:ascii="Carlito" w:hAnsi="Carlito" w:eastAsia="Carlito"/>
          <w:b/>
          <w:sz w:val="18"/>
        </w:rPr>
        <w:t xml:space="preserve">[9] QUDT — Quantities, Units, Dimensions and Types. </w:t>
      </w:r>
      <w:hyperlink r:id="rId18">
        <w:r>
          <w:rPr>
            <w:color w:val="1F4E79"/>
            <w:u w:val="single"/>
            <w:rFonts w:ascii="Carlito" w:hAnsi="Carlito"/>
          </w:rPr>
          <w:t>https://www.qudt.org/</w:t>
        </w:r>
      </w:hyperlink>
    </w:p>
    <w:p>
      <w:pPr>
        <w:spacing w:before="280"/>
      </w:pPr>
      <w:r>
        <w:rPr>
          <w:rFonts w:ascii="Carlito" w:hAnsi="Carlito" w:eastAsia="Carlito"/>
          <w:b/>
          <w:color w:val="5B6573"/>
        </w:rPr>
        <w:t xml:space="preserve">Nota: </w:t>
      </w:r>
      <w:r>
        <w:rPr>
          <w:rFonts w:ascii="Carlito" w:hAnsi="Carlito" w:eastAsia="Carlito"/>
          <w:color w:val="5B6573"/>
          <w:sz w:val="18"/>
        </w:rPr>
        <w:t>Este documento define una propuesta metodológica de investigación. Los mapas de prospectividad estiman favorabilidad relativa y no equivalen a reservas, recursos certificados ni viabilidad económica de explotación.</w:t>
      </w:r>
    </w:p>
    <w:sectPr w:rsidR="00FC693F" w:rsidRPr="0006063C" w:rsidSect="00034616">
      <w:footerReference w:type="default" r:id="rId9"/>
      <w:pgSz w:w="11906" w:h="16838"/>
      <w:pgMar w:top="1191" w:right="1276" w:bottom="10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rlito" w:hAnsi="Carlito" w:eastAsia="Carlito"/>
        <w:color w:val="5B6573"/>
        <w:sz w:val="16"/>
      </w:rPr>
      <w:t>Proyecto GeoAI de prospectividad mineral · Documento de trabajo</w:t>
    </w:r>
  </w:p>
  <w:p>
    <w:pPr>
      <w:jc w:val="right"/>
    </w:pPr>
    <w:r>
      <w:rPr>
        <w:rFonts w:ascii="Carlito" w:hAnsi="Carlito" w:eastAsia="Carlito"/>
        <w:color w:val="5B6573"/>
        <w:sz w:val="16"/>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rlito" w:hAnsi="Carlito"/>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rlito" w:hAnsi="Carlito"/>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Carlito" w:hAnsi="Carlito"/>
      <w:b/>
      <w:bCs/>
      <w:color w:val="1F6D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76" w:lineRule="auto"/>
    </w:pPr>
    <w:rPr>
      <w:rFonts w:ascii="Carlito" w:hAnsi="Carlito"/>
      <w:color w:val="5B6573"/>
      <w:sz w:val="24"/>
    </w:rPr>
  </w:style>
  <w:style w:type="paragraph" w:customStyle="1" w:styleId="Callout">
    <w:name w:val="Callout"/>
    <w:pPr>
      <w:spacing w:before="120" w:after="120"/>
    </w:pPr>
    <w:rPr>
      <w:rFonts w:ascii="Carlito" w:hAnsi="Carlito"/>
      <w:b/>
      <w:color w:val="17365D"/>
      <w:sz w:val="21"/>
    </w:rPr>
  </w:style>
  <w:style w:type="paragraph" w:customStyle="1" w:styleId="Small">
    <w:name w:val="Small"/>
    <w:rPr>
      <w:rFonts w:ascii="Carlito" w:hAnsi="Carlito"/>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xrep.web.ox.ac.uk/mines-database" TargetMode="External"/><Relationship Id="rId11" Type="http://schemas.openxmlformats.org/officeDocument/2006/relationships/hyperlink" Target="https://www.igme.es/datos-y-mapas/" TargetMode="External"/><Relationship Id="rId12" Type="http://schemas.openxmlformats.org/officeDocument/2006/relationships/hyperlink" Target="https://info.igme.es/cartografiadigital/geologica/Geode.aspx?language=es" TargetMode="External"/><Relationship Id="rId13" Type="http://schemas.openxmlformats.org/officeDocument/2006/relationships/hyperlink" Target="https://info.igme.es/cartografiadigital/tematica/metalogenetico200.aspx?language=es" TargetMode="External"/><Relationship Id="rId14" Type="http://schemas.openxmlformats.org/officeDocument/2006/relationships/hyperlink" Target="https://single-market-economy.ec.europa.eu/sectors/raw-materials/areas-specific-interest/critical-raw-materials_en" TargetMode="External"/><Relationship Id="rId15" Type="http://schemas.openxmlformats.org/officeDocument/2006/relationships/hyperlink" Target="https://www.ogc.org/standards/geosciml/" TargetMode="External"/><Relationship Id="rId16" Type="http://schemas.openxmlformats.org/officeDocument/2006/relationships/hyperlink" Target="https://www.w3.org/TR/prov-o/" TargetMode="External"/><Relationship Id="rId17" Type="http://schemas.openxmlformats.org/officeDocument/2006/relationships/hyperlink" Target="https://www.w3.org/TR/vocab-ssn/" TargetMode="External"/><Relationship Id="rId18" Type="http://schemas.openxmlformats.org/officeDocument/2006/relationships/hyperlink" Target="https://www.qud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GeoAI de prospectividad mineral en España</dc:title>
  <dc:subject>Aprendizaje automático, conocimiento geológico y evidencias de minería romana</dc:subject>
  <dc:creator>python-docx</dc:creator>
  <cp:keywords>GeoAI, prospectividad mineral, minería romana, Random Forest, ontología, España, materias primas críticas</cp:keywords>
  <dc:description>Documento de trabajo generado para discusión académica.</dc:description>
  <cp:lastModifiedBy/>
  <cp:revision>1</cp:revision>
  <dcterms:created xsi:type="dcterms:W3CDTF">2013-12-23T23:15:00Z</dcterms:created>
  <dcterms:modified xsi:type="dcterms:W3CDTF">2013-12-23T23:15:00Z</dcterms:modified>
  <cp:category/>
</cp:coreProperties>
</file>