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34AB7"/>
          <w:sz w:val="48"/>
          <w:szCs w:val="48"/>
        </w:rPr>
        <w:t xml:space="preserve">SATCOM Coverage Engine</w:t>
      </w:r>
    </w:p>
    <w:p>
      <w:pPr>
        <w:spacing w:after="40"/>
      </w:pPr>
      <w:r>
        <w:rPr>
          <w:color w:val="1F2430"/>
          <w:sz w:val="28"/>
          <w:szCs w:val="28"/>
        </w:rPr>
        <w:t xml:space="preserve">Vue d’ensemble des fonctionnalités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Moteur de planification de couverture SATCOM (GEO + LEO) et ses interfaces web — Juin 2026</w:t>
      </w:r>
    </w:p>
    <w:p>
      <w:pPr>
        <w:spacing w:after="8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Architecture" descr="Schéma d’architecture du SATCOM Coverage Engin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6"/>
          <w:szCs w:val="16"/>
        </w:rPr>
        <w:t xml:space="preserve">Schéma d’architecture — un cœur de physique, des clients qui l’affichent.</w:t>
      </w:r>
    </w:p>
    <w:p>
      <w:pPr>
        <w:pStyle w:val="Heading1"/>
      </w:pPr>
      <w:r>
        <w:t xml:space="preserve">Principe d’architecture</w:t>
      </w:r>
    </w:p>
    <w:p>
      <w:pPr>
        <w:spacing w:after="120"/>
      </w:pPr>
      <w:r>
        <w:t xml:space="preserve">Une idée centrale : un cœur de physique unique (le moteur), des clients qui ne font que l’afficher. Le microservice calcule tous les bilans de liaison ; les interfaces web (et, à terme, Unity / Unreal / Ventuz) ne consomment que des résultats normalisés (LinkResult) et n’embarquent aucune physique. L’API et les interfaces sont servies par une seule application Cloud Run, à la même origine.</w:t>
      </w:r>
    </w:p>
    <w:p>
      <w:pPr>
        <w:pStyle w:val="Heading1"/>
      </w:pPr>
      <w:r>
        <w:t xml:space="preserve">1. Le moteur de calcul (FastAPI)</w:t>
      </w:r>
    </w:p>
    <w:p>
      <w:pPr>
        <w:spacing w:after="120"/>
      </w:pPr>
      <w:r>
        <w:t xml:space="preserve">Microservice Python, source unique de vérité physique. Bilan de liaison porté de la feuille Master (GetSAT / Yahsat) et validé au centième près par des tests de non-régression.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B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/link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liaison GEO instantanée (Syracuse, Inmarsat GX…)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/scenario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scénario LEO dynamique sur une fenêtre temporelle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/mapbox-config.json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token / style Mapbox depuis les variables d’env (hors dépôt)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  ·  /ui/…  ·  /docs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interfaces web + documentation API (Swagger)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Physique modélisée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Géométrie : </w:t>
      </w:r>
      <w:r>
        <w:t xml:space="preserve">look-angles GEO (range / azimut / élévation) et propagation LEO réelle (SGP4 sur TLE, ou constellation Walker générée).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Chaîne RF : </w:t>
      </w:r>
      <w:r>
        <w:t xml:space="preserve">FSPL montant / descendant, C/N montant (SFD) et descendant (EIRP), C/N requis, marge, table MODCOD ACM DVB-S2X → débit utile.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Orchestration : </w:t>
      </w:r>
      <w:r>
        <w:t xml:space="preserve">liaison GEO instantanée ; scénario LEO avec satellite servant par pas, handovers, disponibilité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Contrat I/O : </w:t>
      </w:r>
      <w:r>
        <w:t xml:space="preserve">schémas Pydantic, frontière stable physique ↔ rendu (LinkResult).</w:t>
      </w:r>
    </w:p>
    <w:p>
      <w:pPr>
        <w:pStyle w:val="Heading1"/>
      </w:pPr>
      <w:r>
        <w:t xml:space="preserve">2. Couverture 3D — application phare</w:t>
      </w:r>
    </w:p>
    <w:p>
      <w:pPr>
        <w:spacing w:after="120"/>
      </w:pPr>
      <w:r>
        <w:t xml:space="preserve">Globe CesiumJS piloté par des TLE réels (Celestrak) : Syracuse 4A/4B (GEO X), Inmarsat 5 / GX5 / 6 (GEO Ka), 364 Amazon Kuiper et ~400 Starlink (LEO Ka).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Terre photoréelle : </w:t>
      </w:r>
      <w:r>
        <w:t xml:space="preserve">style Mapbox personnalisé « Glow globe » (injecté par le serveur), repli Esri / Natural Earth garanti.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Couvertures GEO/LEO : </w:t>
      </w:r>
      <w:r>
        <w:t xml:space="preserve">remplissage transparent + bord lumineux façon Fresnel ; on voit la Terre et les petits LEO au travers.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Animation LEO : </w:t>
      </w:r>
      <w:r>
        <w:t xml:space="preserve">constellation propagée, faisceau du satellite servant et handovers en direct (via /scenario sur les TLE réels).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Sélecteurs : </w:t>
      </w:r>
      <w:r>
        <w:t xml:space="preserve">segment sol (6 sites) et service LEO (Kuiper / Starlink) ; couches activables par type de satellite.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Puissance liaison (C/N reçu) : </w:t>
      </w:r>
      <w:r>
        <w:t xml:space="preserve">par type (Syracuse / Inmarsat GX / Kuiper / Starlink) ; la valeur GEO décroît avec la latitude (élévation + dépointage faisceau).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 moderne : </w:t>
      </w:r>
      <w:r>
        <w:t xml:space="preserve">lecture / pause, coefficient de vitesse, sélecteur de date/heure (re-propagation), graphe scrubbable synchronisé.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Fiche satellite au clic : </w:t>
      </w:r>
      <w:r>
        <w:t xml:space="preserve">vidéo de la constellation + résumé Wikipédia, NORAD, désignation internationale, bande / orbite, altitude, inclinaison, période, vitesse, position et élévation live.</w:t>
      </w:r>
    </w:p>
    <w:p>
      <w:pPr>
        <w:pStyle w:val="Heading1"/>
      </w:pPr>
      <w:r>
        <w:t xml:space="preserve">3. Comparaison des 4 scénarios</w:t>
      </w:r>
    </w:p>
    <w:p>
      <w:pPr>
        <w:spacing w:after="120"/>
      </w:pPr>
      <w:r>
        <w:t xml:space="preserve">Tableau de bord d’aide à la décision : 4 services × 4 cas d’emploi (route Europe, route Golfe, Ukraine urbain dense, USV Méditerranée), calculés en 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Comparaison : </w:t>
      </w:r>
      <w:r>
        <w:t xml:space="preserve">Syracuse (GEO X) / Inmarsat GX (GEO Ka) / Amazon Leo / Starlink (LEO Ka) — débit utile, masquage GEO, disponibilité et handovers LEO.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Pluie &amp; élévation : </w:t>
      </w:r>
      <w:r>
        <w:t xml:space="preserve">atténuation ITU-R P.618 / P.838 (R0,01 par région) réellement injectée dans le bilan ; en Ka le fading pluie peut dépasser 10 dB, et le X-band rustique reprend la primauté.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 : </w:t>
      </w:r>
      <w:r>
        <w:t xml:space="preserve">service recommandé par scénario, ou « LEO seul » si le GEO est masqué.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Matrice antenne par service : </w:t>
      </w:r>
      <w:r>
        <w:t xml:space="preserve">voix / image / data / visioconférence / vidéo HD → plus petite classe d’antenne (Manpack, Nano, 0,6 m, 1,0 m) qui ferme le service, sinon LEO ; le temps réel privilégie le LEO (latence).</w:t>
      </w:r>
    </w:p>
    <w:p>
      <w:pPr>
        <w:pStyle w:val="Heading1"/>
      </w:pPr>
      <w:r>
        <w:t xml:space="preserve">4. Visibilité &amp; hébergement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 de visibilité : </w:t>
      </w:r>
      <w:r>
        <w:t xml:space="preserve">client léger — ruban du satellite servant, handovers, courbe d’élévation, infobulle (C/N, MODCOD, débit).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 Run : </w:t>
      </w:r>
      <w:r>
        <w:t xml:space="preserve">projet GCP unique, région Paris (europe-west9), accès public, build Cloud Build (--source).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Même origine : </w:t>
      </w:r>
      <w:r>
        <w:t xml:space="preserve">interfaces servies par l’API (/ui/…) → pas de CORS pour les clients ; page d’accueil avec accès direct aux applications et à la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Sécurité &amp; build : </w:t>
      </w:r>
      <w:r>
        <w:t xml:space="preserve">token Mapbox jamais committé (variables d’environnement Cloud Run) ; clients vanilla JS, zéro build (CesiumJS + satellite.js via CDN).</w:t>
      </w:r>
    </w:p>
    <w:p>
      <w:pPr>
        <w:spacing w:before="200"/>
      </w:pPr>
      <w:r>
        <w:rPr>
          <w:b/>
          <w:bCs/>
        </w:rPr>
        <w:t xml:space="preserve">URL : </w:t>
      </w:r>
      <w:hyperlink w:history="1" r:id="rIdo7jzwgs3fov6wmkzmolwj">
        <w:r>
          <w:rPr>
            <w:rStyle w:val="Hyperlink"/>
          </w:rPr>
          <w:t xml:space="preserve">https://satcom-coverage-engine-58899663812.europe-west9.run.app/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SATCOM Coverage Engine —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534AB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7jzwgs3fov6wmkzmolwj" Type="http://schemas.openxmlformats.org/officeDocument/2006/relationships/hyperlink" Target="https://satcom-coverage-engine-58899663812.europe-west9.run.app/" TargetMode="External"/><Relationship Id="rId8" Type="http://schemas.openxmlformats.org/officeDocument/2006/relationships/image" Target="media/b9e66f1312a5e9c190b9308802f7dbb0f9cf40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2026-06-30T07:23:56.819Z</dcterms:created>
  <dcterms:modified xsi:type="dcterms:W3CDTF">2026-06-30T07:23:56.819Z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