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E3A5F"/>
          <w:sz w:val="60"/>
          <w:szCs w:val="60"/>
        </w:rPr>
        <w:t xml:space="preserve">LeoBook</w:t>
      </w:r>
    </w:p>
    <w:p>
      <w:pPr>
        <w:spacing w:after="40"/>
        <w:jc w:val="center"/>
      </w:pPr>
      <w:r>
        <w:rPr>
          <w:rFonts w:ascii="Arial" w:cs="Arial" w:eastAsia="Arial" w:hAnsi="Arial"/>
          <w:color w:val="2E75B6"/>
          <w:sz w:val="30"/>
          <w:szCs w:val="30"/>
        </w:rPr>
        <w:t xml:space="preserve">Documentation Discrepancy Report &amp; Update Request</w:t>
      </w:r>
    </w:p>
    <w:p>
      <w:pPr>
        <w:pBdr>
          <w:bottom w:val="single" w:color="2E75B6" w:sz="6" w:space="6"/>
        </w:pBdr>
        <w:spacing w:after="40"/>
        <w:jc w:val="center"/>
      </w:pPr>
      <w:r>
        <w:rPr>
          <w:rFonts w:ascii="Arial" w:cs="Arial" w:eastAsia="Arial" w:hAnsi="Arial"/>
          <w:color w:val="777777"/>
          <w:sz w:val="20"/>
          <w:szCs w:val="20"/>
        </w:rPr>
        <w:t xml:space="preserve">Based on Technical Master Report v7.1 — Review Date: March 6, 2026</w:t>
      </w:r>
    </w:p>
    <w:p>
      <w:pPr>
        <w:spacing w:after="200"/>
      </w:pPr>
    </w:p>
    <w:p>
      <w:pPr>
        <w:pStyle w:val="Heading1"/>
        <w:pBdr>
          <w:bottom w:val="single" w:color="2E75B6" w:sz="6" w:space="4"/>
        </w:pBdr>
        <w:spacing w:before="360" w:after="120"/>
      </w:pPr>
      <w:r>
        <w:rPr>
          <w:rFonts w:ascii="Arial" w:cs="Arial" w:eastAsia="Arial" w:hAnsi="Arial"/>
          <w:b/>
          <w:bCs/>
          <w:color w:val="1E3A5F"/>
          <w:sz w:val="32"/>
          <w:szCs w:val="32"/>
        </w:rPr>
        <w:t xml:space="preserve">Executive Summary</w:t>
      </w:r>
    </w:p>
    <w:p>
      <w:pPr>
        <w:spacing w:after="120"/>
      </w:pPr>
      <w:r>
        <w:rPr>
          <w:rFonts w:ascii="Arial" w:cs="Arial" w:eastAsia="Arial" w:hAnsi="Arial"/>
          <w:sz w:val="22"/>
          <w:szCs w:val="22"/>
        </w:rPr>
        <w:t xml:space="preserve">This report documents all discrepancies identified between the LeoBook_Technical_Master_Report.md (v7.1) and the actual current state of the system, as clarified during an intensive technical evaluation on March 6, 2026. The report covers 13 areas spanning architecture, data integrity, testing, observability, and operational safety.</w:t>
      </w:r>
    </w:p>
    <w:p>
      <w:pPr>
        <w:spacing w:after="120"/>
      </w:pPr>
      <w:r>
        <w:rPr>
          <w:rFonts w:ascii="Arial" w:cs="Arial" w:eastAsia="Arial" w:hAnsi="Arial"/>
          <w:sz w:val="22"/>
          <w:szCs w:val="22"/>
        </w:rPr>
        <w:t xml:space="preserve">LeoBook is an autonomous sports prediction and betting system currently in active development. The report is intended to serve as the authoritative update request for the next documentation revision.</w:t>
      </w:r>
    </w:p>
    <w:p>
      <w:pPr>
        <w:spacing w:after="100"/>
      </w:pPr>
    </w:p>
    <w:p>
      <w:pPr>
        <w:pStyle w:val="Heading1"/>
        <w:pBdr>
          <w:bottom w:val="single" w:color="2E75B6" w:sz="6" w:space="4"/>
        </w:pBdr>
        <w:spacing w:before="360" w:after="120"/>
      </w:pPr>
      <w:r>
        <w:rPr>
          <w:rFonts w:ascii="Arial" w:cs="Arial" w:eastAsia="Arial" w:hAnsi="Arial"/>
          <w:b/>
          <w:bCs/>
          <w:color w:val="1E3A5F"/>
          <w:sz w:val="32"/>
          <w:szCs w:val="32"/>
        </w:rPr>
        <w:t xml:space="preserve">Discrepancy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800"/>
        <w:gridCol w:w="1560"/>
        <w:gridCol w:w="180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Doc Action</w:t>
            </w:r>
          </w:p>
        </w:tc>
      </w:tr>
      <w:tr>
        <w:trPr>
          <w:tblHeader w:val="false"/>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Bet Placement Safety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PARTIALLY ADDRESSED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section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SQLite / Supabase Sync 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FIXED – DOC OUTDATED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REWRITE section</w:t>
            </w:r>
          </w:p>
        </w:tc>
      </w:tr>
      <w:tr>
        <w:trPr>
          <w:tblHeader w:val="false"/>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 Performance Metrics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ACKNOWLEDGED GAP</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caveats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Scraping Dependency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ACCEPTED APPROACH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context</w:t>
            </w:r>
          </w:p>
        </w:tc>
      </w:tr>
      <w:tr>
        <w:trPr>
          <w:tblHeader w:val="false"/>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Testing Strategy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PARTIALLY ADDRESSED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section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LoRA Memory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KNOWN GAP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note</w:t>
            </w:r>
          </w:p>
        </w:tc>
      </w:tr>
      <w:tr>
        <w:trPr>
          <w:tblHeader w:val="false"/>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--limit CLI Semantics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CLARIFIED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REWRITE note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Timezone / now_ng Anchor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INTENTIONAL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rationale</w:t>
            </w:r>
          </w:p>
        </w:tc>
      </w:tr>
      <w:tr>
        <w:trPr>
          <w:tblHeader w:val="false"/>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Singleton Lock Implementation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IMPLEMENTED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detail</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 1 Prediction/Team/Week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CLARIFIED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REWRITE note</w:t>
            </w:r>
          </w:p>
        </w:tc>
      </w:tr>
      <w:tr>
        <w:trPr>
          <w:tblHeader w:val="false"/>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Flutter App &amp; Live Sync Path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 PROGRESS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 section</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RULEBOOK Enforcement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ACKNOWLEDGED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note</w:t>
            </w:r>
          </w:p>
        </w:tc>
      </w:tr>
      <w:tr>
        <w:trPr>
          <w:tblHeader w:val="false"/>
        </w:trP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Logging &amp; Observability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IMPLEMENTED – UNDERDOC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section</w:t>
            </w:r>
          </w:p>
        </w:tc>
      </w:tr>
    </w:tbl>
    <w:p>
      <w:pPr>
        <w:spacing w:after="240"/>
      </w:pPr>
    </w:p>
    <w:p>
      <w:pPr>
        <w:pStyle w:val="Heading1"/>
        <w:pBdr>
          <w:bottom w:val="single" w:color="2E75B6" w:sz="6" w:space="4"/>
        </w:pBdr>
        <w:spacing w:before="360" w:after="120"/>
      </w:pPr>
      <w:r>
        <w:rPr>
          <w:rFonts w:ascii="Arial" w:cs="Arial" w:eastAsia="Arial" w:hAnsi="Arial"/>
          <w:b/>
          <w:bCs/>
          <w:color w:val="1E3A5F"/>
          <w:sz w:val="32"/>
          <w:szCs w:val="32"/>
        </w:rPr>
        <w:t xml:space="preserve">Detailed Discrepancies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Automated Bet Placement — Safety Guardrails</w:t>
            </w:r>
            <w:r>
              <w:rPr>
                <w:rFonts w:ascii="Arial" w:cs="Arial" w:eastAsia="Arial" w:hAnsi="Arial"/>
                <w:b/>
                <w:bCs/>
                <w:color w:val="FFAA00"/>
                <w:sz w:val="20"/>
                <w:szCs w:val="20"/>
              </w:rPr>
              <w:t xml:space="preserve">   [PARTIALLY ADDRESSED]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Ch2 P1 (Automated Booking) is described as a pipeline stage with no mention of safety gates, dry-run modes, or stop-loss logic.</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Confidence threshold filtering IS implemented (top-5 recommendations from Ch1 P3). Dry-run mode, hard stop-loss limits, and manual approval for high-value bets are identified as needed and will be implemented during Chapter 2 testing.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Add a new sub-section to Ch2 P1 titled 'Safety Guardrails' covering: (a) dry-run/paper trading mode flag, (b) confidence threshold gate — document the current threshold value, (c) planned hard stop-loss limits (daily max loss, single bet max), (d) manual approval workflow for bets above a defined stake threshold.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CRITICAL — Must be documented before any live betting begins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SQLite / Supabase Data Architecture — Source of Truth</w:t>
            </w:r>
            <w:r>
              <w:rPr>
                <w:rFonts w:ascii="Arial" w:cs="Arial" w:eastAsia="Arial" w:hAnsi="Arial"/>
                <w:b/>
                <w:bCs/>
                <w:color w:val="008800"/>
                <w:sz w:val="20"/>
                <w:szCs w:val="20"/>
              </w:rPr>
              <w:t xml:space="preserve">   [FIXED — DOC OUTDATED]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Data Flow Diagram shows 'DB &lt;--&gt; SB' bidirectional sync with no defined write authority. Section 1 states 'watermark-based delta detection — only rows modified since last sync are compared' without clarifying which system is master.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Supabase is the ACTUAL source of truth. SQLite is a local read cache to reduce Supabase query load as the database scales. Write paths: Leo.py writes to SQLite first, then pushes to Supabase (20% sync checkpoints per intensive workload). Leo.py pulls from Supabase only if SQLite is empty, not found, or corrupt. 'Leo.py --pull' enables manual Supabase-to-SQLite refresh. Flutter app communicates exclusively with Supabase. Live stream write path is still being resolved to prevent SQLite overwriting live scores.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Rewrite the Data Architecture section and Data Flow Diagram to reflect: (a) Supabase = source of truth, (b) SQLite = local write cache / query buffer, (c) push path: SQLite -&gt; Supabase at 20% sync checkpoints, (d) pull path: Supabase -&gt; SQLite on --pull flag or corruption recovery, (e) Flutter reads exclusively from Supabase. Update the Mermaid diagram accordingly. Add a note on the in-progress live stream write-path resolution.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C6600"/>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HIGH — Bidirectional framing in current docs is architecturally misleading</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Model Performance Metrics — 70% Accuracy Claim</w:t>
            </w:r>
            <w:r>
              <w:rPr>
                <w:rFonts w:ascii="Arial" w:cs="Arial" w:eastAsia="Arial" w:hAnsi="Arial"/>
                <w:b/>
                <w:bCs/>
                <w:color w:val="FFAA00"/>
                <w:sz w:val="20"/>
                <w:szCs w:val="20"/>
              </w:rPr>
              <w:t xml:space="preserve">   [ACKNOWLEDGED GAP]</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No performance metrics, backtesting results, or calibration data are mentioned. The 70% accuracy figure exists in prior version commits but is not cited in the current report.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The 70% accuracy figure is from a prior version tested over a few days without real money. The current pipeline has been significantly redesigned (Prologue P2 historical data extraction ongoing) and the model has NOT been re-validated against the new architecture. Kelly Criterion is implemented but not fully tested. Full end-to-end pipeline testing is pending completion of Prologue P2.</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Add a 'Model Performance' section with the following: (a) explicitly state the 70% figure is from a prior version and is NOT validated for v7.x, (b) link to the relevant historical commit for traceability, (c) document the validation plan: what metrics will be captured (accuracy by league, Brier score, calibration, ROI), (d) state current Kelly Criterion implementation status, (e) add a prominent notice that model performance data will be updated post Prologue P2 completion.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C6600"/>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HIGH — Undocumented accuracy claims are misleading to stakeholders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Scraping-Only Data Acquisition Strategy</w:t>
            </w:r>
            <w:r>
              <w:rPr>
                <w:rFonts w:ascii="Arial" w:cs="Arial" w:eastAsia="Arial" w:hAnsi="Arial"/>
                <w:b/>
                <w:bCs/>
                <w:color w:val="888888"/>
                <w:sz w:val="20"/>
                <w:szCs w:val="20"/>
              </w:rPr>
              <w:t xml:space="preserve">   [INTENTIONAL — NEEDS CONTEXT]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System relies entirely on Playwright scraping of Flashscore and Football.com. No justification is provided in the documentation.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The scraping approach is an intentional MVP strategy. The system has operated without an API for 4+ months successfully. The region_flag NULL issue (previously flagged as fragility) was resolved with a gap-scan enrichment fix (committed as 'feat: smart gap-scan enrichment with 20% sync checkpoints'). The long-term goal is self-sustainability of LeoBook, with API integration as a future consideration.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Add a 'Data Acquisition Philosophy' note to Section 1 or Section 2.3 stating: (a) scraping is the intentional MVP approach, (b) rationale: Football.com is Nigeria/Ghana-specific — no public API exists for this regional scope, (c) resilience measures: SelectorManager centralisation, gap-scan enrichment, (d) future direction: API integration as the system matures. Also update the region_flag warning to reflect the resolution.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7950B"/>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MEDIUM — No action needed on architecture; documentation context needed</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Testing Strategy</w:t>
            </w:r>
            <w:r>
              <w:rPr>
                <w:rFonts w:ascii="Arial" w:cs="Arial" w:eastAsia="Arial" w:hAnsi="Arial"/>
                <w:b/>
                <w:bCs/>
                <w:color w:val="FFAA00"/>
                <w:sz w:val="20"/>
                <w:szCs w:val="20"/>
              </w:rPr>
              <w:t xml:space="preserve">   [PARTIALLY IMPLEMENTED — UNDERDOCUMENTED]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No testing methodology is mentioned anywhere in the technical report.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Modular testing is ongoing via rich terminal logs in Data/Log/Terminal. Full pipeline testing will follow successful completion of modular tests. There is no formal test framework (unittest, pytest) documented at this stage.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Add a 'Testing Strategy' section covering: (a) current approach: modular terminal log-based testing, log location at Data/Log/Terminal, (b) planned progression: modular tests -&gt; full pipeline integration test, (c) future: consider adding pytest-based unit tests for Core/Intelligence and Core/System modules as the codebase stabilises, (d) note audit_log table in local DB and Supabase as the betting cycle audit trail.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C6600"/>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HIGH — Required before production deployment</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LoRA Adapter Lifecycle &amp; Memory Management</w:t>
            </w:r>
            <w:r>
              <w:rPr>
                <w:rFonts w:ascii="Arial" w:cs="Arial" w:eastAsia="Arial" w:hAnsi="Arial"/>
                <w:b/>
                <w:bCs/>
                <w:color w:val="FFAA00"/>
                <w:sz w:val="20"/>
                <w:szCs w:val="20"/>
              </w:rPr>
              <w:t xml:space="preserve">   [KNOWN GAP]</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Core/Intelligence/rl/ is described with SharedTrunk + LoRA adapters but no adapter lifecycle or memory management policy is documented.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Acknowledged as a gap. Efficient per-league adapter management (pruning stale/unused adapters, memory footprint at scale with 500-1000+ leagues) is planned for implementation.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Add a note under Section 2.2 Core/Intelligence/rl/ documenting: (a) current adapter storage approach, (b) planned lifecycle policy — when adapters are created, updated, and pruned, (c) memory footprint estimates at target league scale, (d) any lazy-loading or on-demand adapter strategy.</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7950B"/>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MEDIUM — Needed before large-scale league enrichment begins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--limit CLI Range Semantics</w:t>
            </w:r>
            <w:r>
              <w:rPr>
                <w:rFonts w:ascii="Arial" w:cs="Arial" w:eastAsia="Arial" w:hAnsi="Arial"/>
                <w:b/>
                <w:bCs/>
                <w:color w:val="888888"/>
                <w:sz w:val="20"/>
                <w:szCs w:val="20"/>
              </w:rPr>
              <w:t xml:space="preserve">   [CLARIFIED — NEEDS DOC REWRITE]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The note states --limit is '1-indexed on unprocessed items' which could be confused with database row IDs.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'--limit START-END' is a RESET operation that reprocesses the specified range regardless of prior state. Pure '--enrich-leagues' (without --limit) performs a gap-scan: it detects NULL or missing fields across the DB and fetches only those gaps. These are two distinct modes of operation.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Rewrite the --limit CLI note in Section 2.6 to clearly distinguish: (a) '--enrich-leagues' (no --limit): gap-scan mode — detects and fills data gaps only, (b) '--enrich-leagues --limit START-END': range reset mode — reprocesses the specified range, (c) clarify that START-END refers to ordinal position of records in the enrichment queue, not database row IDs.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6600"/>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LOW — Clarity improvement for developer onboarding</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now_ng (Nigerian Time) Timezone Anchor</w:t>
            </w:r>
            <w:r>
              <w:rPr>
                <w:rFonts w:ascii="Arial" w:cs="Arial" w:eastAsia="Arial" w:hAnsi="Arial"/>
                <w:b/>
                <w:bCs/>
                <w:color w:val="888888"/>
                <w:sz w:val="20"/>
                <w:szCs w:val="20"/>
              </w:rPr>
              <w:t xml:space="preserve">   [INTENTIONAL — NEEDS RATIONALE]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now_ng is listed as a shared constant in Core/Utils/constants.py with no explanation for why Nigerian time is used as the system clock.</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The Nigerian timezone anchor is intentional and appropriate for the current development stage. Football.com operates exclusively in Nigeria and Ghana. Timezone normalization across European leagues (UTC/CET) is planned but deferred to avoid complexity during the current testing phase.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Add a comment/note in the constants documentation explaining: (a) why Nigerian time is the anchor (Football.com regional scope, developer location), (b) that cross-league timezone normalization is a planned future enhancement, (c) any known edge cases (e.g., European daylight saving transitions) to watch for when normalization is implemented.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6600"/>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LOW — No functional change needed; context documentation only</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#9</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Singleton Lock Implementation</w:t>
            </w:r>
            <w:r>
              <w:rPr>
                <w:rFonts w:ascii="Arial" w:cs="Arial" w:eastAsia="Arial" w:hAnsi="Arial"/>
                <w:b/>
                <w:bCs/>
                <w:color w:val="888888"/>
                <w:sz w:val="20"/>
                <w:szCs w:val="20"/>
              </w:rPr>
              <w:t xml:space="preserve">   [IMPLEMENTED — UNDERDOCUMENTED]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Startup Flow Step 1 references a 'Singleton Check' but provides no implementation details.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Implemented via 'leo.lock' file created at runtime. Lock is checked on startup to prevent duplicate instances.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Update Step 1 in Section 3 to read: 'Singleton Check: Creates leo.lock at runtime. If leo.lock exists from a prior run, startup halts to prevent duplicate instances. Lock is released on clean shutdown.' Consider also documenting stale lock recovery behaviour (what happens if Leo.py crashes without releasing the lock).</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6600"/>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LOW — Minor documentation gap</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#10</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Max 1 Prediction/Team/Week Constraint</w:t>
            </w:r>
            <w:r>
              <w:rPr>
                <w:rFonts w:ascii="Arial" w:cs="Arial" w:eastAsia="Arial" w:hAnsi="Arial"/>
                <w:b/>
                <w:bCs/>
                <w:color w:val="888888"/>
                <w:sz w:val="20"/>
                <w:szCs w:val="20"/>
              </w:rPr>
              <w:t xml:space="preserve">   [CLARIFIED — REWRITE NEEDED]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Ch1 P2 mentions 'Max 1/team/week' as a constraint with surplus matches added to Scheduler, but the reasoning and enforcement layer are unclear.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This is a DATA LEAK GUARD, not a business rule. The prediction model is built on recent form (last 10 matches). Predicting a team's future match before their next pending match resolves would create a data leak — the result of match N influences match N+1's prediction. The constraint is enforced at the team-prediction layer. Surplus matches are scheduled for prediction after their prerequisite matches are resolved.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Rewrite the Ch1 P2 constraint note to explain: (a) the constraint is a data leak guard, not a frequency cap, (b) prediction for a team can only occur when their most recent match result is known, (c) enforcement is at the team-prediction layer, (d) surplus matches are queued by the Scheduler for prediction once prerequisite data is available.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7950B"/>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MEDIUM — Misreading this constraint could cause incorrect pipeline modifications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#11</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Flutter App Sync Path &amp; Live Score Integration</w:t>
            </w:r>
            <w:r>
              <w:rPr>
                <w:rFonts w:ascii="Arial" w:cs="Arial" w:eastAsia="Arial" w:hAnsi="Arial"/>
                <w:b/>
                <w:bCs/>
                <w:color w:val="FFAA00"/>
                <w:sz w:val="20"/>
                <w:szCs w:val="20"/>
              </w:rPr>
              <w:t xml:space="preserve">   [IN PROGRESS — NEEDS STATUS UPDATE]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Data Flow shows 'STREAM -&gt; SB' and 'DB &lt;--&gt; SB' with Flutter reading from Supabase Computed Views, but the boundaries between these paths are not defined.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Flutter reads exclusively from Supabase. Predictions are near-static once made (no continuous re-sync required). The live score write path is actively being designed to ensure SQLite does not overwrite live scores in Supabase prediction/schedule tables. Supabase is the centre point for all data consumption.</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Update Section 4 (Data Flow Diagram) and add a note to the Flutter/App section: (a) Flutter -&gt; Supabase (read only), (b) Live Streamer -&gt; Supabase (write: live scores only, isolated path), (c) Leo.py -&gt; SQLite -&gt; Supabase (write: predictions, odds, outcomes), (d) add a status note that the live stream write path is being finalised to prevent cross-table overwrites. Update the Mermaid diagram to show directional arrows clearly.</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7950B"/>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MEDIUM — Diagram is currently ambiguous about data ownership</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#12</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RULEBOOK.md Enforcement</w:t>
            </w:r>
            <w:r>
              <w:rPr>
                <w:rFonts w:ascii="Arial" w:cs="Arial" w:eastAsia="Arial" w:hAnsi="Arial"/>
                <w:b/>
                <w:bCs/>
                <w:color w:val="888888"/>
                <w:sz w:val="20"/>
                <w:szCs w:val="20"/>
              </w:rPr>
              <w:t xml:space="preserve">   [ACKNOWLEDGED — FUTURE IMPROVEMENT]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RULEBOOK.md is marked as mandatory developer reading but no enforcement mechanism is described.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RULEBOOK.md serves as the developer philosophy and decision-making guide. Linter/pre-commit enforcement is acknowledged as a future improvement goal.</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Add a note under the RULEBOOK.md entry in Section 2.1 clarifying: (a) purpose: developer decision-making guide and coding philosophy, (b) current enforcement: mandatory reading, honour-based, (c) planned enforcement: pre-commit hooks and linter rules where automatable (e.g., SelectorManager usage, no hardcoded selectors).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6600"/>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LOW — Process improvement; no functional change</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#13</w:t>
            </w:r>
          </w:p>
        </w:tc>
        <w:tc>
          <w:tcPr>
            <w:tcW w:type="dxa" w:w="8160"/>
            <w:gridSpan w:val="2"/>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Logging Strategy &amp; Observability</w:t>
            </w:r>
            <w:r>
              <w:rPr>
                <w:rFonts w:ascii="Arial" w:cs="Arial" w:eastAsia="Arial" w:hAnsi="Arial"/>
                <w:b/>
                <w:bCs/>
                <w:color w:val="888888"/>
                <w:sz w:val="20"/>
                <w:szCs w:val="20"/>
              </w:rPr>
              <w:t xml:space="preserve">   [IMPLEMENTED — UNDERDOCUMENTED]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555555"/>
                <w:sz w:val="19"/>
                <w:szCs w:val="19"/>
              </w:rPr>
              <w:t xml:space="preserve">Documented</w:t>
            </w:r>
          </w:p>
        </w:tc>
        <w:tc>
          <w:tcPr>
            <w:tcW w:type="dxa" w:w="8160"/>
            <w:gridSpan w:val="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9"/>
                <w:szCs w:val="19"/>
              </w:rPr>
              <w:t xml:space="preserve">Core/System/monitoring.py is listed in the file map but not described. No logging strategy is documented.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222222"/>
                <w:sz w:val="19"/>
                <w:szCs w:val="19"/>
              </w:rPr>
              <w:t xml:space="preserve">Actual State</w:t>
            </w:r>
          </w:p>
        </w:tc>
        <w:tc>
          <w:tcPr>
            <w:tcW w:type="dxa" w:w="8160"/>
            <w:gridSpan w:val="2"/>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color w:val="222222"/>
                <w:sz w:val="19"/>
                <w:szCs w:val="19"/>
              </w:rPr>
              <w:t xml:space="preserve">Core/System/lifecycle.py handles global state management and includes: log_state(), log_audit_state(), setup_terminal_logging(), parse_args(). Log output goes to Data/Log/Terminal. Every bet cycle writes to audit_log table in both local SQLite and Supabase.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C0392B"/>
                <w:sz w:val="19"/>
                <w:szCs w:val="19"/>
              </w:rPr>
              <w:t xml:space="preserve">Action</w:t>
            </w:r>
          </w:p>
        </w:tc>
        <w:tc>
          <w:tcPr>
            <w:tcW w:type="dxa" w:w="8160"/>
            <w:gridSpan w:val="2"/>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color w:val="222222"/>
                <w:sz w:val="19"/>
                <w:szCs w:val="19"/>
              </w:rPr>
              <w:t xml:space="preserve">Add an 'Observability &amp; Logging' section documenting: (a) Terminal logging: setup_terminal_logging() in lifecycle.py, log location at Data/Log/Terminal, (b) State logging: log_state() for cycle state snapshots, (c) Audit logging: log_audit_state() writes to audit_log table in SQLite and Supabase for every bet cycle, (d) Describe monitoring.py's role (anomaly detection, cycle health checks, etc.), (e) Future: consider structured log format (JSON lines) for easier querying and alerting.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B7950B"/>
                <w:sz w:val="19"/>
                <w:szCs w:val="19"/>
              </w:rPr>
              <w:t xml:space="preserve">Priority</w:t>
            </w:r>
          </w:p>
        </w:tc>
        <w:tc>
          <w:tcPr>
            <w:tcW w:type="dxa" w:w="8160"/>
            <w:gridSpan w:val="2"/>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222222"/>
                <w:sz w:val="19"/>
                <w:szCs w:val="19"/>
              </w:rPr>
              <w:t xml:space="preserve">MEDIUM — Required for production operations and incident investigation</w:t>
            </w:r>
          </w:p>
        </w:tc>
      </w:tr>
    </w:tbl>
    <w:p>
      <w:pPr>
        <w:spacing w:after="180"/>
      </w:pPr>
    </w:p>
    <w:p>
      <w:r>
        <w:br w:type="page"/>
      </w:r>
    </w:p>
    <w:p>
      <w:pPr>
        <w:pStyle w:val="Heading1"/>
        <w:pBdr>
          <w:bottom w:val="single" w:color="2E75B6" w:sz="6" w:space="4"/>
        </w:pBdr>
        <w:spacing w:before="360" w:after="120"/>
      </w:pPr>
      <w:r>
        <w:rPr>
          <w:rFonts w:ascii="Arial" w:cs="Arial" w:eastAsia="Arial" w:hAnsi="Arial"/>
          <w:b/>
          <w:bCs/>
          <w:color w:val="1E3A5F"/>
          <w:sz w:val="32"/>
          <w:szCs w:val="32"/>
        </w:rPr>
        <w:t xml:space="preserve">Documentation Update Action Plan</w:t>
      </w:r>
    </w:p>
    <w:p>
      <w:pPr>
        <w:spacing w:after="120"/>
      </w:pPr>
      <w:r>
        <w:rPr>
          <w:rFonts w:ascii="Arial" w:cs="Arial" w:eastAsia="Arial" w:hAnsi="Arial"/>
          <w:sz w:val="22"/>
          <w:szCs w:val="22"/>
        </w:rPr>
        <w:t xml:space="preserve">The following update sequence is recommended to efficiently close all documentation gaps: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800"/>
        <w:gridCol w:w="27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Order</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Section</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Rewrite SQLite/Supabase architecture — single source of truth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1, Section 4 + Mermaid</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Automated Bet Placement Safety Guardrails section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3, Ch2 P1</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Model Performance section with v7.x caveats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Section 5 or Appendix</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Testing Strategy section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Section 6</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Observability &amp; Logging section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2.2 or New Section</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Rewrite Max 1/team/week as data leak guard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3, Ch1 P2</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 Flutter App sync path in Data Flow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4</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LoRA adapter lifecycle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2.2</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Rewrite --limit CLI semantics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2.6</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now_ng timezone rationale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2.2</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 Singleton Check with leo.lock detail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3</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RULEBOOK enforcement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2.1</w:t>
            </w:r>
          </w:p>
        </w:tc>
      </w:tr>
      <w:tr>
        <w:trPr>
          <w:tblHeader w:val="false"/>
        </w:trP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scraping strategy rationale + resolve region_flag note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Section 1 / Section 2.3</w:t>
            </w:r>
          </w:p>
        </w:tc>
      </w:tr>
    </w:tbl>
    <w:p>
      <w:pPr>
        <w:spacing w:after="240"/>
      </w:pPr>
    </w:p>
    <w:p>
      <w:pPr>
        <w:pStyle w:val="Heading1"/>
        <w:pBdr>
          <w:bottom w:val="single" w:color="2E75B6" w:sz="6" w:space="4"/>
        </w:pBdr>
        <w:spacing w:before="360" w:after="120"/>
      </w:pPr>
      <w:r>
        <w:rPr>
          <w:rFonts w:ascii="Arial" w:cs="Arial" w:eastAsia="Arial" w:hAnsi="Arial"/>
          <w:b/>
          <w:bCs/>
          <w:color w:val="1E3A5F"/>
          <w:sz w:val="32"/>
          <w:szCs w:val="32"/>
        </w:rPr>
        <w:t xml:space="preserve">Report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 Generated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March 6, 2026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Reviewed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LeoBook_Technical_Master_Report.md v7.1</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 Method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Intensive technical evaluation + developer clarification session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Discrepancies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(Bet Safety Guardrails)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(Sync Architecture, Model Metrics, Testing)</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 (LoRA, Max Constraint, Live Sync, Observability, Scraping)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(CLI, Timezone, Singleton, RULEBOOK)</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Prepared by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(Anthropic) — Evaluation Session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 Review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After Prologue P2 completion and first end-to-end pipeline test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8"/>
        <w:szCs w:val="18"/>
      </w:rPr>
      <w:t xml:space="preserve">Materialless-LLC / LeoBook  |  Confidential Development Document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LeoBook  |  Documentation Discrepancy Report  |  v7.1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2026-03-06T11:13:50.806Z</dcterms:created>
  <dcterms:modified xsi:type="dcterms:W3CDTF">2026-03-06T11:13:50.807Z</dcterms:modified>
</cp:coreProperties>
</file>

<file path=docProps/custom.xml><?xml version="1.0" encoding="utf-8"?>
<Properties xmlns="http://schemas.openxmlformats.org/officeDocument/2006/custom-properties" xmlns:vt="http://schemas.openxmlformats.org/officeDocument/2006/docPropsVTypes"/>
</file>