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rFonts w:ascii="Times New Roman" w:hAnsi="Times New Roman"/>
          <w:b w:val="1"/>
          <w:sz w:val="44"/>
        </w:rPr>
        <w:t>Особенности и функционал</w:t>
      </w:r>
      <w:r>
        <w:rPr>
          <w:rFonts w:ascii="Times New Roman" w:hAnsi="Times New Roman"/>
          <w:b w:val="1"/>
          <w:sz w:val="44"/>
        </w:rPr>
        <w:br w:type="textWrapping"/>
      </w:r>
      <w:r>
        <w:rPr>
          <w:rFonts w:ascii="Times New Roman" w:hAnsi="Times New Roman"/>
          <w:b w:val="1"/>
          <w:sz w:val="44"/>
        </w:rPr>
        <w:t>ServiceDesk Plus ManageEngine</w:t>
      </w:r>
    </w:p>
    <w:p>
      <w:pPr>
        <w:pStyle w:val="P13"/>
      </w:pPr>
      <w:r>
        <w:t>1. О продукте</w:t>
      </w:r>
    </w:p>
    <w:p>
      <w:r>
        <w:t>ServiceDesk Plus — это платформа управления ИТ-услугами (ITSM) и корпоративного сервисного управления (ESM) от компании ManageEngine (подразделение Zoho Corporation). Продукт используется по всему миру: более 180 000 клиентов ManageEngine, присутствие в 190+ странах. ServiceDesk Plus поддерживает лучшие практики ITIL®, управление инцидентами, проблемами, изменениями, релизами, активами, каталог услуг, CMDB и проектами.</w:t>
      </w:r>
    </w:p>
    <w:p>
      <w:r>
        <w:t>Продукт поставляется в трёх редакциях (Standard, Professional, Enterprise) и может разворачиваться как в облаке (SaaS), так и локально (on-premises). Это позволяет выбирать модель лицензирования и размещения под задачи организации.</w:t>
      </w:r>
    </w:p>
    <w:p>
      <w:pPr>
        <w:pStyle w:val="P22"/>
      </w:pPr>
      <w:r>
        <w:rPr>
          <w:b w:val="1"/>
        </w:rPr>
        <w:t>Основные требования, которым соответствует продукт:</w:t>
      </w:r>
    </w:p>
    <w:p>
      <w:pPr>
        <w:pStyle w:val="P22"/>
      </w:pPr>
      <w:r>
        <w:t>Веб-интерфейс с локализацией (в т.ч. на русский), размещение On-Premise и в облаке, лицензии только для техников (количество пользователей-клиентов не ограничено).</w:t>
      </w:r>
    </w:p>
    <w:p>
      <w:pPr>
        <w:pStyle w:val="P22"/>
      </w:pPr>
      <w:r>
        <w:t>Открытый REST API ServiceDesk Plus обеспечивает бесшовную интеграцию с ERP, CRM, системами мониторинга и другими внешними приложениями, позволяя использовать платформу как центральный оркестратор сквозных процессов.</w:t>
      </w:r>
    </w:p>
    <w:p>
      <w:pPr>
        <w:pStyle w:val="P22"/>
      </w:pPr>
      <w:r>
        <w:t>Поддержка SSO и веб-сервисов, работа на мобильных устройствах и наличие мобильного приложения.</w:t>
      </w:r>
    </w:p>
    <w:p>
      <w:pPr>
        <w:pStyle w:val="P22"/>
      </w:pPr>
      <w:r>
        <w:t>Редактирование процессов и объектов — в графическом интерфейсе (drag &amp; drop); для глубокой кастомизации доступны пользовательские функции и скрипты (на базе поддерживаемых технологий).</w:t>
      </w:r>
    </w:p>
    <w:p/>
    <w:p>
      <w:pPr>
        <w:pStyle w:val="P13"/>
      </w:pPr>
      <w:r>
        <w:t>2. Три редакции продукта</w:t>
      </w:r>
    </w:p>
    <w:p>
      <w:r>
        <w:t>Официально предлагаются три редакции с чётким разграничением возможностей.</w:t>
      </w:r>
    </w:p>
    <w:tbl>
      <w:tblPr>
        <w:tblStyle w:val="T18"/>
        <w:tblW w:w="0" w:type="auto"/>
        <w:jc w:val="center"/>
        <w:tblLook w:val="04A0"/>
      </w:tblPr>
      <w:tblGrid>
        <w:gridCol w:w="2493"/>
        <w:gridCol w:w="2493"/>
        <w:gridCol w:w="2493"/>
        <w:gridCol w:w="2493"/>
      </w:tblGrid>
      <w:tr>
        <w:tc>
          <w:tcPr>
            <w:tcW w:w="2493" w:type="dxa"/>
          </w:tcPr>
          <w:p>
            <w:r>
              <w:rPr>
                <w:b w:val="1"/>
              </w:rPr>
              <w:t>Редакция</w:t>
            </w:r>
          </w:p>
        </w:tc>
        <w:tc>
          <w:tcPr>
            <w:tcW w:w="2493" w:type="dxa"/>
          </w:tcPr>
          <w:p>
            <w:r>
              <w:rPr>
                <w:b w:val="1"/>
              </w:rPr>
              <w:t>Основной фокус</w:t>
            </w:r>
          </w:p>
        </w:tc>
        <w:tc>
          <w:tcPr>
            <w:tcW w:w="2493" w:type="dxa"/>
          </w:tcPr>
          <w:p>
            <w:r>
              <w:rPr>
                <w:b w:val="1"/>
              </w:rPr>
              <w:t>Ключевые возможности</w:t>
            </w:r>
          </w:p>
        </w:tc>
        <w:tc>
          <w:tcPr>
            <w:tcW w:w="2493" w:type="dxa"/>
          </w:tcPr>
          <w:p>
            <w:r>
              <w:rPr>
                <w:b w:val="1"/>
              </w:rPr>
              <w:t>Для кого</w:t>
            </w:r>
          </w:p>
        </w:tc>
      </w:tr>
      <w:tr>
        <w:tc>
          <w:tcPr>
            <w:tcW w:w="2493" w:type="dxa"/>
            <w:shd w:val="clear" w:color="auto" w:fill="E0F2FE"/>
          </w:tcPr>
          <w:p>
            <w:r>
              <w:t>Standard</w:t>
            </w:r>
          </w:p>
        </w:tc>
        <w:tc>
          <w:tcPr>
            <w:tcW w:w="2493" w:type="dxa"/>
            <w:shd w:val="clear" w:color="auto" w:fill="E0F2FE"/>
          </w:tcPr>
          <w:p>
            <w:r>
              <w:t>Сервис-деск (help desk)</w:t>
            </w:r>
          </w:p>
        </w:tc>
        <w:tc>
          <w:tcPr>
            <w:tcW w:w="2493" w:type="dxa"/>
            <w:shd w:val="clear" w:color="auto" w:fill="E0F2FE"/>
          </w:tcPr>
          <w:p>
            <w:r>
              <w:t>Управление инцидентами, портал самообслуживания, база знаний, SLA, отчёты, многоплощадочная поддержка, автоназначение заявок, интеграция с AD/LDAP, API. Без управления активами.</w:t>
            </w:r>
          </w:p>
        </w:tc>
        <w:tc>
          <w:tcPr>
            <w:tcW w:w="2493" w:type="dxa"/>
            <w:shd w:val="clear" w:color="auto" w:fill="E0F2FE"/>
          </w:tcPr>
          <w:p>
            <w:r>
              <w:t>Небольшие команды, базовый приём и обработка заявок.</w:t>
            </w:r>
          </w:p>
        </w:tc>
      </w:tr>
      <w:tr>
        <w:tc>
          <w:tcPr>
            <w:tcW w:w="2493" w:type="dxa"/>
            <w:shd w:val="clear" w:color="auto" w:fill="BAE6FD"/>
          </w:tcPr>
          <w:p>
            <w:r>
              <w:t>Professional</w:t>
            </w:r>
          </w:p>
        </w:tc>
        <w:tc>
          <w:tcPr>
            <w:tcW w:w="2493" w:type="dxa"/>
            <w:shd w:val="clear" w:color="auto" w:fill="BAE6FD"/>
          </w:tcPr>
          <w:p>
            <w:r>
              <w:t>Сервис-деск + активы</w:t>
            </w:r>
          </w:p>
        </w:tc>
        <w:tc>
          <w:tcPr>
            <w:tcW w:w="2493" w:type="dxa"/>
            <w:shd w:val="clear" w:color="auto" w:fill="BAE6FD"/>
          </w:tcPr>
          <w:p>
            <w:r>
              <w:t>Всё из Standard + управление ИТ-активами, автообнаружение устройств, сканирование по агентам и по сети, закупки и договоры, отчёты по активам. CMDB — как дополнение.</w:t>
            </w:r>
          </w:p>
        </w:tc>
        <w:tc>
          <w:tcPr>
            <w:tcW w:w="2493" w:type="dxa"/>
            <w:shd w:val="clear" w:color="auto" w:fill="BAE6FD"/>
          </w:tcPr>
          <w:p>
            <w:r>
              <w:t>Организации, которым нужен учёт активов и лицензий вместе с заявками.</w:t>
            </w:r>
          </w:p>
        </w:tc>
      </w:tr>
      <w:tr>
        <w:tc>
          <w:tcPr>
            <w:tcW w:w="2493" w:type="dxa"/>
            <w:shd w:val="clear" w:color="auto" w:fill="A5F3FC"/>
          </w:tcPr>
          <w:p>
            <w:r>
              <w:t>Enterprise</w:t>
            </w:r>
          </w:p>
        </w:tc>
        <w:tc>
          <w:tcPr>
            <w:tcW w:w="2493" w:type="dxa"/>
            <w:shd w:val="clear" w:color="auto" w:fill="A5F3FC"/>
          </w:tcPr>
          <w:p>
            <w:r>
              <w:t>Полный ITSM</w:t>
            </w:r>
          </w:p>
        </w:tc>
        <w:tc>
          <w:tcPr>
            <w:tcW w:w="2493" w:type="dxa"/>
            <w:shd w:val="clear" w:color="auto" w:fill="A5F3FC"/>
          </w:tcPr>
          <w:p>
            <w:r>
              <w:t>Всё из Professional + управление проблемами, управление изменениями и релизами, каталог услуг с многоуровневыми согласованиями, управление ИТ-проектами, полноценная CMDB.</w:t>
            </w:r>
          </w:p>
        </w:tc>
        <w:tc>
          <w:tcPr>
            <w:tcW w:w="2493" w:type="dxa"/>
            <w:shd w:val="clear" w:color="auto" w:fill="A5F3FC"/>
          </w:tcPr>
          <w:p>
            <w:r>
              <w:t>Крупные организации и предприятия с полным циклом ITIL и проектами.</w:t>
            </w:r>
          </w:p>
        </w:tc>
      </w:tr>
    </w:tbl>
    <w:p/>
    <w:p>
      <w:r>
        <w:t>Во всех редакциях доступны: преобразование писем в заявки (email-to-ticket), интеграция с Active Directory/LDAP, поддержка нескольких порталов (ESM), SLA, база знаний, портал самообслуживания, отчёты и API. WebRemote доступен в Professional и Enterprise. Ограничения по числу активов зависят от редакции и размера лицензии.</w:t>
      </w:r>
    </w:p>
    <w:p/>
    <w:p>
      <w:pPr>
        <w:pStyle w:val="P13"/>
      </w:pPr>
      <w:r>
        <w:t>Функционал</w:t>
      </w:r>
    </w:p>
    <w:p>
      <w:pPr>
        <w:pStyle w:val="P3"/>
      </w:pPr>
      <w:r>
        <w:t>Управление инцидентами</w:t>
      </w:r>
    </w:p>
    <w:p>
      <w:pPr>
        <w:pStyle w:val="P22"/>
      </w:pPr>
      <w:r>
        <w:rPr>
          <w:b w:val="1"/>
        </w:rPr>
        <w:t>Приём и маршрутизация:</w:t>
      </w:r>
    </w:p>
    <w:p>
      <w:pPr>
        <w:pStyle w:val="P22"/>
      </w:pPr>
      <w:r>
        <w:t>Регистрация обращений по нескольким каналам: портал самообслуживания, почта, телефон, системы мониторинга (в т.ч. Zabbix и др.).</w:t>
      </w:r>
    </w:p>
    <w:p>
      <w:pPr>
        <w:pStyle w:val="P22"/>
      </w:pPr>
      <w:r>
        <w:t>Настройка правил обработки почтовых уведомлений: регистрация нового обращения, переписка в рамках открытой заявки, создание заявок от систем мониторинга.</w:t>
      </w:r>
    </w:p>
    <w:p>
      <w:pPr>
        <w:pStyle w:val="P22"/>
      </w:pPr>
      <w:r>
        <w:t>Связывание обращений с элементами и категориями CI в CMDB.</w:t>
      </w:r>
    </w:p>
    <w:p>
      <w:pPr>
        <w:pStyle w:val="P22"/>
      </w:pPr>
      <w:r>
        <w:t>Настраиваемый жизненный цикл заявки, автоматическое назначение техников по правилам и балансировка нагрузки.</w:t>
      </w:r>
    </w:p>
    <w:p>
      <w:pPr>
        <w:pStyle w:val="P22"/>
      </w:pPr>
      <w:r>
        <w:t>Классификация по категориям, влиянию и срочности.</w:t>
      </w:r>
    </w:p>
    <w:p>
      <w:pPr>
        <w:pStyle w:val="P22"/>
      </w:pPr>
      <w:r>
        <w:t>Оператор задач в заявке.</w:t>
      </w:r>
    </w:p>
    <w:p>
      <w:pPr>
        <w:pStyle w:val="P22"/>
      </w:pPr>
      <w:r>
        <w:rPr>
          <w:b w:val="1"/>
        </w:rPr>
        <w:t>Эскалация, SLA и удобство работы:</w:t>
      </w:r>
    </w:p>
    <w:p>
      <w:pPr>
        <w:pStyle w:val="P22"/>
      </w:pPr>
      <w:r>
        <w:t>Автоматизация эскалации (функциональная и иерархическая).</w:t>
      </w:r>
    </w:p>
    <w:p>
      <w:pPr>
        <w:pStyle w:val="P22"/>
      </w:pPr>
      <w:r>
        <w:t>Согласования на портале и по электронной почте.</w:t>
      </w:r>
    </w:p>
    <w:p>
      <w:pPr>
        <w:pStyle w:val="P22"/>
      </w:pPr>
      <w:r>
        <w:t>SLA по времени реакции и решения с эскалациями и уведомлениями.</w:t>
      </w:r>
    </w:p>
    <w:p>
      <w:pPr>
        <w:pStyle w:val="P22"/>
      </w:pPr>
      <w:r>
        <w:t>Выделение заявок цветом в зависимости от оставшегося времени по SLA.</w:t>
      </w:r>
    </w:p>
    <w:p>
      <w:pPr>
        <w:pStyle w:val="P22"/>
      </w:pPr>
      <w:r>
        <w:t>Поиск и фильтрация списков заявок.</w:t>
      </w:r>
    </w:p>
    <w:p>
      <w:pPr>
        <w:pStyle w:val="P22"/>
      </w:pPr>
      <w:r>
        <w:t>Интеграция с базой знаний и рекомендация статей БЗ при регистрации заявки пользователем.</w:t>
      </w:r>
    </w:p>
    <w:p>
      <w:pPr>
        <w:pStyle w:val="P3"/>
      </w:pPr>
      <w:r>
        <w:t>Управление активами (ITAM)</w:t>
      </w:r>
    </w:p>
    <w:p>
      <w:pPr>
        <w:pStyle w:val="P22"/>
      </w:pPr>
      <w:r>
        <w:rPr>
          <w:b w:val="1"/>
        </w:rPr>
        <w:t>Обнаружение и учёт:</w:t>
      </w:r>
    </w:p>
    <w:p>
      <w:pPr>
        <w:pStyle w:val="P22"/>
      </w:pPr>
      <w:r>
        <w:t>Обнаружение устройств по сети и по агентам (Windows, macOS, Linux).</w:t>
      </w:r>
    </w:p>
    <w:p>
      <w:pPr>
        <w:pStyle w:val="P22"/>
      </w:pPr>
      <w:r>
        <w:t>Учёт железа и ПО, управление лицензиями и соответствием.</w:t>
      </w:r>
    </w:p>
    <w:p>
      <w:pPr>
        <w:pStyle w:val="P22"/>
      </w:pPr>
      <w:r>
        <w:t>Связь активов с заявками и CMDB для анализа влияния сбоев и планирования изменений.</w:t>
      </w:r>
    </w:p>
    <w:p>
      <w:pPr>
        <w:pStyle w:val="P22"/>
      </w:pPr>
      <w:r>
        <w:rPr>
          <w:b w:val="1"/>
        </w:rPr>
        <w:t>Закупки и договоры:</w:t>
      </w:r>
    </w:p>
    <w:p>
      <w:pPr>
        <w:pStyle w:val="P22"/>
      </w:pPr>
      <w:r>
        <w:t>Управление закупками и договорами.</w:t>
      </w:r>
    </w:p>
    <w:p>
      <w:pPr>
        <w:pStyle w:val="P22"/>
      </w:pPr>
      <w:r>
        <w:t>Напоминания об истечении гарантий и контрактов.</w:t>
      </w:r>
    </w:p>
    <w:p>
      <w:pPr>
        <w:pStyle w:val="P3"/>
      </w:pPr>
      <w:r>
        <w:t>CMDB (база конфигураций)</w:t>
      </w:r>
    </w:p>
    <w:p>
      <w:pPr>
        <w:pStyle w:val="P22"/>
      </w:pPr>
      <w:r>
        <w:rPr>
          <w:b w:val="1"/>
        </w:rPr>
        <w:t>Модель и визуализация:</w:t>
      </w:r>
    </w:p>
    <w:p>
      <w:pPr>
        <w:pStyle w:val="P22"/>
      </w:pPr>
      <w:r>
        <w:t>Ведение CMDB с различными типами связей CI, атрибутами, классификаторами и статусами (жизненный цикл CI).</w:t>
      </w:r>
    </w:p>
    <w:p>
      <w:pPr>
        <w:pStyle w:val="P22"/>
      </w:pPr>
      <w:r>
        <w:t>Визуализация взаимосвязей конфигурационных единиц.</w:t>
      </w:r>
    </w:p>
    <w:p>
      <w:pPr>
        <w:pStyle w:val="P22"/>
      </w:pPr>
      <w:r>
        <w:t>Динамическое взаимодействие с деревом (развёртка/свёртка, переход на нужный уровень).</w:t>
      </w:r>
    </w:p>
    <w:p>
      <w:pPr>
        <w:pStyle w:val="P22"/>
      </w:pPr>
      <w:r>
        <w:rPr>
          <w:b w:val="1"/>
        </w:rPr>
        <w:t>Расчёт стоимости и использование:</w:t>
      </w:r>
    </w:p>
    <w:p>
      <w:pPr>
        <w:pStyle w:val="P22"/>
      </w:pPr>
      <w:r>
        <w:t>Расчёт и просмотр TCO для конфигурационных единиц.</w:t>
      </w:r>
    </w:p>
    <w:p>
      <w:pPr>
        <w:pStyle w:val="P22"/>
      </w:pPr>
      <w:r>
        <w:t>Автоматизация расчёта стоимости оказания услуг в разрезе месяца и года.</w:t>
      </w:r>
    </w:p>
    <w:p>
      <w:pPr>
        <w:pStyle w:val="P22"/>
      </w:pPr>
      <w:r>
        <w:t>Использование CMDB при анализе инцидентов, проблем и изменений для принятия решений по влиянию на инфраструктуру.</w:t>
      </w:r>
    </w:p>
    <w:p>
      <w:pPr>
        <w:pStyle w:val="P3"/>
      </w:pPr>
      <w:r>
        <w:t>Каталог услуг</w:t>
      </w:r>
    </w:p>
    <w:p>
      <w:pPr>
        <w:pStyle w:val="P22"/>
      </w:pPr>
      <w:r>
        <w:rPr>
          <w:b w:val="1"/>
        </w:rPr>
        <w:t>Публикация и привязки:</w:t>
      </w:r>
    </w:p>
    <w:p>
      <w:pPr>
        <w:pStyle w:val="P22"/>
      </w:pPr>
      <w:r>
        <w:t>Публикация ИТ- и бизнес-услуг на портале самообслуживания с настраиваемыми шаблонами запросов.</w:t>
      </w:r>
    </w:p>
    <w:p>
      <w:pPr>
        <w:pStyle w:val="P22"/>
      </w:pPr>
      <w:r>
        <w:t>Привязка каталога к CMDB.</w:t>
      </w:r>
    </w:p>
    <w:p>
      <w:pPr>
        <w:pStyle w:val="P22"/>
      </w:pPr>
      <w:r>
        <w:t>Привязка контрактов к услугам (расчёт стоимости предоставления услуг).</w:t>
      </w:r>
    </w:p>
    <w:p>
      <w:pPr>
        <w:pStyle w:val="P22"/>
      </w:pPr>
      <w:r>
        <w:rPr>
          <w:b w:val="1"/>
        </w:rPr>
        <w:t>Согласования и доступ:</w:t>
      </w:r>
    </w:p>
    <w:p>
      <w:pPr>
        <w:pStyle w:val="P22"/>
      </w:pPr>
      <w:r>
        <w:t>Многоуровневые согласования, SLA и задачи по каждому типу услуги.</w:t>
      </w:r>
    </w:p>
    <w:p>
      <w:pPr>
        <w:pStyle w:val="P22"/>
      </w:pPr>
      <w:r>
        <w:t>Персонализированный доступ к каталогу по ролям и правам.</w:t>
      </w:r>
    </w:p>
    <w:p>
      <w:pPr>
        <w:pStyle w:val="P22"/>
      </w:pPr>
      <w:r>
        <w:t>Возможность создания обращения или инцидента по доступным пользователю услугам.</w:t>
      </w:r>
    </w:p>
    <w:p>
      <w:pPr>
        <w:pStyle w:val="P3"/>
      </w:pPr>
      <w:r>
        <w:t>Управление изменениями и релизами</w:t>
      </w:r>
    </w:p>
    <w:p>
      <w:pPr>
        <w:pStyle w:val="P22"/>
      </w:pPr>
      <w:r>
        <w:rPr>
          <w:b w:val="1"/>
        </w:rPr>
        <w:t>Изменения:</w:t>
      </w:r>
    </w:p>
    <w:p>
      <w:pPr>
        <w:pStyle w:val="P22"/>
      </w:pPr>
      <w:r>
        <w:t>Типы изменений (стандартные, срочные, критичные) с отдельными рабочими процессами.</w:t>
      </w:r>
    </w:p>
    <w:p>
      <w:pPr>
        <w:pStyle w:val="P22"/>
      </w:pPr>
      <w:r>
        <w:t>Визуальный конструктор этапов, согласований и уведомлений.</w:t>
      </w:r>
    </w:p>
    <w:p>
      <w:pPr>
        <w:pStyle w:val="P22"/>
      </w:pPr>
      <w:r>
        <w:t>CAB, планы внедрения и отката.</w:t>
      </w:r>
    </w:p>
    <w:p>
      <w:pPr>
        <w:pStyle w:val="P22"/>
      </w:pPr>
      <w:r>
        <w:t>Календарь изменений и проверка конфликтов.</w:t>
      </w:r>
    </w:p>
    <w:p>
      <w:pPr>
        <w:pStyle w:val="P22"/>
      </w:pPr>
      <w:r>
        <w:rPr>
          <w:b w:val="1"/>
        </w:rPr>
        <w:t>Релизы:</w:t>
      </w:r>
    </w:p>
    <w:p>
      <w:pPr>
        <w:pStyle w:val="P22"/>
      </w:pPr>
      <w:r>
        <w:t>Управление релизами с шаблонами и этапами.</w:t>
      </w:r>
    </w:p>
    <w:p>
      <w:pPr>
        <w:pStyle w:val="P22"/>
      </w:pPr>
      <w:r>
        <w:t>Связь релизов с изменениями и активами.</w:t>
      </w:r>
    </w:p>
    <w:p>
      <w:pPr>
        <w:pStyle w:val="P3"/>
      </w:pPr>
      <w:r>
        <w:t>База знаний и портал самообслуживания</w:t>
      </w:r>
    </w:p>
    <w:p>
      <w:pPr>
        <w:pStyle w:val="P22"/>
      </w:pPr>
      <w:r>
        <w:rPr>
          <w:b w:val="1"/>
        </w:rPr>
        <w:t>База знаний:</w:t>
      </w:r>
    </w:p>
    <w:p>
      <w:pPr>
        <w:pStyle w:val="P22"/>
      </w:pPr>
      <w:r>
        <w:t>База знаний на портале самообслуживания с полнотекстовым поиском, категориями и процессом согласования статей.</w:t>
      </w:r>
    </w:p>
    <w:p>
      <w:pPr>
        <w:pStyle w:val="P22"/>
      </w:pPr>
      <w:r>
        <w:t>Рекомендация статей БЗ при регистрации заявки пользователем.</w:t>
      </w:r>
    </w:p>
    <w:p>
      <w:pPr>
        <w:pStyle w:val="P22"/>
      </w:pPr>
      <w:r>
        <w:t>Публикация решений на портале для снижения потока типовых заявок.</w:t>
      </w:r>
    </w:p>
    <w:p>
      <w:pPr>
        <w:pStyle w:val="P22"/>
      </w:pPr>
      <w:r>
        <w:rPr>
          <w:b w:val="1"/>
        </w:rPr>
        <w:t>Портал и интерфейс:</w:t>
      </w:r>
    </w:p>
    <w:p>
      <w:pPr>
        <w:pStyle w:val="P22"/>
      </w:pPr>
      <w:r>
        <w:t>Брендирование и изменение внешнего вида портала.</w:t>
      </w:r>
    </w:p>
    <w:p>
      <w:pPr>
        <w:pStyle w:val="P22"/>
      </w:pPr>
      <w:r>
        <w:t>Персонализация в зависимости от прав пользователя (роли): доступность и отображение списков услуг.</w:t>
      </w:r>
    </w:p>
    <w:p>
      <w:pPr>
        <w:pStyle w:val="P22"/>
      </w:pPr>
      <w:r>
        <w:t>События и новости на портале.</w:t>
      </w:r>
    </w:p>
    <w:p>
      <w:pPr>
        <w:pStyle w:val="P22"/>
      </w:pPr>
      <w:r>
        <w:t>Виджеты, каталог услуг, отслеживание статуса запросов.</w:t>
      </w:r>
    </w:p>
    <w:p>
      <w:pPr>
        <w:pStyle w:val="P22"/>
      </w:pPr>
      <w:r>
        <w:t>Настройка интерфейса в зависимости от роли пользователя.</w:t>
      </w:r>
    </w:p>
    <w:p>
      <w:pPr>
        <w:pStyle w:val="P22"/>
      </w:pPr>
      <w:r>
        <w:t>Поддержка мобильных приложений.</w:t>
      </w:r>
    </w:p>
    <w:p>
      <w:pPr>
        <w:pStyle w:val="P3"/>
      </w:pPr>
      <w:r>
        <w:t>Отчётность и дашборды</w:t>
      </w:r>
    </w:p>
    <w:p>
      <w:pPr>
        <w:pStyle w:val="P22"/>
      </w:pPr>
      <w:r>
        <w:rPr>
          <w:b w:val="1"/>
        </w:rPr>
        <w:t>Отчёты:</w:t>
      </w:r>
    </w:p>
    <w:p>
      <w:pPr>
        <w:pStyle w:val="P22"/>
      </w:pPr>
      <w:r>
        <w:t>Формирование отчётов в графическом интерфейсе (настройка мышью).</w:t>
      </w:r>
    </w:p>
    <w:p>
      <w:pPr>
        <w:pStyle w:val="P22"/>
      </w:pPr>
      <w:r>
        <w:t>Отчёты в рамках разделов (инциденты, активы, изменения, SLA, загрузка техников), настраиваемые в графическом интерфейсе.</w:t>
      </w:r>
    </w:p>
    <w:p>
      <w:pPr>
        <w:pStyle w:val="P22"/>
      </w:pPr>
      <w:r>
        <w:t>Возможность самостоятельного написания SQL-запросов для отчётов (on-premises).</w:t>
      </w:r>
    </w:p>
    <w:p>
      <w:pPr>
        <w:pStyle w:val="P22"/>
      </w:pPr>
      <w:r>
        <w:t>Выгрузка отчётов в xls, pdf, xml.</w:t>
      </w:r>
    </w:p>
    <w:p>
      <w:pPr>
        <w:pStyle w:val="P22"/>
      </w:pPr>
      <w:r>
        <w:t>Единый отчёт по мониторингу SLA всех услуг.</w:t>
      </w:r>
    </w:p>
    <w:p>
      <w:pPr>
        <w:pStyle w:val="P22"/>
      </w:pPr>
      <w:r>
        <w:rPr>
          <w:b w:val="1"/>
        </w:rPr>
        <w:t>Дашборды и аналитика:</w:t>
      </w:r>
    </w:p>
    <w:p>
      <w:pPr>
        <w:pStyle w:val="P22"/>
      </w:pPr>
      <w:r>
        <w:t>Планировщик рассылки отчётов по почте.</w:t>
      </w:r>
    </w:p>
    <w:p>
      <w:pPr>
        <w:pStyle w:val="P22"/>
      </w:pPr>
      <w:r>
        <w:t>Интерактивные дашборды с виджетами.</w:t>
      </w:r>
    </w:p>
    <w:p>
      <w:pPr>
        <w:pStyle w:val="P22"/>
      </w:pPr>
      <w:r>
        <w:t>Интеграция с Zoho Analytics / Analytics Plus для расширенной аналитики.</w:t>
      </w:r>
    </w:p>
    <w:p>
      <w:pPr>
        <w:pStyle w:val="P3"/>
      </w:pPr>
      <w:r>
        <w:t>Enterprise Service Management (ESM)</w:t>
      </w:r>
    </w:p>
    <w:p>
      <w:pPr>
        <w:pStyle w:val="P22"/>
      </w:pPr>
      <w:r>
        <w:rPr>
          <w:b w:val="1"/>
        </w:rPr>
        <w:t>Суть ESM:</w:t>
      </w:r>
    </w:p>
    <w:p>
      <w:pPr>
        <w:pStyle w:val="P22"/>
      </w:pPr>
      <w:r>
        <w:t>Enterprise Service Management — управление корпоративным сервисом в едином информационном пространстве предприятия.</w:t>
      </w:r>
    </w:p>
    <w:p>
      <w:pPr>
        <w:pStyle w:val="P22"/>
      </w:pPr>
      <w:r>
        <w:t>Одновременная автоматизация нескольких направлений: ИТ-поддержка, оборудование, HR, финансы и др.</w:t>
      </w:r>
    </w:p>
    <w:p>
      <w:pPr>
        <w:pStyle w:val="P22"/>
      </w:pPr>
      <w:r>
        <w:t>Для каждого отдела или организации создаётся отдельный экземпляр службы поддержки со своими шаблонами, пользователями и рабочими процессами.</w:t>
      </w:r>
    </w:p>
    <w:p>
      <w:pPr>
        <w:pStyle w:val="P22"/>
      </w:pPr>
      <w:r>
        <w:t>Поддержка методологии ITIL для ИТ-подразделений.</w:t>
      </w:r>
    </w:p>
    <w:p>
      <w:pPr>
        <w:pStyle w:val="P22"/>
      </w:pPr>
      <w:r>
        <w:rPr>
          <w:b w:val="1"/>
        </w:rPr>
        <w:t>Портал ESM и экземпляры:</w:t>
      </w:r>
    </w:p>
    <w:p>
      <w:pPr>
        <w:pStyle w:val="P22"/>
      </w:pPr>
      <w:r>
        <w:t>Портал ESM — единая консоль, в которой пользователи работают с разными экземплярами служб, создают и обрабатывают заявки, управляют настройками.</w:t>
      </w:r>
    </w:p>
    <w:p>
      <w:pPr>
        <w:pStyle w:val="P22"/>
      </w:pPr>
      <w:r>
        <w:t>Экземпляры могут работать независимо друг от друга, использовать общие справочники или обмениваться данными внутри системы.</w:t>
      </w:r>
    </w:p>
    <w:p>
      <w:pPr>
        <w:pStyle w:val="P22"/>
      </w:pPr>
      <w:r>
        <w:t>Каталог ESM: пользователи, экземпляры, права доступа, авторизация.</w:t>
      </w:r>
    </w:p>
    <w:p>
      <w:pPr>
        <w:pStyle w:val="P3"/>
      </w:pPr>
      <w:r>
        <w:t>Интеграции</w:t>
      </w:r>
    </w:p>
    <w:p>
      <w:pPr>
        <w:pStyle w:val="P22"/>
      </w:pPr>
      <w:r>
        <w:rPr>
          <w:b w:val="1"/>
        </w:rPr>
        <w:t>ManageEngine и мониторинг:</w:t>
      </w:r>
    </w:p>
    <w:p>
      <w:pPr>
        <w:pStyle w:val="P22"/>
      </w:pPr>
      <w:r>
        <w:t>Нативные интеграции</w:t>
      </w:r>
      <w:r>
        <w:rPr>
          <w:rtl w:val="0"/>
          <w:lang w:val="ru-RU" w:bidi="ru-RU" w:eastAsia="ru-RU"/>
        </w:rPr>
        <w:t xml:space="preserve"> с решениями </w:t>
      </w:r>
      <w:r>
        <w:rPr>
          <w:rtl w:val="0"/>
          <w:lang w:val="ru-RU" w:bidi="ru-RU" w:eastAsia="ru-RU"/>
        </w:rPr>
        <w:t xml:space="preserve">от </w:t>
      </w:r>
      <w:r>
        <w:rPr>
          <w:rtl w:val="0"/>
          <w:lang w:val="en-US" w:bidi="en-US" w:eastAsia="en-US"/>
        </w:rPr>
        <w:t>ManageEngine</w:t>
      </w:r>
      <w:r>
        <w:t>: OpManager, Endpoint Central (Desktop Central), Applications Manager, ADManager Plus, ADSelfService Plus, Password Manager Pro, Site24x7.</w:t>
      </w:r>
    </w:p>
    <w:p>
      <w:pPr>
        <w:pStyle w:val="P22"/>
      </w:pPr>
      <w:r>
        <w:t>Настройка интеграции с Zabbix и правил регистрации инцидентов от систем мониторинга.</w:t>
      </w:r>
    </w:p>
    <w:p>
      <w:pPr>
        <w:pStyle w:val="P22"/>
      </w:pPr>
      <w:r>
        <w:rPr>
          <w:b w:val="1"/>
        </w:rPr>
        <w:t>Бизнес-системы и API:</w:t>
      </w:r>
    </w:p>
    <w:p>
      <w:pPr>
        <w:pStyle w:val="P22"/>
      </w:pPr>
      <w:r>
        <w:t>Интеграция с Jira (создание задач по проектам, получение задач из проектов, создание проектов).</w:t>
      </w:r>
    </w:p>
    <w:p>
      <w:pPr>
        <w:pStyle w:val="P22"/>
      </w:pPr>
      <w:r>
        <w:t>Бизнес-интеграции: Outlook, Office 365, Microsoft Teams, календарь O365.</w:t>
      </w:r>
    </w:p>
    <w:p>
      <w:pPr>
        <w:pStyle w:val="P22"/>
      </w:pPr>
      <w:r>
        <w:t>Поддержка WebServices, REST API. Полный доступ к данным и автоматизации через API.</w:t>
      </w:r>
    </w:p>
    <w:p/>
    <w:p>
      <w:pPr>
        <w:pStyle w:val="P13"/>
      </w:pPr>
      <w:r>
        <w:t>3. Облачное и локальное размещение</w:t>
      </w:r>
    </w:p>
    <w:p>
      <w:r>
        <w:t>ServiceDesk Plus доступен в двух вариантах: облако (SaaS) и локальное развёртывание (on-premises).</w:t>
      </w:r>
    </w:p>
    <w:p>
      <w:pPr>
        <w:pStyle w:val="P22"/>
      </w:pPr>
      <w:r>
        <w:t>Облако (Cloud): подписка, хостинг в дата-центрах ManageEngine в разных регионах (США, ЕС, Австралия, Индия и др.).</w:t>
      </w:r>
    </w:p>
    <w:p>
      <w:pPr>
        <w:pStyle w:val="P22"/>
      </w:pPr>
      <w:r>
        <w:t>Локальное развёртывание (On-Premises): установка на инфраструктуре заказчика; лицензия бессрочная или годовая; полный контроль над данными. Требования: Windows или Linux; СУБД по документации.</w:t>
      </w:r>
    </w:p>
    <w:p/>
    <w:p>
      <w:pPr>
        <w:pStyle w:val="P13"/>
      </w:pPr>
      <w:r>
        <w:t>4. ServiceDesk Plus MSP</w:t>
      </w:r>
    </w:p>
    <w:p>
      <w:r>
        <w:t>ServiceDesk Plus MSP — отдельный продукт для провайдеров управляемых услуг (MSP). Единая платформа объединяет возможности ITSM (в т.ч. ITAM, CMDB) и элементы PSA: настройка и предоставление сервисов для нескольких заказчиков с учётом прибыльности.</w:t>
      </w:r>
    </w:p>
    <w:p>
      <w:pPr>
        <w:pStyle w:val="P22"/>
      </w:pPr>
      <w:r>
        <w:t>Мультитенантность: отдельные настройки автоматизации, SLA, базы знаний, активы и отчёты для каждого клиента.</w:t>
      </w:r>
    </w:p>
    <w:p>
      <w:pPr>
        <w:pStyle w:val="P22"/>
      </w:pPr>
      <w:r>
        <w:t>Мультисайтовая поддержка: управление несколькими площадками заказчиков из одной консоли с разными часовыми поясами, правилами и SLA.</w:t>
      </w:r>
    </w:p>
    <w:p>
      <w:pPr>
        <w:pStyle w:val="P22"/>
      </w:pPr>
      <w:r>
        <w:t>Биллинг: предопределённые сервисные планы и рекуррентные платежи.</w:t>
      </w:r>
    </w:p>
    <w:p>
      <w:pPr>
        <w:pStyle w:val="P22"/>
      </w:pPr>
      <w:r>
        <w:t>Интеграция с RMM-инструментами ManageEngine (например, RMM Central): единая консоль для мониторинга и сервис-деска.</w:t>
      </w:r>
    </w:p>
    <w:p>
      <w:pPr>
        <w:pStyle w:val="P22"/>
      </w:pPr>
      <w:r>
        <w:t>Автоматизация: визуальные конструкторы рабочих процессов без кода.</w:t>
      </w:r>
    </w:p>
    <w:p>
      <w:pPr>
        <w:pStyle w:val="P22"/>
      </w:pPr>
      <w:r>
        <w:t>ИИ-агент Zia доступен как первая линия поддержки (функция не адаптирована для российского рынка).</w:t>
      </w:r>
    </w:p>
    <w:p>
      <w:r>
        <w:t>MSP доступен в облаке и on-premises; редакции и цены отличаются от «обычного» ServiceDesk Plus. Подробности: manageengine.com/products/service-desk-msp</w:t>
      </w:r>
    </w:p>
    <w:p/>
    <w:p>
      <w:pPr>
        <w:pStyle w:val="P13"/>
      </w:pPr>
      <w:r>
        <w:t>5. Преимущества и ключевые особенности ServiceDesk Plus</w:t>
      </w:r>
    </w:p>
    <w:p>
      <w:pPr>
        <w:pStyle w:val="P22"/>
      </w:pPr>
      <w:r>
        <w:t>Масштабируемость по зрелости: три редакции позволяют начать с help desk и поэтапно подключать активы, затем изменения, проблемы, каталог услуг, проекты и CMDB.</w:t>
      </w:r>
    </w:p>
    <w:p>
      <w:pPr>
        <w:pStyle w:val="P22"/>
      </w:pPr>
      <w:r>
        <w:t>Неограниченное количество конечных пользователей и согласующих: лицензия считается на техников; запросчики и согласующие не лицензируются отдельно.</w:t>
      </w:r>
    </w:p>
    <w:p>
      <w:pPr>
        <w:pStyle w:val="P22"/>
      </w:pPr>
      <w:r>
        <w:t>Готовая автоматизация: почтовые правила, бизнес-правила, триггеры, правила полей и форм (создание и редактирование произвольных полей формы в зависимости от выбранных значений), настраиваемый жизненный цикл заявки, планировщик задач; для сложных сценариев — пользовательские функции и скрипты.</w:t>
      </w:r>
    </w:p>
    <w:p>
      <w:pPr>
        <w:pStyle w:val="P22"/>
      </w:pPr>
      <w:r>
        <w:t>Персонализация и настройка: интерфейсы в зависимости от пользователя, роли и места работы; управление ролями и правами доступа (по ролям и услугам); управление данными (услуги, роли, пользователи, группы); расширяемость системы.</w:t>
      </w:r>
    </w:p>
    <w:p>
      <w:pPr>
        <w:pStyle w:val="P22"/>
      </w:pPr>
      <w:r>
        <w:t>Интеграции: нативные интеграции с продуктами ManageEngine (OpManager, Endpoint Central, ADManager Plus, ADSelfService Plus, Password Manager Pro, Site24x7 и др.), а также с Outlook, Office 365, Microsoft Teams, Jira, полный доступ — через REST API.</w:t>
      </w:r>
    </w:p>
    <w:p>
      <w:pPr>
        <w:pStyle w:val="P22"/>
      </w:pPr>
      <w:r>
        <w:t>ИИ и аналитика: умная категоризация заявок, предсказание приоритета, автоназначение техников, виртуальный агент Zia, интеграция с Zoho Analytics/Analytics Plus. (Функции помощника Zia пока не адаптированы для использования в России.)</w:t>
      </w:r>
    </w:p>
    <w:p>
      <w:pPr>
        <w:pStyle w:val="P22"/>
      </w:pPr>
      <w:r>
        <w:t>Признание рынка: ManageEngine фигурирует в отчётах Gartner (Magic Quadrant для ITSM) и Forrester (Total Economic Impact).</w:t>
      </w:r>
    </w:p>
    <w:p>
      <w:pPr>
        <w:pStyle w:val="P22"/>
      </w:pPr>
      <w:r>
        <w:t>Функциональное мобильное приложение для техников и пользователей (в том числе от российских разработчиков).</w:t>
      </w:r>
    </w:p>
    <w:p/>
    <w:p>
      <w:pPr>
        <w:pStyle w:val="P13"/>
      </w:pPr>
      <w:r>
        <w:t>Ограничения и особенности</w:t>
      </w:r>
    </w:p>
    <w:p>
      <w:r>
        <w:t>Часть продвинутых возможностей ИИ и интеграций доступна только в облачной версии или в определённых регионах. В редакции Standard нет управления активами и WebRemote (удалённый доступ к рабочим станциям).</w:t>
      </w:r>
    </w:p>
    <w:p/>
    <w:p>
      <w:pPr>
        <w:pStyle w:val="P13"/>
      </w:pPr>
      <w:r>
        <w:t>Глоссарий</w:t>
      </w:r>
    </w:p>
    <w:p>
      <w:r>
        <w:t>Краткие пояснения терминов.</w:t>
      </w:r>
    </w:p>
    <w:tbl>
      <w:tblPr>
        <w:tblStyle w:val="T11"/>
        <w:tblW w:w="0" w:type="auto"/>
        <w:tblLook w:val="04A0"/>
      </w:tblPr>
      <w:tblGrid>
        <w:gridCol w:w="4986"/>
        <w:gridCol w:w="4986"/>
      </w:tblGrid>
      <w:tr>
        <w:tc>
          <w:tcPr>
            <w:tcW w:w="4986" w:type="dxa"/>
          </w:tcPr>
          <w:p>
            <w:r>
              <w:rPr>
                <w:b w:val="1"/>
              </w:rPr>
              <w:t>Термин</w:t>
            </w:r>
          </w:p>
        </w:tc>
        <w:tc>
          <w:tcPr>
            <w:tcW w:w="4986" w:type="dxa"/>
          </w:tcPr>
          <w:p>
            <w:r>
              <w:rPr>
                <w:b w:val="1"/>
              </w:rPr>
              <w:t>Пояснение</w:t>
            </w:r>
          </w:p>
        </w:tc>
      </w:tr>
      <w:tr>
        <w:tc>
          <w:tcPr>
            <w:tcW w:w="4986" w:type="dxa"/>
          </w:tcPr>
          <w:p>
            <w:r>
              <w:t>ITSM</w:t>
            </w:r>
          </w:p>
        </w:tc>
        <w:tc>
          <w:tcPr>
            <w:tcW w:w="4986" w:type="dxa"/>
          </w:tcPr>
          <w:p>
            <w:r>
              <w:t>Управление ИТ-услугами — процессы и практики для проектирования, предоставления и поддержки ИТ-услуг.</w:t>
            </w:r>
          </w:p>
        </w:tc>
      </w:tr>
      <w:tr>
        <w:tc>
          <w:tcPr>
            <w:tcW w:w="4986" w:type="dxa"/>
          </w:tcPr>
          <w:p>
            <w:r>
              <w:t>ESM</w:t>
            </w:r>
          </w:p>
        </w:tc>
        <w:tc>
          <w:tcPr>
            <w:tcW w:w="4986" w:type="dxa"/>
          </w:tcPr>
          <w:p>
            <w:r>
              <w:t>Корпоративное сервисное управление — распространение ITSM на HR, финансы, эксплуатацию и т.д.</w:t>
            </w:r>
          </w:p>
        </w:tc>
      </w:tr>
      <w:tr>
        <w:tc>
          <w:tcPr>
            <w:tcW w:w="4986" w:type="dxa"/>
          </w:tcPr>
          <w:p>
            <w:r>
              <w:t>ITIL®</w:t>
            </w:r>
          </w:p>
        </w:tc>
        <w:tc>
          <w:tcPr>
            <w:tcW w:w="4986" w:type="dxa"/>
          </w:tcPr>
          <w:p>
            <w:r>
              <w:t>Набор лучших практик по управлению ИТ-услугами; ServiceDesk Plus поддерживает процессы ITIL.</w:t>
            </w:r>
          </w:p>
        </w:tc>
      </w:tr>
      <w:tr>
        <w:tc>
          <w:tcPr>
            <w:tcW w:w="4986" w:type="dxa"/>
          </w:tcPr>
          <w:p>
            <w:r>
              <w:t>CMDB</w:t>
            </w:r>
          </w:p>
        </w:tc>
        <w:tc>
          <w:tcPr>
            <w:tcW w:w="4986" w:type="dxa"/>
          </w:tcPr>
          <w:p>
            <w:r>
              <w:t>База конфигураций — элементы CI и связи для учёта инфраструктуры и влияния изменений.</w:t>
            </w:r>
          </w:p>
        </w:tc>
      </w:tr>
      <w:tr>
        <w:tc>
          <w:tcPr>
            <w:tcW w:w="4986" w:type="dxa"/>
          </w:tcPr>
          <w:p>
            <w:r>
              <w:t>SLA</w:t>
            </w:r>
          </w:p>
        </w:tc>
        <w:tc>
          <w:tcPr>
            <w:tcW w:w="4986" w:type="dxa"/>
          </w:tcPr>
          <w:p>
            <w:r>
              <w:t>Соглашение об уровне обслуживания — сроки реакции и решения заявок с эскалацией.</w:t>
            </w:r>
          </w:p>
        </w:tc>
      </w:tr>
      <w:tr>
        <w:tc>
          <w:tcPr>
            <w:tcW w:w="4986" w:type="dxa"/>
          </w:tcPr>
          <w:p>
            <w:r>
              <w:t>WebRemote</w:t>
            </w:r>
          </w:p>
        </w:tc>
        <w:tc>
          <w:tcPr>
            <w:tcW w:w="4986" w:type="dxa"/>
          </w:tcPr>
          <w:p>
            <w:r>
              <w:t>Удалённый доступ к рабочим станциям из консоли (Professional и Enterprise).</w:t>
            </w:r>
          </w:p>
        </w:tc>
      </w:tr>
      <w:tr>
        <w:tc>
          <w:tcPr>
            <w:tcW w:w="4986" w:type="dxa"/>
          </w:tcPr>
          <w:p>
            <w:r>
              <w:t>SaaS</w:t>
            </w:r>
          </w:p>
        </w:tc>
        <w:tc>
          <w:tcPr>
            <w:tcW w:w="4986" w:type="dxa"/>
          </w:tcPr>
          <w:p>
            <w:r>
              <w:t>ПО как услуга — облачное развёртывание с подпиской.</w:t>
            </w:r>
          </w:p>
        </w:tc>
      </w:tr>
      <w:tr>
        <w:tc>
          <w:tcPr>
            <w:tcW w:w="4986" w:type="dxa"/>
          </w:tcPr>
          <w:p>
            <w:r>
              <w:t>On-premises</w:t>
            </w:r>
          </w:p>
        </w:tc>
        <w:tc>
          <w:tcPr>
            <w:tcW w:w="4986" w:type="dxa"/>
          </w:tcPr>
          <w:p>
            <w:r>
              <w:t>Локальное развёртывание на инфраструктуре заказчика.</w:t>
            </w:r>
          </w:p>
        </w:tc>
      </w:tr>
      <w:tr>
        <w:tc>
          <w:tcPr>
            <w:tcW w:w="4986" w:type="dxa"/>
          </w:tcPr>
          <w:p>
            <w:r>
              <w:t>MSP</w:t>
            </w:r>
          </w:p>
        </w:tc>
        <w:tc>
          <w:tcPr>
            <w:tcW w:w="4986" w:type="dxa"/>
          </w:tcPr>
          <w:p>
            <w:r>
              <w:t>Managed Service Provider — провайдер управляемых услуг; версия ServiceDesk Plus MSP.</w:t>
            </w:r>
          </w:p>
        </w:tc>
      </w:tr>
    </w:tbl>
    <w:p/>
    <w:p>
      <w:pPr>
        <w:pStyle w:val="P13"/>
      </w:pPr>
      <w:r>
        <w:t>Источники и полезные ссылки</w:t>
      </w:r>
    </w:p>
    <w:p>
      <w:pPr>
        <w:pStyle w:val="P22"/>
      </w:pPr>
      <w:r>
        <w:t>Официальная страница продукта: https://www.manageengine.com/products/service-desk/</w:t>
      </w:r>
    </w:p>
    <w:p>
      <w:pPr>
        <w:pStyle w:val="P22"/>
      </w:pPr>
      <w:r>
        <w:t>Сравнение редакций: https://www.manageengine.com/products/service-desk/sdp-editions.html</w:t>
      </w:r>
    </w:p>
    <w:p>
      <w:pPr>
        <w:pStyle w:val="P22"/>
      </w:pPr>
      <w:r>
        <w:t>On-Premises vs. Cloud: https://www.manageengine.com/products/service-desk/hosted-on-premise-vs-saas-cloud.html</w:t>
      </w:r>
    </w:p>
    <w:p>
      <w:pPr>
        <w:pStyle w:val="P22"/>
      </w:pPr>
      <w:r>
        <w:t>ServiceDesk Plus MSP: https://www.manageengine.com/products/service-desk-msp/</w:t>
      </w:r>
    </w:p>
    <w:p>
      <w:pPr>
        <w:pStyle w:val="P22"/>
      </w:pPr>
      <w:r>
        <w:t>Клиенты: https://www.manageengine.com/customers.html</w:t>
      </w:r>
    </w:p>
    <w:sectPr>
      <w:type w:val="nextPage"/>
      <w:pgMar w:left="1134" w:right="1134" w:top="850" w:bottom="85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EECE76F">
      <w:start w:val="1"/>
      <w:numFmt w:val="decimal"/>
      <w:suff w:val="tab"/>
      <w:lvlText w:val="%1."/>
      <w:lvlJc w:val="left"/>
      <w:pPr/>
      <w:rPr/>
    </w:lvl>
    <w:lvl w:ilvl="2" w:tplc="651CECF7">
      <w:start w:val="1"/>
      <w:numFmt w:val="decimal"/>
      <w:suff w:val="tab"/>
      <w:lvlText w:val="%1."/>
      <w:lvlJc w:val="left"/>
      <w:pPr/>
      <w:rPr/>
    </w:lvl>
    <w:lvl w:ilvl="3" w:tplc="58C0F236">
      <w:start w:val="1"/>
      <w:numFmt w:val="decimal"/>
      <w:suff w:val="tab"/>
      <w:lvlText w:val="%1."/>
      <w:lvlJc w:val="left"/>
      <w:pPr/>
      <w:rPr/>
    </w:lvl>
    <w:lvl w:ilvl="4" w:tplc="79532987">
      <w:start w:val="1"/>
      <w:numFmt w:val="decimal"/>
      <w:suff w:val="tab"/>
      <w:lvlText w:val="%1."/>
      <w:lvlJc w:val="left"/>
      <w:pPr/>
      <w:rPr/>
    </w:lvl>
    <w:lvl w:ilvl="5" w:tplc="50A023D8">
      <w:start w:val="1"/>
      <w:numFmt w:val="decimal"/>
      <w:suff w:val="tab"/>
      <w:lvlText w:val="%1."/>
      <w:lvlJc w:val="left"/>
      <w:pPr/>
      <w:rPr/>
    </w:lvl>
    <w:lvl w:ilvl="6" w:tplc="00947BA5">
      <w:start w:val="1"/>
      <w:numFmt w:val="decimal"/>
      <w:suff w:val="tab"/>
      <w:lvlText w:val="%1."/>
      <w:lvlJc w:val="left"/>
      <w:pPr/>
      <w:rPr/>
    </w:lvl>
    <w:lvl w:ilvl="7" w:tplc="70214D1B">
      <w:start w:val="1"/>
      <w:numFmt w:val="decimal"/>
      <w:suff w:val="tab"/>
      <w:lvlText w:val="%1."/>
      <w:lvlJc w:val="left"/>
      <w:pPr/>
      <w:rPr/>
    </w:lvl>
    <w:lvl w:ilvl="8" w:tplc="376C6FF6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2648264C">
      <w:start w:val="1"/>
      <w:numFmt w:val="decimal"/>
      <w:suff w:val="tab"/>
      <w:lvlText w:val="%1."/>
      <w:lvlJc w:val="left"/>
      <w:pPr/>
      <w:rPr/>
    </w:lvl>
    <w:lvl w:ilvl="2" w:tplc="75F57419">
      <w:start w:val="1"/>
      <w:numFmt w:val="decimal"/>
      <w:suff w:val="tab"/>
      <w:lvlText w:val="%1."/>
      <w:lvlJc w:val="left"/>
      <w:pPr/>
      <w:rPr/>
    </w:lvl>
    <w:lvl w:ilvl="3" w:tplc="69A886CE">
      <w:start w:val="1"/>
      <w:numFmt w:val="decimal"/>
      <w:suff w:val="tab"/>
      <w:lvlText w:val="%1."/>
      <w:lvlJc w:val="left"/>
      <w:pPr/>
      <w:rPr/>
    </w:lvl>
    <w:lvl w:ilvl="4" w:tplc="28B6930D">
      <w:start w:val="1"/>
      <w:numFmt w:val="decimal"/>
      <w:suff w:val="tab"/>
      <w:lvlText w:val="%1."/>
      <w:lvlJc w:val="left"/>
      <w:pPr/>
      <w:rPr/>
    </w:lvl>
    <w:lvl w:ilvl="5" w:tplc="2F8915EA">
      <w:start w:val="1"/>
      <w:numFmt w:val="decimal"/>
      <w:suff w:val="tab"/>
      <w:lvlText w:val="%1."/>
      <w:lvlJc w:val="left"/>
      <w:pPr/>
      <w:rPr/>
    </w:lvl>
    <w:lvl w:ilvl="6" w:tplc="05B4FFA6">
      <w:start w:val="1"/>
      <w:numFmt w:val="decimal"/>
      <w:suff w:val="tab"/>
      <w:lvlText w:val="%1."/>
      <w:lvlJc w:val="left"/>
      <w:pPr/>
      <w:rPr/>
    </w:lvl>
    <w:lvl w:ilvl="7" w:tplc="4C097816">
      <w:start w:val="1"/>
      <w:numFmt w:val="decimal"/>
      <w:suff w:val="tab"/>
      <w:lvlText w:val="%1."/>
      <w:lvlJc w:val="left"/>
      <w:pPr/>
      <w:rPr/>
    </w:lvl>
    <w:lvl w:ilvl="8" w:tplc="7998F0AA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7DC2CE9">
      <w:start w:val="1"/>
      <w:numFmt w:val="decimal"/>
      <w:suff w:val="tab"/>
      <w:lvlText w:val="%1."/>
      <w:lvlJc w:val="left"/>
      <w:pPr/>
      <w:rPr/>
    </w:lvl>
    <w:lvl w:ilvl="2" w:tplc="3E86825E">
      <w:start w:val="1"/>
      <w:numFmt w:val="decimal"/>
      <w:suff w:val="tab"/>
      <w:lvlText w:val="%1."/>
      <w:lvlJc w:val="left"/>
      <w:pPr/>
      <w:rPr/>
    </w:lvl>
    <w:lvl w:ilvl="3" w:tplc="1B818EFD">
      <w:start w:val="1"/>
      <w:numFmt w:val="decimal"/>
      <w:suff w:val="tab"/>
      <w:lvlText w:val="%1."/>
      <w:lvlJc w:val="left"/>
      <w:pPr/>
      <w:rPr/>
    </w:lvl>
    <w:lvl w:ilvl="4" w:tplc="6C28D42F">
      <w:start w:val="1"/>
      <w:numFmt w:val="decimal"/>
      <w:suff w:val="tab"/>
      <w:lvlText w:val="%1."/>
      <w:lvlJc w:val="left"/>
      <w:pPr/>
      <w:rPr/>
    </w:lvl>
    <w:lvl w:ilvl="5" w:tplc="39D97795">
      <w:start w:val="1"/>
      <w:numFmt w:val="decimal"/>
      <w:suff w:val="tab"/>
      <w:lvlText w:val="%1."/>
      <w:lvlJc w:val="left"/>
      <w:pPr/>
      <w:rPr/>
    </w:lvl>
    <w:lvl w:ilvl="6" w:tplc="5716012D">
      <w:start w:val="1"/>
      <w:numFmt w:val="decimal"/>
      <w:suff w:val="tab"/>
      <w:lvlText w:val="%1."/>
      <w:lvlJc w:val="left"/>
      <w:pPr/>
      <w:rPr/>
    </w:lvl>
    <w:lvl w:ilvl="7" w:tplc="2ECC8545">
      <w:start w:val="1"/>
      <w:numFmt w:val="decimal"/>
      <w:suff w:val="tab"/>
      <w:lvlText w:val="%1."/>
      <w:lvlJc w:val="left"/>
      <w:pPr/>
      <w:rPr/>
    </w:lvl>
    <w:lvl w:ilvl="8" w:tplc="677C5ACF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52900042">
      <w:start w:val="1"/>
      <w:numFmt w:val="decimal"/>
      <w:suff w:val="tab"/>
      <w:lvlText w:val="%1."/>
      <w:lvlJc w:val="left"/>
      <w:pPr/>
      <w:rPr/>
    </w:lvl>
    <w:lvl w:ilvl="2" w:tplc="44C22AAF">
      <w:start w:val="1"/>
      <w:numFmt w:val="decimal"/>
      <w:suff w:val="tab"/>
      <w:lvlText w:val="%1."/>
      <w:lvlJc w:val="left"/>
      <w:pPr/>
      <w:rPr/>
    </w:lvl>
    <w:lvl w:ilvl="3" w:tplc="052AB010">
      <w:start w:val="1"/>
      <w:numFmt w:val="decimal"/>
      <w:suff w:val="tab"/>
      <w:lvlText w:val="%1."/>
      <w:lvlJc w:val="left"/>
      <w:pPr/>
      <w:rPr/>
    </w:lvl>
    <w:lvl w:ilvl="4" w:tplc="747829C8">
      <w:start w:val="1"/>
      <w:numFmt w:val="decimal"/>
      <w:suff w:val="tab"/>
      <w:lvlText w:val="%1."/>
      <w:lvlJc w:val="left"/>
      <w:pPr/>
      <w:rPr/>
    </w:lvl>
    <w:lvl w:ilvl="5" w:tplc="670C3761">
      <w:start w:val="1"/>
      <w:numFmt w:val="decimal"/>
      <w:suff w:val="tab"/>
      <w:lvlText w:val="%1."/>
      <w:lvlJc w:val="left"/>
      <w:pPr/>
      <w:rPr/>
    </w:lvl>
    <w:lvl w:ilvl="6" w:tplc="5518ED26">
      <w:start w:val="1"/>
      <w:numFmt w:val="decimal"/>
      <w:suff w:val="tab"/>
      <w:lvlText w:val="%1."/>
      <w:lvlJc w:val="left"/>
      <w:pPr/>
      <w:rPr/>
    </w:lvl>
    <w:lvl w:ilvl="7" w:tplc="784E9D39">
      <w:start w:val="1"/>
      <w:numFmt w:val="decimal"/>
      <w:suff w:val="tab"/>
      <w:lvlText w:val="%1."/>
      <w:lvlJc w:val="left"/>
      <w:pPr/>
      <w:rPr/>
    </w:lvl>
    <w:lvl w:ilvl="8" w:tplc="4AAC48A3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A307E5C">
      <w:start w:val="1"/>
      <w:numFmt w:val="decimal"/>
      <w:suff w:val="tab"/>
      <w:lvlText w:val="%1."/>
      <w:lvlJc w:val="left"/>
      <w:pPr/>
      <w:rPr/>
    </w:lvl>
    <w:lvl w:ilvl="2" w:tplc="71CF216B">
      <w:start w:val="1"/>
      <w:numFmt w:val="decimal"/>
      <w:suff w:val="tab"/>
      <w:lvlText w:val="%1."/>
      <w:lvlJc w:val="left"/>
      <w:pPr/>
      <w:rPr/>
    </w:lvl>
    <w:lvl w:ilvl="3" w:tplc="5E9D7D0C">
      <w:start w:val="1"/>
      <w:numFmt w:val="decimal"/>
      <w:suff w:val="tab"/>
      <w:lvlText w:val="%1."/>
      <w:lvlJc w:val="left"/>
      <w:pPr/>
      <w:rPr/>
    </w:lvl>
    <w:lvl w:ilvl="4" w:tplc="353FEFCA">
      <w:start w:val="1"/>
      <w:numFmt w:val="decimal"/>
      <w:suff w:val="tab"/>
      <w:lvlText w:val="%1."/>
      <w:lvlJc w:val="left"/>
      <w:pPr/>
      <w:rPr/>
    </w:lvl>
    <w:lvl w:ilvl="5" w:tplc="3FE33A20">
      <w:start w:val="1"/>
      <w:numFmt w:val="decimal"/>
      <w:suff w:val="tab"/>
      <w:lvlText w:val="%1."/>
      <w:lvlJc w:val="left"/>
      <w:pPr/>
      <w:rPr/>
    </w:lvl>
    <w:lvl w:ilvl="6" w:tplc="7DBB38D6">
      <w:start w:val="1"/>
      <w:numFmt w:val="decimal"/>
      <w:suff w:val="tab"/>
      <w:lvlText w:val="%1."/>
      <w:lvlJc w:val="left"/>
      <w:pPr/>
      <w:rPr/>
    </w:lvl>
    <w:lvl w:ilvl="7" w:tplc="091DFFF4">
      <w:start w:val="1"/>
      <w:numFmt w:val="decimal"/>
      <w:suff w:val="tab"/>
      <w:lvlText w:val="%1."/>
      <w:lvlJc w:val="left"/>
      <w:pPr/>
      <w:rPr/>
    </w:lvl>
    <w:lvl w:ilvl="8" w:tplc="7BCBCB36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4F61951C">
      <w:start w:val="1"/>
      <w:numFmt w:val="decimal"/>
      <w:suff w:val="tab"/>
      <w:lvlText w:val="%1."/>
      <w:lvlJc w:val="left"/>
      <w:pPr/>
      <w:rPr/>
    </w:lvl>
    <w:lvl w:ilvl="2" w:tplc="472A0A5E">
      <w:start w:val="1"/>
      <w:numFmt w:val="decimal"/>
      <w:suff w:val="tab"/>
      <w:lvlText w:val="%1."/>
      <w:lvlJc w:val="left"/>
      <w:pPr/>
      <w:rPr/>
    </w:lvl>
    <w:lvl w:ilvl="3" w:tplc="5973CFAA">
      <w:start w:val="1"/>
      <w:numFmt w:val="decimal"/>
      <w:suff w:val="tab"/>
      <w:lvlText w:val="%1."/>
      <w:lvlJc w:val="left"/>
      <w:pPr/>
      <w:rPr/>
    </w:lvl>
    <w:lvl w:ilvl="4" w:tplc="44A51F25">
      <w:start w:val="1"/>
      <w:numFmt w:val="decimal"/>
      <w:suff w:val="tab"/>
      <w:lvlText w:val="%1."/>
      <w:lvlJc w:val="left"/>
      <w:pPr/>
      <w:rPr/>
    </w:lvl>
    <w:lvl w:ilvl="5" w:tplc="71CD1188">
      <w:start w:val="1"/>
      <w:numFmt w:val="decimal"/>
      <w:suff w:val="tab"/>
      <w:lvlText w:val="%1."/>
      <w:lvlJc w:val="left"/>
      <w:pPr/>
      <w:rPr/>
    </w:lvl>
    <w:lvl w:ilvl="6" w:tplc="7C18C890">
      <w:start w:val="1"/>
      <w:numFmt w:val="decimal"/>
      <w:suff w:val="tab"/>
      <w:lvlText w:val="%1."/>
      <w:lvlJc w:val="left"/>
      <w:pPr/>
      <w:rPr/>
    </w:lvl>
    <w:lvl w:ilvl="7" w:tplc="53009C6F">
      <w:start w:val="1"/>
      <w:numFmt w:val="decimal"/>
      <w:suff w:val="tab"/>
      <w:lvlText w:val="%1."/>
      <w:lvlJc w:val="left"/>
      <w:pPr/>
      <w:rPr/>
    </w:lvl>
    <w:lvl w:ilvl="8" w:tplc="265D75AB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4E9EF353">
      <w:start w:val="1"/>
      <w:numFmt w:val="decimal"/>
      <w:suff w:val="tab"/>
      <w:lvlText w:val="%1."/>
      <w:lvlJc w:val="left"/>
      <w:pPr/>
      <w:rPr/>
    </w:lvl>
    <w:lvl w:ilvl="2" w:tplc="05AA054E">
      <w:start w:val="1"/>
      <w:numFmt w:val="decimal"/>
      <w:suff w:val="tab"/>
      <w:lvlText w:val="%1."/>
      <w:lvlJc w:val="left"/>
      <w:pPr/>
      <w:rPr/>
    </w:lvl>
    <w:lvl w:ilvl="3" w:tplc="26940C45">
      <w:start w:val="1"/>
      <w:numFmt w:val="decimal"/>
      <w:suff w:val="tab"/>
      <w:lvlText w:val="%1."/>
      <w:lvlJc w:val="left"/>
      <w:pPr/>
      <w:rPr/>
    </w:lvl>
    <w:lvl w:ilvl="4" w:tplc="7FF10BA8">
      <w:start w:val="1"/>
      <w:numFmt w:val="decimal"/>
      <w:suff w:val="tab"/>
      <w:lvlText w:val="%1."/>
      <w:lvlJc w:val="left"/>
      <w:pPr/>
      <w:rPr/>
    </w:lvl>
    <w:lvl w:ilvl="5" w:tplc="3F29EB02">
      <w:start w:val="1"/>
      <w:numFmt w:val="decimal"/>
      <w:suff w:val="tab"/>
      <w:lvlText w:val="%1."/>
      <w:lvlJc w:val="left"/>
      <w:pPr/>
      <w:rPr/>
    </w:lvl>
    <w:lvl w:ilvl="6" w:tplc="2C62EE9E">
      <w:start w:val="1"/>
      <w:numFmt w:val="decimal"/>
      <w:suff w:val="tab"/>
      <w:lvlText w:val="%1."/>
      <w:lvlJc w:val="left"/>
      <w:pPr/>
      <w:rPr/>
    </w:lvl>
    <w:lvl w:ilvl="7" w:tplc="3D839D3F">
      <w:start w:val="1"/>
      <w:numFmt w:val="decimal"/>
      <w:suff w:val="tab"/>
      <w:lvlText w:val="%1."/>
      <w:lvlJc w:val="left"/>
      <w:pPr/>
      <w:rPr/>
    </w:lvl>
    <w:lvl w:ilvl="8" w:tplc="11632033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14A03C77">
      <w:start w:val="1"/>
      <w:numFmt w:val="decimal"/>
      <w:suff w:val="tab"/>
      <w:lvlText w:val="%1."/>
      <w:lvlJc w:val="left"/>
      <w:pPr/>
      <w:rPr/>
    </w:lvl>
    <w:lvl w:ilvl="2" w:tplc="0859EF15">
      <w:start w:val="1"/>
      <w:numFmt w:val="decimal"/>
      <w:suff w:val="tab"/>
      <w:lvlText w:val="%1."/>
      <w:lvlJc w:val="left"/>
      <w:pPr/>
      <w:rPr/>
    </w:lvl>
    <w:lvl w:ilvl="3" w:tplc="473E740B">
      <w:start w:val="1"/>
      <w:numFmt w:val="decimal"/>
      <w:suff w:val="tab"/>
      <w:lvlText w:val="%1."/>
      <w:lvlJc w:val="left"/>
      <w:pPr/>
      <w:rPr/>
    </w:lvl>
    <w:lvl w:ilvl="4" w:tplc="7CF6748B">
      <w:start w:val="1"/>
      <w:numFmt w:val="decimal"/>
      <w:suff w:val="tab"/>
      <w:lvlText w:val="%1."/>
      <w:lvlJc w:val="left"/>
      <w:pPr/>
      <w:rPr/>
    </w:lvl>
    <w:lvl w:ilvl="5" w:tplc="2C088CD9">
      <w:start w:val="1"/>
      <w:numFmt w:val="decimal"/>
      <w:suff w:val="tab"/>
      <w:lvlText w:val="%1."/>
      <w:lvlJc w:val="left"/>
      <w:pPr/>
      <w:rPr/>
    </w:lvl>
    <w:lvl w:ilvl="6" w:tplc="0CC5B2E6">
      <w:start w:val="1"/>
      <w:numFmt w:val="decimal"/>
      <w:suff w:val="tab"/>
      <w:lvlText w:val="%1."/>
      <w:lvlJc w:val="left"/>
      <w:pPr/>
      <w:rPr/>
    </w:lvl>
    <w:lvl w:ilvl="7" w:tplc="38DCA921">
      <w:start w:val="1"/>
      <w:numFmt w:val="decimal"/>
      <w:suff w:val="tab"/>
      <w:lvlText w:val="%1."/>
      <w:lvlJc w:val="left"/>
      <w:pPr/>
      <w:rPr/>
    </w:lvl>
    <w:lvl w:ilvl="8" w:tplc="38E9942A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22B89CD7">
      <w:start w:val="1"/>
      <w:numFmt w:val="decimal"/>
      <w:suff w:val="tab"/>
      <w:lvlText w:val="%1."/>
      <w:lvlJc w:val="left"/>
      <w:pPr/>
      <w:rPr/>
    </w:lvl>
    <w:lvl w:ilvl="2" w:tplc="4390EBCF">
      <w:start w:val="1"/>
      <w:numFmt w:val="decimal"/>
      <w:suff w:val="tab"/>
      <w:lvlText w:val="%1."/>
      <w:lvlJc w:val="left"/>
      <w:pPr/>
      <w:rPr/>
    </w:lvl>
    <w:lvl w:ilvl="3" w:tplc="29A8B3E6">
      <w:start w:val="1"/>
      <w:numFmt w:val="decimal"/>
      <w:suff w:val="tab"/>
      <w:lvlText w:val="%1."/>
      <w:lvlJc w:val="left"/>
      <w:pPr/>
      <w:rPr/>
    </w:lvl>
    <w:lvl w:ilvl="4" w:tplc="6040C91B">
      <w:start w:val="1"/>
      <w:numFmt w:val="decimal"/>
      <w:suff w:val="tab"/>
      <w:lvlText w:val="%1."/>
      <w:lvlJc w:val="left"/>
      <w:pPr/>
      <w:rPr/>
    </w:lvl>
    <w:lvl w:ilvl="5" w:tplc="6A7372E4">
      <w:start w:val="1"/>
      <w:numFmt w:val="decimal"/>
      <w:suff w:val="tab"/>
      <w:lvlText w:val="%1."/>
      <w:lvlJc w:val="left"/>
      <w:pPr/>
      <w:rPr/>
    </w:lvl>
    <w:lvl w:ilvl="6" w:tplc="207CD2FD">
      <w:start w:val="1"/>
      <w:numFmt w:val="decimal"/>
      <w:suff w:val="tab"/>
      <w:lvlText w:val="%1."/>
      <w:lvlJc w:val="left"/>
      <w:pPr/>
      <w:rPr/>
    </w:lvl>
    <w:lvl w:ilvl="7" w:tplc="69E14A34">
      <w:start w:val="1"/>
      <w:numFmt w:val="decimal"/>
      <w:suff w:val="tab"/>
      <w:lvlText w:val="%1."/>
      <w:lvlJc w:val="left"/>
      <w:pPr/>
      <w:rPr/>
    </w:lvl>
    <w:lvl w:ilvl="8" w:tplc="54801374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2026-03-01T20:33:11Z</dcterms:created>
  <dc:description>generated by python-docx</dc:description>
  <cp:lastModifiedBy>Maria Teterina</cp:lastModifiedBy>
  <dcterms:modified xsi:type="dcterms:W3CDTF">2026-03-01T20:33:11Z</dcterms:modified>
  <cp:revision>1</cp:revision>
</cp:coreProperties>
</file>