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jc w:val="center"/>
      </w:pPr>
      <w:r>
        <w:rPr>
          <w:rFonts w:ascii="Times New Roman" w:hAnsi="Times New Roman"/>
          <w:b w:val="1"/>
          <w:sz w:val="44"/>
        </w:rPr>
        <w:t>Особенности и функционал</w:t>
      </w:r>
      <w:r>
        <w:rPr>
          <w:rFonts w:ascii="Times New Roman" w:hAnsi="Times New Roman"/>
          <w:b w:val="1"/>
          <w:sz w:val="44"/>
        </w:rPr>
        <w:br w:type="textWrapping"/>
      </w:r>
      <w:r>
        <w:rPr>
          <w:rFonts w:ascii="Times New Roman" w:hAnsi="Times New Roman"/>
          <w:b w:val="1"/>
          <w:sz w:val="44"/>
        </w:rPr>
        <w:t>ServiceDesk Plus ManageEngine</w:t>
      </w:r>
    </w:p>
    <w:p>
      <w:pPr>
        <w:pStyle w:val="P13"/>
      </w:pPr>
      <w:r>
        <w:t>1. О продукте</w:t>
      </w:r>
    </w:p>
    <w:p>
      <w:r>
        <w:t>ServiceDesk Plus — это платформа управления ИТ-услугами (ITSM) и корпоративного сервисного управления (ESM) от компании ManageEngine (подразделение Zoho Corporation). Продукт используется по всему миру: более 180 000 клиентов ManageEngine, присутствие в 190+ странах. ServiceDesk Plus поддерживает лучшие практики ITIL®, управление инцидентами, проблемами, изменениями, релизами, активами, каталог услуг, CMDB и проектами.</w:t>
      </w:r>
    </w:p>
    <w:p>
      <w:r>
        <w:t>Продукт поставляется в трёх редакциях (Standard, Professional, Enterprise) и может разворачиваться как в облаке (SaaS), так и локально (on-premises). Это позволяет выбирать модель лицензирования и размещения под задачи организации.</w:t>
      </w:r>
    </w:p>
    <w:p>
      <w:pPr>
        <w:pStyle w:val="P22"/>
      </w:pPr>
      <w:r>
        <w:rPr>
          <w:b w:val="1"/>
        </w:rPr>
        <w:t>Основные требования, которым соответствует продукт:</w:t>
      </w:r>
    </w:p>
    <w:p>
      <w:pPr>
        <w:pStyle w:val="P22"/>
      </w:pPr>
      <w:r>
        <w:t>Веб-интерфейс с локализацией (в т.ч. на русский), размещение On-Premise и в облаке, лицензии только для техников (количество пользователей-клиентов не ограничено).</w:t>
      </w:r>
    </w:p>
    <w:p>
      <w:pPr>
        <w:pStyle w:val="P22"/>
      </w:pPr>
      <w:r>
        <w:t>Открытый REST API ServiceDesk Plus обеспечивает бесшовную интеграцию с ERP, CRM, системами мониторинга и другими внешними приложениями, позволяя использовать платформу как центральный оркестратор сквозных процессов.</w:t>
      </w:r>
    </w:p>
    <w:p>
      <w:pPr>
        <w:pStyle w:val="P22"/>
      </w:pPr>
      <w:r>
        <w:t>Поддержка SSO и веб-сервисов, работа на мобильных устройствах и наличие мобильного приложения.</w:t>
      </w:r>
    </w:p>
    <w:p>
      <w:pPr>
        <w:pStyle w:val="P22"/>
      </w:pPr>
      <w:r>
        <w:t>Редактирование процессов и объектов — в графическом интерфейсе (drag &amp; drop); для глубокой кастомизации доступны пользовательские функции и скрипты (на базе поддерживаемых технологий).</w:t>
      </w:r>
    </w:p>
    <w:p/>
    <w:p>
      <w:pPr>
        <w:pStyle w:val="P13"/>
      </w:pPr>
      <w:r>
        <w:t>2. Три редакции продукта</w:t>
      </w:r>
    </w:p>
    <w:p>
      <w:r>
        <w:t>Официально предлагаются три редакции с чётким разграничением возможностей.</w:t>
      </w:r>
    </w:p>
    <w:tbl>
      <w:tblPr>
        <w:tblStyle w:val="T18"/>
        <w:tblW w:w="0" w:type="auto"/>
        <w:jc w:val="center"/>
        <w:tblLook w:val="04A0"/>
      </w:tblPr>
      <w:tblGrid>
        <w:gridCol w:w="2493"/>
        <w:gridCol w:w="2493"/>
        <w:gridCol w:w="2493"/>
        <w:gridCol w:w="2493"/>
      </w:tblGrid>
      <w:tr>
        <w:tc>
          <w:tcPr>
            <w:tcW w:w="2493" w:type="dxa"/>
          </w:tcPr>
          <w:p>
            <w:r>
              <w:rPr>
                <w:b w:val="1"/>
              </w:rPr>
              <w:t>Редакция</w:t>
            </w:r>
          </w:p>
        </w:tc>
        <w:tc>
          <w:tcPr>
            <w:tcW w:w="2493" w:type="dxa"/>
          </w:tcPr>
          <w:p>
            <w:r>
              <w:rPr>
                <w:b w:val="1"/>
              </w:rPr>
              <w:t>Основной фокус</w:t>
            </w:r>
          </w:p>
        </w:tc>
        <w:tc>
          <w:tcPr>
            <w:tcW w:w="2493" w:type="dxa"/>
          </w:tcPr>
          <w:p>
            <w:r>
              <w:rPr>
                <w:b w:val="1"/>
              </w:rPr>
              <w:t>Ключевые возможности</w:t>
            </w:r>
          </w:p>
        </w:tc>
        <w:tc>
          <w:tcPr>
            <w:tcW w:w="2493" w:type="dxa"/>
          </w:tcPr>
          <w:p>
            <w:r>
              <w:rPr>
                <w:b w:val="1"/>
              </w:rPr>
              <w:t>Для кого</w:t>
            </w:r>
          </w:p>
        </w:tc>
      </w:tr>
      <w:tr>
        <w:tc>
          <w:tcPr>
            <w:tcW w:w="2493" w:type="dxa"/>
            <w:shd w:val="clear" w:color="auto" w:fill="E0F2FE"/>
          </w:tcPr>
          <w:p>
            <w:r>
              <w:t>Standard</w:t>
            </w:r>
          </w:p>
        </w:tc>
        <w:tc>
          <w:tcPr>
            <w:tcW w:w="2493" w:type="dxa"/>
            <w:shd w:val="clear" w:color="auto" w:fill="E0F2FE"/>
          </w:tcPr>
          <w:p>
            <w:r>
              <w:t>Сервис-деск (help desk)</w:t>
            </w:r>
          </w:p>
        </w:tc>
        <w:tc>
          <w:tcPr>
            <w:tcW w:w="2493" w:type="dxa"/>
            <w:shd w:val="clear" w:color="auto" w:fill="E0F2FE"/>
          </w:tcPr>
          <w:p>
            <w:r>
              <w:t>Управление инцидентами, портал самообслуживания, база знаний, SLA, отчёты, многоплощадочная поддержка, автоназначение заявок, интеграция с AD/LDAP, API. Без управления активами.</w:t>
            </w:r>
          </w:p>
        </w:tc>
        <w:tc>
          <w:tcPr>
            <w:tcW w:w="2493" w:type="dxa"/>
            <w:shd w:val="clear" w:color="auto" w:fill="E0F2FE"/>
          </w:tcPr>
          <w:p>
            <w:r>
              <w:t>Небольшие команды, базовый приём и обработка заявок.</w:t>
            </w:r>
          </w:p>
        </w:tc>
      </w:tr>
      <w:tr>
        <w:tc>
          <w:tcPr>
            <w:tcW w:w="2493" w:type="dxa"/>
            <w:shd w:val="clear" w:color="auto" w:fill="BAE6FD"/>
          </w:tcPr>
          <w:p>
            <w:r>
              <w:t>Professional</w:t>
            </w:r>
          </w:p>
        </w:tc>
        <w:tc>
          <w:tcPr>
            <w:tcW w:w="2493" w:type="dxa"/>
            <w:shd w:val="clear" w:color="auto" w:fill="BAE6FD"/>
          </w:tcPr>
          <w:p>
            <w:r>
              <w:t>Сервис-деск + активы</w:t>
            </w:r>
          </w:p>
        </w:tc>
        <w:tc>
          <w:tcPr>
            <w:tcW w:w="2493" w:type="dxa"/>
            <w:shd w:val="clear" w:color="auto" w:fill="BAE6FD"/>
          </w:tcPr>
          <w:p>
            <w:r>
              <w:t>Всё из Standard + управление ИТ-активами, автообнаружение устройств, сканирование по агентам и по сети, закупки и договоры, отчёты по активам. CMDB — как дополнение.</w:t>
            </w:r>
          </w:p>
        </w:tc>
        <w:tc>
          <w:tcPr>
            <w:tcW w:w="2493" w:type="dxa"/>
            <w:shd w:val="clear" w:color="auto" w:fill="BAE6FD"/>
          </w:tcPr>
          <w:p>
            <w:r>
              <w:t>Организации, которым нужен учёт активов и лицензий вместе с заявками.</w:t>
            </w:r>
          </w:p>
        </w:tc>
      </w:tr>
      <w:tr>
        <w:tc>
          <w:tcPr>
            <w:tcW w:w="2493" w:type="dxa"/>
            <w:shd w:val="clear" w:color="auto" w:fill="A5F3FC"/>
          </w:tcPr>
          <w:p>
            <w:r>
              <w:t>Enterprise</w:t>
            </w:r>
          </w:p>
        </w:tc>
        <w:tc>
          <w:tcPr>
            <w:tcW w:w="2493" w:type="dxa"/>
            <w:shd w:val="clear" w:color="auto" w:fill="A5F3FC"/>
          </w:tcPr>
          <w:p>
            <w:r>
              <w:t>Полный ITSM</w:t>
            </w:r>
          </w:p>
        </w:tc>
        <w:tc>
          <w:tcPr>
            <w:tcW w:w="2493" w:type="dxa"/>
            <w:shd w:val="clear" w:color="auto" w:fill="A5F3FC"/>
          </w:tcPr>
          <w:p>
            <w:r>
              <w:t>Всё из Professional + управление проблемами, управление изменениями и релизами, каталог услуг с многоуровневыми согласованиями, управление ИТ-проектами, полноценная CMDB.</w:t>
            </w:r>
          </w:p>
        </w:tc>
        <w:tc>
          <w:tcPr>
            <w:tcW w:w="2493" w:type="dxa"/>
            <w:shd w:val="clear" w:color="auto" w:fill="A5F3FC"/>
          </w:tcPr>
          <w:p>
            <w:r>
              <w:t>Крупные организации и предприятия с полным циклом ITIL и проектами.</w:t>
            </w:r>
          </w:p>
        </w:tc>
      </w:tr>
    </w:tbl>
    <w:p/>
    <w:p>
      <w:r>
        <w:t>Во всех редакциях доступны: преобразование писем в заявки (email-to-ticket), интеграция с Active Directory/LDAP, поддержка нескольких порталов (ESM), SLA, база знаний, портал самообслуживания, отчёты и API. WebRemote доступен в Professional и Enterprise. Ограничения по числу активов зависят от редакции и размера лицензии.</w:t>
      </w:r>
    </w:p>
    <w:p/>
    <w:p>
      <w:pPr>
        <w:pStyle w:val="P13"/>
      </w:pPr>
      <w:r>
        <w:t>Функционал</w:t>
      </w:r>
    </w:p>
    <w:p>
      <w:pPr>
        <w:pStyle w:val="P3"/>
      </w:pPr>
      <w:r>
        <w:t>Управление инцидентами</w:t>
      </w:r>
    </w:p>
    <w:p>
      <w:pPr>
        <w:pStyle w:val="P22"/>
      </w:pPr>
      <w:r>
        <w:t>Приём и маршрутизация: регистрация по порталу, почте, телефону, системам мониторинга (Zabbix и др.); правила обработки почты; связь с CMDB; жизненный цикл заявки, автоназначение, балансировка; категории, влияние, срочность.</w:t>
      </w:r>
    </w:p>
    <w:p>
      <w:pPr>
        <w:pStyle w:val="P22"/>
      </w:pPr>
      <w:r>
        <w:t>Эскалация, SLA: функциональная и иерархическая эскалация; согласования; SLA по реакции и решению; выделение заявок по времени; поиск и фильтрация; интеграция с базой знаний.</w:t>
      </w:r>
    </w:p>
    <w:p>
      <w:pPr>
        <w:pStyle w:val="P3"/>
      </w:pPr>
      <w:r>
        <w:t>Управление активами (ITAM)</w:t>
      </w:r>
    </w:p>
    <w:p>
      <w:pPr>
        <w:pStyle w:val="P22"/>
      </w:pPr>
      <w:r>
        <w:t>Обнаружение по сети и агентам (Windows, macOS, Linux); учёт железа и ПО, лицензии; связь с заявками и CMDB.</w:t>
      </w:r>
    </w:p>
    <w:p>
      <w:pPr>
        <w:pStyle w:val="P22"/>
      </w:pPr>
      <w:r>
        <w:t>Закупки и договоры; напоминания об гарантиях и контрактах.</w:t>
      </w:r>
    </w:p>
    <w:p>
      <w:pPr>
        <w:pStyle w:val="P3"/>
      </w:pPr>
      <w:r>
        <w:t>CMDB</w:t>
      </w:r>
    </w:p>
    <w:p>
      <w:pPr>
        <w:pStyle w:val="P22"/>
      </w:pPr>
      <w:r>
        <w:t>Модель и визуализация: типы связей CI, атрибуты, жизненный цикл; визуализация связей; дерево конфигураций.</w:t>
      </w:r>
    </w:p>
    <w:p>
      <w:pPr>
        <w:pStyle w:val="P22"/>
      </w:pPr>
      <w:r>
        <w:t>Расчёт TCO, автоматизация стоимости услуг; использование при анализе инцидентов и изменений.</w:t>
      </w:r>
    </w:p>
    <w:p>
      <w:pPr>
        <w:pStyle w:val="P3"/>
      </w:pPr>
      <w:r>
        <w:t>Каталог услуг</w:t>
      </w:r>
    </w:p>
    <w:p>
      <w:pPr>
        <w:pStyle w:val="P22"/>
      </w:pPr>
      <w:r>
        <w:t>Публикация ИТ- и бизнес-услуг, шаблоны запросов; привязка к CMDB и контрактам.</w:t>
      </w:r>
    </w:p>
    <w:p>
      <w:pPr>
        <w:pStyle w:val="P22"/>
      </w:pPr>
      <w:r>
        <w:t>Многоуровневые согласования, SLA, персонализированный доступ по ролям.</w:t>
      </w:r>
    </w:p>
    <w:p>
      <w:pPr>
        <w:pStyle w:val="P3"/>
      </w:pPr>
      <w:r>
        <w:t>Управление изменениями и релизами</w:t>
      </w:r>
    </w:p>
    <w:p>
      <w:pPr>
        <w:pStyle w:val="P22"/>
      </w:pPr>
      <w:r>
        <w:t>Типы изменений (стандартные, срочные, критичные); визуальный конструктор этапов и согласований; CAB, планы внедрения и отката; календарь изменений.</w:t>
      </w:r>
    </w:p>
    <w:p>
      <w:pPr>
        <w:pStyle w:val="P22"/>
      </w:pPr>
      <w:r>
        <w:t>Релизы с шаблонами и этапами; связь с изменениями и активами.</w:t>
      </w:r>
    </w:p>
    <w:p>
      <w:pPr>
        <w:pStyle w:val="P3"/>
      </w:pPr>
      <w:r>
        <w:t>База знаний и портал самообслуживания</w:t>
      </w:r>
    </w:p>
    <w:p>
      <w:pPr>
        <w:pStyle w:val="P22"/>
      </w:pPr>
      <w:r>
        <w:t>БЗ с поиском, категориями, согласованием статей; рекомендации при регистрации заявки.</w:t>
      </w:r>
    </w:p>
    <w:p>
      <w:pPr>
        <w:pStyle w:val="P22"/>
      </w:pPr>
      <w:r>
        <w:t>Брендирование портала; персонализация по ролям; виджеты, каталог, отслеживание запросов; мобильные приложения.</w:t>
      </w:r>
    </w:p>
    <w:p>
      <w:pPr>
        <w:pStyle w:val="P3"/>
      </w:pPr>
      <w:r>
        <w:t>Отчётность и дашборды</w:t>
      </w:r>
    </w:p>
    <w:p>
      <w:pPr>
        <w:pStyle w:val="P22"/>
      </w:pPr>
      <w:r>
        <w:t>Отчёты в графическом интерфейсе; по разделам (инциденты, активы, изменения, SLA); SQL (on-premises); выгрузка xls, pdf, xml.</w:t>
      </w:r>
    </w:p>
    <w:p>
      <w:pPr>
        <w:pStyle w:val="P22"/>
      </w:pPr>
      <w:r>
        <w:t>Планировщик рассылки; интерактивные дашборды; Zoho Analytics / Analytics Plus.</w:t>
      </w:r>
    </w:p>
    <w:p>
      <w:pPr>
        <w:pStyle w:val="P3"/>
      </w:pPr>
      <w:r>
        <w:t>Enterprise Service Management (ESM)</w:t>
      </w:r>
    </w:p>
    <w:p>
      <w:pPr>
        <w:pStyle w:val="P22"/>
      </w:pPr>
      <w:r>
        <w:t>Управление корпоративным сервисом; автоматизация ИТ, HR, финансов и др.; отдельный экземпляр службы на направление.</w:t>
      </w:r>
    </w:p>
    <w:p>
      <w:pPr>
        <w:pStyle w:val="P22"/>
      </w:pPr>
      <w:r>
        <w:t>Портал ESM — единая консоль; экземпляры с общими справочниками или обменом данными.</w:t>
      </w:r>
    </w:p>
    <w:p>
      <w:pPr>
        <w:pStyle w:val="P3"/>
      </w:pPr>
      <w:r>
        <w:t>Интеграции</w:t>
      </w:r>
    </w:p>
    <w:p>
      <w:pPr>
        <w:pStyle w:val="P22"/>
      </w:pPr>
      <w:r>
        <w:t>ManageEngine: OpManager, Endpoint Central, ADManager Plus, ADSelfService Plus, Password Manager Pro, Site24x7; интеграция с Zabbix.</w:t>
      </w:r>
    </w:p>
    <w:p>
      <w:pPr>
        <w:pStyle w:val="P22"/>
      </w:pPr>
      <w:r>
        <w:t>Jira, Outlook, Office 365, Microsoft Teams; WebServices, REST API.</w:t>
      </w:r>
    </w:p>
    <w:p/>
    <w:p>
      <w:pPr>
        <w:pStyle w:val="P13"/>
      </w:pPr>
      <w:r>
        <w:t>3. Облачное и локальное размещение</w:t>
      </w:r>
    </w:p>
    <w:p>
      <w:r>
        <w:t>ServiceDesk Plus доступен в двух вариантах: облако (SaaS) и локальное развёртывание (on-premises).</w:t>
      </w:r>
    </w:p>
    <w:p>
      <w:pPr>
        <w:pStyle w:val="P22"/>
      </w:pPr>
      <w:r>
        <w:t>Облако (Cloud): подписка, хостинг в дата-центрах ManageEngine в разных регионах (США, ЕС, Австралия, Индия и др.).</w:t>
      </w:r>
    </w:p>
    <w:p>
      <w:pPr>
        <w:pStyle w:val="P22"/>
      </w:pPr>
      <w:r>
        <w:t>Локальное развёртывание (On-Premises): установка на инфраструктуре заказчика; лицензия бессрочная или годовая; полный контроль над данными. Требования: Windows или Linux; СУБД по документации.</w:t>
      </w:r>
    </w:p>
    <w:p/>
    <w:p>
      <w:pPr>
        <w:pStyle w:val="P13"/>
      </w:pPr>
      <w:r>
        <w:t>4. ServiceDesk Plus MSP</w:t>
      </w:r>
    </w:p>
    <w:p>
      <w:r>
        <w:t>Отдельный продукт для провайдеров управляемых услуг (MSP). Единая платформа: ITSM (ITAM, CMDB) и элементы PSA; настройка и предоставление сервисов для нескольких заказчиков с учётом прибыльности.</w:t>
      </w:r>
    </w:p>
    <w:p>
      <w:pPr>
        <w:pStyle w:val="P22"/>
      </w:pPr>
      <w:r>
        <w:t>Мультитенантность: отдельные настройки, SLA, БЗ, активы и отчёты для каждого клиента.</w:t>
      </w:r>
    </w:p>
    <w:p>
      <w:pPr>
        <w:pStyle w:val="P22"/>
      </w:pPr>
      <w:r>
        <w:t>Мультисайтовая поддержка: несколько площадок из одной консоли.</w:t>
      </w:r>
    </w:p>
    <w:p>
      <w:pPr>
        <w:pStyle w:val="P22"/>
      </w:pPr>
      <w:r>
        <w:t>Биллинг: сервисные планы и рекуррентные платежи.</w:t>
      </w:r>
    </w:p>
    <w:p>
      <w:pPr>
        <w:pStyle w:val="P22"/>
      </w:pPr>
      <w:r>
        <w:t>Интеграция с RMM (RMM Central): единая консоль мониторинга и сервис-деска.</w:t>
      </w:r>
    </w:p>
    <w:p>
      <w:pPr>
        <w:pStyle w:val="P22"/>
      </w:pPr>
      <w:r>
        <w:t>Автоматизация: визуальные конструкторы без кода.</w:t>
      </w:r>
    </w:p>
    <w:p>
      <w:pPr>
        <w:pStyle w:val="P22"/>
      </w:pPr>
      <w:r>
        <w:t>ИИ-агент Zia (не адаптирован для РФ).</w:t>
      </w:r>
    </w:p>
    <w:p>
      <w:r>
        <w:t>MSP доступен в облаке и on-premises. Подробности: manageengine.com/products/service-desk-msp</w:t>
      </w:r>
    </w:p>
    <w:p/>
    <w:p>
      <w:pPr>
        <w:pStyle w:val="P13"/>
      </w:pPr>
      <w:r>
        <w:t>5. Преимущества и ключевые особенности</w:t>
      </w:r>
    </w:p>
    <w:p>
      <w:pPr>
        <w:pStyle w:val="P22"/>
      </w:pPr>
      <w:r>
        <w:t>Масштабируемость: три редакции — от help desk до полного ITSM и проектов.</w:t>
      </w:r>
    </w:p>
    <w:p>
      <w:pPr>
        <w:pStyle w:val="P22"/>
      </w:pPr>
      <w:r>
        <w:t>Неограниченное количество конечных пользователей и согласующих; лицензия на техников.</w:t>
      </w:r>
    </w:p>
    <w:p>
      <w:pPr>
        <w:pStyle w:val="P22"/>
      </w:pPr>
      <w:r>
        <w:t>Готовая автоматизация: почтовые и бизнес-правила, триггеры, жизненный цикл заявки, планировщик; пользовательские функции и скрипты.</w:t>
      </w:r>
    </w:p>
    <w:p>
      <w:pPr>
        <w:pStyle w:val="P22"/>
      </w:pPr>
      <w:r>
        <w:t>Персонализация: интерфейсы по ролям; управление ролями и правами; расширяемость.</w:t>
      </w:r>
    </w:p>
    <w:p>
      <w:pPr>
        <w:pStyle w:val="P22"/>
      </w:pPr>
      <w:r>
        <w:t>Интеграции: ManageEngine, Outlook, O365, Teams, Jira, REST API.</w:t>
      </w:r>
    </w:p>
    <w:p>
      <w:pPr>
        <w:pStyle w:val="P22"/>
      </w:pPr>
      <w:r>
        <w:t>ИИ и аналитика: категоризация заявок, предсказание приоритета, Zia, Zoho Analytics (Zia не адаптирован для РФ).</w:t>
      </w:r>
    </w:p>
    <w:p>
      <w:pPr>
        <w:pStyle w:val="P22"/>
      </w:pPr>
      <w:r>
        <w:t>Признание: Gartner Magic Quadrant, Forrester.</w:t>
      </w:r>
    </w:p>
    <w:p>
      <w:pPr>
        <w:pStyle w:val="P22"/>
      </w:pPr>
      <w:r>
        <w:t>Мобильное приложение для техников и пользователей.</w:t>
      </w:r>
    </w:p>
    <w:p/>
    <w:p>
      <w:pPr>
        <w:pStyle w:val="P13"/>
      </w:pPr>
      <w:r>
        <w:t>Ограничения и особенности</w:t>
      </w:r>
    </w:p>
    <w:p>
      <w:r>
        <w:t>Часть возможностей ИИ и интеграций доступна только в облаке или в определённых регионах. В Standard нет управления активами и WebRemote.</w:t>
      </w:r>
    </w:p>
    <w:p/>
    <w:p>
      <w:pPr>
        <w:pStyle w:val="P13"/>
      </w:pPr>
      <w:r>
        <w:t>Глоссарий</w:t>
      </w:r>
    </w:p>
    <w:p>
      <w:r>
        <w:t>Краткие пояснения терминов.</w:t>
      </w:r>
    </w:p>
    <w:tbl>
      <w:tblPr>
        <w:tblStyle w:val="T11"/>
        <w:tblW w:w="0" w:type="auto"/>
        <w:tblLook w:val="04A0"/>
      </w:tblPr>
      <w:tblGrid>
        <w:gridCol w:w="4986"/>
        <w:gridCol w:w="4986"/>
      </w:tblGrid>
      <w:tr>
        <w:tc>
          <w:tcPr>
            <w:tcW w:w="4986" w:type="dxa"/>
          </w:tcPr>
          <w:p>
            <w:r>
              <w:rPr>
                <w:b w:val="1"/>
              </w:rPr>
              <w:t>Термин</w:t>
            </w:r>
          </w:p>
        </w:tc>
        <w:tc>
          <w:tcPr>
            <w:tcW w:w="4986" w:type="dxa"/>
          </w:tcPr>
          <w:p>
            <w:r>
              <w:rPr>
                <w:b w:val="1"/>
              </w:rPr>
              <w:t>Пояснение</w:t>
            </w:r>
          </w:p>
        </w:tc>
      </w:tr>
      <w:tr>
        <w:tc>
          <w:tcPr>
            <w:tcW w:w="4986" w:type="dxa"/>
          </w:tcPr>
          <w:p>
            <w:r>
              <w:t>ITSM</w:t>
            </w:r>
          </w:p>
        </w:tc>
        <w:tc>
          <w:tcPr>
            <w:tcW w:w="4986" w:type="dxa"/>
          </w:tcPr>
          <w:p>
            <w:r>
              <w:t>Управление ИТ-услугами — процессы и практики для проектирования, предоставления и поддержки ИТ-услуг.</w:t>
            </w:r>
          </w:p>
        </w:tc>
      </w:tr>
      <w:tr>
        <w:tc>
          <w:tcPr>
            <w:tcW w:w="4986" w:type="dxa"/>
          </w:tcPr>
          <w:p>
            <w:r>
              <w:t>ESM</w:t>
            </w:r>
          </w:p>
        </w:tc>
        <w:tc>
          <w:tcPr>
            <w:tcW w:w="4986" w:type="dxa"/>
          </w:tcPr>
          <w:p>
            <w:r>
              <w:t>Корпоративное сервисное управление — распространение ITSM на HR, финансы, эксплуатацию и т.д.</w:t>
            </w:r>
          </w:p>
        </w:tc>
      </w:tr>
      <w:tr>
        <w:tc>
          <w:tcPr>
            <w:tcW w:w="4986" w:type="dxa"/>
          </w:tcPr>
          <w:p>
            <w:r>
              <w:t>ITIL®</w:t>
            </w:r>
          </w:p>
        </w:tc>
        <w:tc>
          <w:tcPr>
            <w:tcW w:w="4986" w:type="dxa"/>
          </w:tcPr>
          <w:p>
            <w:r>
              <w:t>Набор лучших практик по управлению ИТ-услугами; ServiceDesk Plus поддерживает процессы ITIL.</w:t>
            </w:r>
          </w:p>
        </w:tc>
      </w:tr>
      <w:tr>
        <w:tc>
          <w:tcPr>
            <w:tcW w:w="4986" w:type="dxa"/>
          </w:tcPr>
          <w:p>
            <w:r>
              <w:t>CMDB</w:t>
            </w:r>
          </w:p>
        </w:tc>
        <w:tc>
          <w:tcPr>
            <w:tcW w:w="4986" w:type="dxa"/>
          </w:tcPr>
          <w:p>
            <w:r>
              <w:t>База конфигураций — элементы CI и связи для учёта инфраструктуры и влияния изменений.</w:t>
            </w:r>
          </w:p>
        </w:tc>
      </w:tr>
      <w:tr>
        <w:tc>
          <w:tcPr>
            <w:tcW w:w="4986" w:type="dxa"/>
          </w:tcPr>
          <w:p>
            <w:r>
              <w:t>SLA</w:t>
            </w:r>
          </w:p>
        </w:tc>
        <w:tc>
          <w:tcPr>
            <w:tcW w:w="4986" w:type="dxa"/>
          </w:tcPr>
          <w:p>
            <w:r>
              <w:t>Соглашение об уровне обслуживания — сроки реакции и решения заявок с эскалацией.</w:t>
            </w:r>
          </w:p>
        </w:tc>
      </w:tr>
      <w:tr>
        <w:tc>
          <w:tcPr>
            <w:tcW w:w="4986" w:type="dxa"/>
          </w:tcPr>
          <w:p>
            <w:r>
              <w:t>WebRemote</w:t>
            </w:r>
          </w:p>
        </w:tc>
        <w:tc>
          <w:tcPr>
            <w:tcW w:w="4986" w:type="dxa"/>
          </w:tcPr>
          <w:p>
            <w:r>
              <w:t>Удалённый доступ к рабочим станциям из консоли (Professional и Enterprise).</w:t>
            </w:r>
          </w:p>
        </w:tc>
      </w:tr>
      <w:tr>
        <w:tc>
          <w:tcPr>
            <w:tcW w:w="4986" w:type="dxa"/>
          </w:tcPr>
          <w:p>
            <w:r>
              <w:t>SaaS</w:t>
            </w:r>
          </w:p>
        </w:tc>
        <w:tc>
          <w:tcPr>
            <w:tcW w:w="4986" w:type="dxa"/>
          </w:tcPr>
          <w:p>
            <w:r>
              <w:t>ПО как услуга — облачное развёртывание с подпиской.</w:t>
            </w:r>
          </w:p>
        </w:tc>
      </w:tr>
      <w:tr>
        <w:tc>
          <w:tcPr>
            <w:tcW w:w="4986" w:type="dxa"/>
          </w:tcPr>
          <w:p>
            <w:r>
              <w:t>On-premises</w:t>
            </w:r>
          </w:p>
        </w:tc>
        <w:tc>
          <w:tcPr>
            <w:tcW w:w="4986" w:type="dxa"/>
          </w:tcPr>
          <w:p>
            <w:r>
              <w:t>Локальное развёртывание на инфраструктуре заказчика.</w:t>
            </w:r>
          </w:p>
        </w:tc>
      </w:tr>
      <w:tr>
        <w:tc>
          <w:tcPr>
            <w:tcW w:w="4986" w:type="dxa"/>
          </w:tcPr>
          <w:p>
            <w:r>
              <w:t>MSP</w:t>
            </w:r>
          </w:p>
        </w:tc>
        <w:tc>
          <w:tcPr>
            <w:tcW w:w="4986" w:type="dxa"/>
          </w:tcPr>
          <w:p>
            <w:r>
              <w:t>Managed Service Provider — провайдер управляемых услуг; версия ServiceDesk Plus MSP.</w:t>
            </w:r>
          </w:p>
        </w:tc>
      </w:tr>
    </w:tbl>
    <w:p/>
    <w:p>
      <w:pPr>
        <w:pStyle w:val="P13"/>
      </w:pPr>
      <w:r>
        <w:t>Источники и полезные ссылки</w:t>
      </w:r>
    </w:p>
    <w:p>
      <w:pPr>
        <w:pStyle w:val="P22"/>
      </w:pPr>
      <w:r>
        <w:t>Официальная страница: manageengine.com/products/service-desk</w:t>
      </w:r>
    </w:p>
    <w:p>
      <w:pPr>
        <w:pStyle w:val="P22"/>
      </w:pPr>
      <w:r>
        <w:t>Сравнение редакций: sdp-editions.html</w:t>
      </w:r>
    </w:p>
    <w:p>
      <w:pPr>
        <w:pStyle w:val="P22"/>
      </w:pPr>
      <w:r>
        <w:t>On-Premises vs. Cloud: hosted-on-premise-vs-saas-cloud.html</w:t>
      </w:r>
    </w:p>
    <w:p>
      <w:pPr>
        <w:pStyle w:val="P22"/>
      </w:pPr>
      <w:r>
        <w:t>ServiceDesk Plus MSP: service-desk-msp</w:t>
      </w:r>
    </w:p>
    <w:p>
      <w:pPr>
        <w:pStyle w:val="P22"/>
      </w:pPr>
      <w:r>
        <w:t>Клиенты: manageengine.com/customers.html</w:t>
      </w:r>
    </w:p>
    <w:sectPr>
      <w:type w:val="nextPage"/>
      <w:pgMar w:left="1134" w:right="1134" w:top="850" w:bottom="850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FFFFFF7C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800"/>
        <w:tabs>
          <w:tab w:val="num" w:pos="1800" w:leader="none"/>
        </w:tabs>
      </w:pPr>
      <w:rPr/>
    </w:lvl>
    <w:lvl w:ilvl="1" w:tplc="01E16628">
      <w:start w:val="1"/>
      <w:numFmt w:val="decimal"/>
      <w:suff w:val="tab"/>
      <w:lvlText w:val="%1."/>
      <w:lvlJc w:val="left"/>
      <w:pPr/>
      <w:rPr/>
    </w:lvl>
    <w:lvl w:ilvl="2" w:tplc="18A1F829">
      <w:start w:val="1"/>
      <w:numFmt w:val="decimal"/>
      <w:suff w:val="tab"/>
      <w:lvlText w:val="%1."/>
      <w:lvlJc w:val="left"/>
      <w:pPr/>
      <w:rPr/>
    </w:lvl>
    <w:lvl w:ilvl="3" w:tplc="70958C5C">
      <w:start w:val="1"/>
      <w:numFmt w:val="decimal"/>
      <w:suff w:val="tab"/>
      <w:lvlText w:val="%1."/>
      <w:lvlJc w:val="left"/>
      <w:pPr/>
      <w:rPr/>
    </w:lvl>
    <w:lvl w:ilvl="4" w:tplc="4D798125">
      <w:start w:val="1"/>
      <w:numFmt w:val="decimal"/>
      <w:suff w:val="tab"/>
      <w:lvlText w:val="%1."/>
      <w:lvlJc w:val="left"/>
      <w:pPr/>
      <w:rPr/>
    </w:lvl>
    <w:lvl w:ilvl="5" w:tplc="002ED108">
      <w:start w:val="1"/>
      <w:numFmt w:val="decimal"/>
      <w:suff w:val="tab"/>
      <w:lvlText w:val="%1."/>
      <w:lvlJc w:val="left"/>
      <w:pPr/>
      <w:rPr/>
    </w:lvl>
    <w:lvl w:ilvl="6" w:tplc="1DEF0A27">
      <w:start w:val="1"/>
      <w:numFmt w:val="decimal"/>
      <w:suff w:val="tab"/>
      <w:lvlText w:val="%1."/>
      <w:lvlJc w:val="left"/>
      <w:pPr/>
      <w:rPr/>
    </w:lvl>
    <w:lvl w:ilvl="7" w:tplc="51CA5EB3">
      <w:start w:val="1"/>
      <w:numFmt w:val="decimal"/>
      <w:suff w:val="tab"/>
      <w:lvlText w:val="%1."/>
      <w:lvlJc w:val="left"/>
      <w:pPr/>
      <w:rPr/>
    </w:lvl>
    <w:lvl w:ilvl="8" w:tplc="416F9A62">
      <w:start w:val="1"/>
      <w:numFmt w:val="decimal"/>
      <w:suff w:val="tab"/>
      <w:lvlText w:val="%1."/>
      <w:lvlJc w:val="left"/>
      <w:pPr/>
      <w:rPr/>
    </w:lvl>
  </w:abstractNum>
  <w:abstractNum w:abstractNumId="1">
    <w:nsid w:val="FFFFFF7D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440"/>
        <w:tabs>
          <w:tab w:val="num" w:pos="1440" w:leader="none"/>
        </w:tabs>
      </w:pPr>
      <w:rPr/>
    </w:lvl>
    <w:lvl w:ilvl="1" w:tplc="24590A0B">
      <w:start w:val="1"/>
      <w:numFmt w:val="decimal"/>
      <w:suff w:val="tab"/>
      <w:lvlText w:val="%1."/>
      <w:lvlJc w:val="left"/>
      <w:pPr/>
      <w:rPr/>
    </w:lvl>
    <w:lvl w:ilvl="2" w:tplc="2F794F42">
      <w:start w:val="1"/>
      <w:numFmt w:val="decimal"/>
      <w:suff w:val="tab"/>
      <w:lvlText w:val="%1."/>
      <w:lvlJc w:val="left"/>
      <w:pPr/>
      <w:rPr/>
    </w:lvl>
    <w:lvl w:ilvl="3" w:tplc="67802D3B">
      <w:start w:val="1"/>
      <w:numFmt w:val="decimal"/>
      <w:suff w:val="tab"/>
      <w:lvlText w:val="%1."/>
      <w:lvlJc w:val="left"/>
      <w:pPr/>
      <w:rPr/>
    </w:lvl>
    <w:lvl w:ilvl="4" w:tplc="37A0FCBC">
      <w:start w:val="1"/>
      <w:numFmt w:val="decimal"/>
      <w:suff w:val="tab"/>
      <w:lvlText w:val="%1."/>
      <w:lvlJc w:val="left"/>
      <w:pPr/>
      <w:rPr/>
    </w:lvl>
    <w:lvl w:ilvl="5" w:tplc="7AB4DE5A">
      <w:start w:val="1"/>
      <w:numFmt w:val="decimal"/>
      <w:suff w:val="tab"/>
      <w:lvlText w:val="%1."/>
      <w:lvlJc w:val="left"/>
      <w:pPr/>
      <w:rPr/>
    </w:lvl>
    <w:lvl w:ilvl="6" w:tplc="7B92D80E">
      <w:start w:val="1"/>
      <w:numFmt w:val="decimal"/>
      <w:suff w:val="tab"/>
      <w:lvlText w:val="%1."/>
      <w:lvlJc w:val="left"/>
      <w:pPr/>
      <w:rPr/>
    </w:lvl>
    <w:lvl w:ilvl="7" w:tplc="408C6792">
      <w:start w:val="1"/>
      <w:numFmt w:val="decimal"/>
      <w:suff w:val="tab"/>
      <w:lvlText w:val="%1."/>
      <w:lvlJc w:val="left"/>
      <w:pPr/>
      <w:rPr/>
    </w:lvl>
    <w:lvl w:ilvl="8" w:tplc="6811011E">
      <w:start w:val="1"/>
      <w:numFmt w:val="decimal"/>
      <w:suff w:val="tab"/>
      <w:lvlText w:val="%1."/>
      <w:lvlJc w:val="left"/>
      <w:pPr/>
      <w:rPr/>
    </w:lvl>
  </w:abstractNum>
  <w:abstractNum w:abstractNumId="2">
    <w:nsid w:val="FFFFFF7E"/>
    <w:multiLevelType w:val="hybridMultilevel"/>
    <w:lvl w:ilvl="0">
      <w:start w:val="1"/>
      <w:numFmt w:val="decimal"/>
      <w:pStyle w:val="P27"/>
      <w:suff w:val="tab"/>
      <w:lvlText w:val="%1."/>
      <w:lvlJc w:val="left"/>
      <w:pPr>
        <w:ind w:hanging="360" w:left="1080"/>
        <w:tabs>
          <w:tab w:val="num" w:pos="1080" w:leader="none"/>
        </w:tabs>
      </w:pPr>
      <w:rPr/>
    </w:lvl>
    <w:lvl w:ilvl="1" w:tplc="19A8C7F4">
      <w:start w:val="1"/>
      <w:numFmt w:val="decimal"/>
      <w:suff w:val="tab"/>
      <w:lvlText w:val="%1."/>
      <w:lvlJc w:val="left"/>
      <w:pPr/>
      <w:rPr/>
    </w:lvl>
    <w:lvl w:ilvl="2" w:tplc="705526E0">
      <w:start w:val="1"/>
      <w:numFmt w:val="decimal"/>
      <w:suff w:val="tab"/>
      <w:lvlText w:val="%1."/>
      <w:lvlJc w:val="left"/>
      <w:pPr/>
      <w:rPr/>
    </w:lvl>
    <w:lvl w:ilvl="3" w:tplc="0528E6C7">
      <w:start w:val="1"/>
      <w:numFmt w:val="decimal"/>
      <w:suff w:val="tab"/>
      <w:lvlText w:val="%1."/>
      <w:lvlJc w:val="left"/>
      <w:pPr/>
      <w:rPr/>
    </w:lvl>
    <w:lvl w:ilvl="4" w:tplc="15B516FF">
      <w:start w:val="1"/>
      <w:numFmt w:val="decimal"/>
      <w:suff w:val="tab"/>
      <w:lvlText w:val="%1."/>
      <w:lvlJc w:val="left"/>
      <w:pPr/>
      <w:rPr/>
    </w:lvl>
    <w:lvl w:ilvl="5" w:tplc="230D1468">
      <w:start w:val="1"/>
      <w:numFmt w:val="decimal"/>
      <w:suff w:val="tab"/>
      <w:lvlText w:val="%1."/>
      <w:lvlJc w:val="left"/>
      <w:pPr/>
      <w:rPr/>
    </w:lvl>
    <w:lvl w:ilvl="6" w:tplc="615CD111">
      <w:start w:val="1"/>
      <w:numFmt w:val="decimal"/>
      <w:suff w:val="tab"/>
      <w:lvlText w:val="%1."/>
      <w:lvlJc w:val="left"/>
      <w:pPr/>
      <w:rPr/>
    </w:lvl>
    <w:lvl w:ilvl="7" w:tplc="1F4F4E1F">
      <w:start w:val="1"/>
      <w:numFmt w:val="decimal"/>
      <w:suff w:val="tab"/>
      <w:lvlText w:val="%1."/>
      <w:lvlJc w:val="left"/>
      <w:pPr/>
      <w:rPr/>
    </w:lvl>
    <w:lvl w:ilvl="8" w:tplc="547DB102">
      <w:start w:val="1"/>
      <w:numFmt w:val="decimal"/>
      <w:suff w:val="tab"/>
      <w:lvlText w:val="%1."/>
      <w:lvlJc w:val="left"/>
      <w:pPr/>
      <w:rPr/>
    </w:lvl>
  </w:abstractNum>
  <w:abstractNum w:abstractNumId="3">
    <w:nsid w:val="FFFFFF7F"/>
    <w:multiLevelType w:val="hybridMultilevel"/>
    <w:lvl w:ilvl="0">
      <w:start w:val="1"/>
      <w:numFmt w:val="decimal"/>
      <w:pStyle w:val="P26"/>
      <w:suff w:val="tab"/>
      <w:lvlText w:val="%1."/>
      <w:lvlJc w:val="left"/>
      <w:pPr>
        <w:ind w:hanging="360" w:left="720"/>
        <w:tabs>
          <w:tab w:val="num" w:pos="720" w:leader="none"/>
        </w:tabs>
      </w:pPr>
      <w:rPr/>
    </w:lvl>
    <w:lvl w:ilvl="1" w:tplc="5D155B9D">
      <w:start w:val="1"/>
      <w:numFmt w:val="decimal"/>
      <w:suff w:val="tab"/>
      <w:lvlText w:val="%1."/>
      <w:lvlJc w:val="left"/>
      <w:pPr/>
      <w:rPr/>
    </w:lvl>
    <w:lvl w:ilvl="2" w:tplc="4255F276">
      <w:start w:val="1"/>
      <w:numFmt w:val="decimal"/>
      <w:suff w:val="tab"/>
      <w:lvlText w:val="%1."/>
      <w:lvlJc w:val="left"/>
      <w:pPr/>
      <w:rPr/>
    </w:lvl>
    <w:lvl w:ilvl="3" w:tplc="188F415F">
      <w:start w:val="1"/>
      <w:numFmt w:val="decimal"/>
      <w:suff w:val="tab"/>
      <w:lvlText w:val="%1."/>
      <w:lvlJc w:val="left"/>
      <w:pPr/>
      <w:rPr/>
    </w:lvl>
    <w:lvl w:ilvl="4" w:tplc="66EE6A3D">
      <w:start w:val="1"/>
      <w:numFmt w:val="decimal"/>
      <w:suff w:val="tab"/>
      <w:lvlText w:val="%1."/>
      <w:lvlJc w:val="left"/>
      <w:pPr/>
      <w:rPr/>
    </w:lvl>
    <w:lvl w:ilvl="5" w:tplc="78FC050B">
      <w:start w:val="1"/>
      <w:numFmt w:val="decimal"/>
      <w:suff w:val="tab"/>
      <w:lvlText w:val="%1."/>
      <w:lvlJc w:val="left"/>
      <w:pPr/>
      <w:rPr/>
    </w:lvl>
    <w:lvl w:ilvl="6" w:tplc="7487AA45">
      <w:start w:val="1"/>
      <w:numFmt w:val="decimal"/>
      <w:suff w:val="tab"/>
      <w:lvlText w:val="%1."/>
      <w:lvlJc w:val="left"/>
      <w:pPr/>
      <w:rPr/>
    </w:lvl>
    <w:lvl w:ilvl="7" w:tplc="2FE953B4">
      <w:start w:val="1"/>
      <w:numFmt w:val="decimal"/>
      <w:suff w:val="tab"/>
      <w:lvlText w:val="%1."/>
      <w:lvlJc w:val="left"/>
      <w:pPr/>
      <w:rPr/>
    </w:lvl>
    <w:lvl w:ilvl="8" w:tplc="48BDB3B3">
      <w:start w:val="1"/>
      <w:numFmt w:val="decimal"/>
      <w:suff w:val="tab"/>
      <w:lvlText w:val="%1."/>
      <w:lvlJc w:val="left"/>
      <w:pPr/>
      <w:rPr/>
    </w:lvl>
  </w:abstractNum>
  <w:abstractNum w:abstractNumId="4">
    <w:nsid w:val="FFFFFF81"/>
    <w:multiLevelType w:val="hybrid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num" w:pos="1440" w:leader="none"/>
        </w:tabs>
      </w:pPr>
      <w:rPr>
        <w:rFonts w:ascii="Symbol" w:hAnsi="Symbol" w:hint="default"/>
      </w:rPr>
    </w:lvl>
    <w:lvl w:ilvl="1" w:tplc="53B77A04">
      <w:start w:val="1"/>
      <w:numFmt w:val="decimal"/>
      <w:suff w:val="tab"/>
      <w:lvlText w:val="%1."/>
      <w:lvlJc w:val="left"/>
      <w:pPr/>
      <w:rPr/>
    </w:lvl>
    <w:lvl w:ilvl="2" w:tplc="178403D8">
      <w:start w:val="1"/>
      <w:numFmt w:val="decimal"/>
      <w:suff w:val="tab"/>
      <w:lvlText w:val="%1."/>
      <w:lvlJc w:val="left"/>
      <w:pPr/>
      <w:rPr/>
    </w:lvl>
    <w:lvl w:ilvl="3" w:tplc="59D40AAE">
      <w:start w:val="1"/>
      <w:numFmt w:val="decimal"/>
      <w:suff w:val="tab"/>
      <w:lvlText w:val="%1."/>
      <w:lvlJc w:val="left"/>
      <w:pPr/>
      <w:rPr/>
    </w:lvl>
    <w:lvl w:ilvl="4" w:tplc="5946C286">
      <w:start w:val="1"/>
      <w:numFmt w:val="decimal"/>
      <w:suff w:val="tab"/>
      <w:lvlText w:val="%1."/>
      <w:lvlJc w:val="left"/>
      <w:pPr/>
      <w:rPr/>
    </w:lvl>
    <w:lvl w:ilvl="5" w:tplc="4C90FAD1">
      <w:start w:val="1"/>
      <w:numFmt w:val="decimal"/>
      <w:suff w:val="tab"/>
      <w:lvlText w:val="%1."/>
      <w:lvlJc w:val="left"/>
      <w:pPr/>
      <w:rPr/>
    </w:lvl>
    <w:lvl w:ilvl="6" w:tplc="69ED7DD6">
      <w:start w:val="1"/>
      <w:numFmt w:val="decimal"/>
      <w:suff w:val="tab"/>
      <w:lvlText w:val="%1."/>
      <w:lvlJc w:val="left"/>
      <w:pPr/>
      <w:rPr/>
    </w:lvl>
    <w:lvl w:ilvl="7" w:tplc="1141CD3C">
      <w:start w:val="1"/>
      <w:numFmt w:val="decimal"/>
      <w:suff w:val="tab"/>
      <w:lvlText w:val="%1."/>
      <w:lvlJc w:val="left"/>
      <w:pPr/>
      <w:rPr/>
    </w:lvl>
    <w:lvl w:ilvl="8" w:tplc="6FA018FF">
      <w:start w:val="1"/>
      <w:numFmt w:val="decimal"/>
      <w:suff w:val="tab"/>
      <w:lvlText w:val="%1."/>
      <w:lvlJc w:val="left"/>
      <w:pPr/>
      <w:rPr/>
    </w:lvl>
  </w:abstractNum>
  <w:abstractNum w:abstractNumId="5">
    <w:nsid w:val="FFFFFF82"/>
    <w:multiLevelType w:val="hybridMultilevel"/>
    <w:lvl w:ilvl="0">
      <w:start w:val="1"/>
      <w:numFmt w:val="bullet"/>
      <w:pStyle w:val="P24"/>
      <w:suff w:val="tab"/>
      <w:lvlText w:val=""/>
      <w:lvlJc w:val="left"/>
      <w:pPr>
        <w:ind w:hanging="360" w:left="1080"/>
        <w:tabs>
          <w:tab w:val="num" w:pos="1080" w:leader="none"/>
        </w:tabs>
      </w:pPr>
      <w:rPr>
        <w:rFonts w:ascii="Symbol" w:hAnsi="Symbol" w:hint="default"/>
      </w:rPr>
    </w:lvl>
    <w:lvl w:ilvl="1" w:tplc="2BA8598F">
      <w:start w:val="1"/>
      <w:numFmt w:val="decimal"/>
      <w:suff w:val="tab"/>
      <w:lvlText w:val="%1."/>
      <w:lvlJc w:val="left"/>
      <w:pPr/>
      <w:rPr/>
    </w:lvl>
    <w:lvl w:ilvl="2" w:tplc="37FE5522">
      <w:start w:val="1"/>
      <w:numFmt w:val="decimal"/>
      <w:suff w:val="tab"/>
      <w:lvlText w:val="%1."/>
      <w:lvlJc w:val="left"/>
      <w:pPr/>
      <w:rPr/>
    </w:lvl>
    <w:lvl w:ilvl="3" w:tplc="62A56CBC">
      <w:start w:val="1"/>
      <w:numFmt w:val="decimal"/>
      <w:suff w:val="tab"/>
      <w:lvlText w:val="%1."/>
      <w:lvlJc w:val="left"/>
      <w:pPr/>
      <w:rPr/>
    </w:lvl>
    <w:lvl w:ilvl="4" w:tplc="779B06CF">
      <w:start w:val="1"/>
      <w:numFmt w:val="decimal"/>
      <w:suff w:val="tab"/>
      <w:lvlText w:val="%1."/>
      <w:lvlJc w:val="left"/>
      <w:pPr/>
      <w:rPr/>
    </w:lvl>
    <w:lvl w:ilvl="5" w:tplc="0EFE797E">
      <w:start w:val="1"/>
      <w:numFmt w:val="decimal"/>
      <w:suff w:val="tab"/>
      <w:lvlText w:val="%1."/>
      <w:lvlJc w:val="left"/>
      <w:pPr/>
      <w:rPr/>
    </w:lvl>
    <w:lvl w:ilvl="6" w:tplc="495DC57A">
      <w:start w:val="1"/>
      <w:numFmt w:val="decimal"/>
      <w:suff w:val="tab"/>
      <w:lvlText w:val="%1."/>
      <w:lvlJc w:val="left"/>
      <w:pPr/>
      <w:rPr/>
    </w:lvl>
    <w:lvl w:ilvl="7" w:tplc="74C0773D">
      <w:start w:val="1"/>
      <w:numFmt w:val="decimal"/>
      <w:suff w:val="tab"/>
      <w:lvlText w:val="%1."/>
      <w:lvlJc w:val="left"/>
      <w:pPr/>
      <w:rPr/>
    </w:lvl>
    <w:lvl w:ilvl="8" w:tplc="3C1D928B">
      <w:start w:val="1"/>
      <w:numFmt w:val="decimal"/>
      <w:suff w:val="tab"/>
      <w:lvlText w:val="%1."/>
      <w:lvlJc w:val="left"/>
      <w:pPr/>
      <w:rPr/>
    </w:lvl>
  </w:abstractNum>
  <w:abstractNum w:abstractNumId="6">
    <w:nsid w:val="FFFFFF83"/>
    <w:multiLevelType w:val="hybridMultilevel"/>
    <w:lvl w:ilvl="0">
      <w:start w:val="1"/>
      <w:numFmt w:val="bullet"/>
      <w:pStyle w:val="P23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</w:rPr>
    </w:lvl>
    <w:lvl w:ilvl="1" w:tplc="6EF9659E">
      <w:start w:val="1"/>
      <w:numFmt w:val="decimal"/>
      <w:suff w:val="tab"/>
      <w:lvlText w:val="%1."/>
      <w:lvlJc w:val="left"/>
      <w:pPr/>
      <w:rPr/>
    </w:lvl>
    <w:lvl w:ilvl="2" w:tplc="3B0459A0">
      <w:start w:val="1"/>
      <w:numFmt w:val="decimal"/>
      <w:suff w:val="tab"/>
      <w:lvlText w:val="%1."/>
      <w:lvlJc w:val="left"/>
      <w:pPr/>
      <w:rPr/>
    </w:lvl>
    <w:lvl w:ilvl="3" w:tplc="53354AD7">
      <w:start w:val="1"/>
      <w:numFmt w:val="decimal"/>
      <w:suff w:val="tab"/>
      <w:lvlText w:val="%1."/>
      <w:lvlJc w:val="left"/>
      <w:pPr/>
      <w:rPr/>
    </w:lvl>
    <w:lvl w:ilvl="4" w:tplc="3ACEC9BF">
      <w:start w:val="1"/>
      <w:numFmt w:val="decimal"/>
      <w:suff w:val="tab"/>
      <w:lvlText w:val="%1."/>
      <w:lvlJc w:val="left"/>
      <w:pPr/>
      <w:rPr/>
    </w:lvl>
    <w:lvl w:ilvl="5" w:tplc="7032706F">
      <w:start w:val="1"/>
      <w:numFmt w:val="decimal"/>
      <w:suff w:val="tab"/>
      <w:lvlText w:val="%1."/>
      <w:lvlJc w:val="left"/>
      <w:pPr/>
      <w:rPr/>
    </w:lvl>
    <w:lvl w:ilvl="6" w:tplc="575B2308">
      <w:start w:val="1"/>
      <w:numFmt w:val="decimal"/>
      <w:suff w:val="tab"/>
      <w:lvlText w:val="%1."/>
      <w:lvlJc w:val="left"/>
      <w:pPr/>
      <w:rPr/>
    </w:lvl>
    <w:lvl w:ilvl="7" w:tplc="5F2BAA15">
      <w:start w:val="1"/>
      <w:numFmt w:val="decimal"/>
      <w:suff w:val="tab"/>
      <w:lvlText w:val="%1."/>
      <w:lvlJc w:val="left"/>
      <w:pPr/>
      <w:rPr/>
    </w:lvl>
    <w:lvl w:ilvl="8" w:tplc="2723CCB7">
      <w:start w:val="1"/>
      <w:numFmt w:val="decimal"/>
      <w:suff w:val="tab"/>
      <w:lvlText w:val="%1."/>
      <w:lvlJc w:val="left"/>
      <w:pPr/>
      <w:rPr/>
    </w:lvl>
  </w:abstractNum>
  <w:abstractNum w:abstractNumId="7">
    <w:nsid w:val="FFFFFF88"/>
    <w:multiLevelType w:val="hybridMultilevel"/>
    <w:lvl w:ilvl="0">
      <w:start w:val="1"/>
      <w:numFmt w:val="decimal"/>
      <w:pStyle w:val="P25"/>
      <w:suff w:val="tab"/>
      <w:lvlText w:val="%1."/>
      <w:lvlJc w:val="left"/>
      <w:pPr>
        <w:ind w:hanging="360" w:left="360"/>
        <w:tabs>
          <w:tab w:val="num" w:pos="360" w:leader="none"/>
        </w:tabs>
      </w:pPr>
      <w:rPr/>
    </w:lvl>
    <w:lvl w:ilvl="1" w:tplc="5BC55FE2">
      <w:start w:val="1"/>
      <w:numFmt w:val="decimal"/>
      <w:suff w:val="tab"/>
      <w:lvlText w:val="%1."/>
      <w:lvlJc w:val="left"/>
      <w:pPr/>
      <w:rPr/>
    </w:lvl>
    <w:lvl w:ilvl="2" w:tplc="7119AC12">
      <w:start w:val="1"/>
      <w:numFmt w:val="decimal"/>
      <w:suff w:val="tab"/>
      <w:lvlText w:val="%1."/>
      <w:lvlJc w:val="left"/>
      <w:pPr/>
      <w:rPr/>
    </w:lvl>
    <w:lvl w:ilvl="3" w:tplc="3D01AE3C">
      <w:start w:val="1"/>
      <w:numFmt w:val="decimal"/>
      <w:suff w:val="tab"/>
      <w:lvlText w:val="%1."/>
      <w:lvlJc w:val="left"/>
      <w:pPr/>
      <w:rPr/>
    </w:lvl>
    <w:lvl w:ilvl="4" w:tplc="38F74478">
      <w:start w:val="1"/>
      <w:numFmt w:val="decimal"/>
      <w:suff w:val="tab"/>
      <w:lvlText w:val="%1."/>
      <w:lvlJc w:val="left"/>
      <w:pPr/>
      <w:rPr/>
    </w:lvl>
    <w:lvl w:ilvl="5" w:tplc="343F9CC5">
      <w:start w:val="1"/>
      <w:numFmt w:val="decimal"/>
      <w:suff w:val="tab"/>
      <w:lvlText w:val="%1."/>
      <w:lvlJc w:val="left"/>
      <w:pPr/>
      <w:rPr/>
    </w:lvl>
    <w:lvl w:ilvl="6" w:tplc="0CFC7EE0">
      <w:start w:val="1"/>
      <w:numFmt w:val="decimal"/>
      <w:suff w:val="tab"/>
      <w:lvlText w:val="%1."/>
      <w:lvlJc w:val="left"/>
      <w:pPr/>
      <w:rPr/>
    </w:lvl>
    <w:lvl w:ilvl="7" w:tplc="6897647C">
      <w:start w:val="1"/>
      <w:numFmt w:val="decimal"/>
      <w:suff w:val="tab"/>
      <w:lvlText w:val="%1."/>
      <w:lvlJc w:val="left"/>
      <w:pPr/>
      <w:rPr/>
    </w:lvl>
    <w:lvl w:ilvl="8" w:tplc="1E2007F4">
      <w:start w:val="1"/>
      <w:numFmt w:val="decimal"/>
      <w:suff w:val="tab"/>
      <w:lvlText w:val="%1."/>
      <w:lvlJc w:val="left"/>
      <w:pPr/>
      <w:rPr/>
    </w:lvl>
  </w:abstractNum>
  <w:abstractNum w:abstractNumId="8">
    <w:nsid w:val="FFFFFF89"/>
    <w:multiLevelType w:val="hybridMultilevel"/>
    <w:lvl w:ilvl="0">
      <w:start w:val="1"/>
      <w:numFmt w:val="bullet"/>
      <w:pStyle w:val="P22"/>
      <w:suff w:val="tab"/>
      <w:lvlText w:val=""/>
      <w:lvlJc w:val="left"/>
      <w:pPr>
        <w:ind w:hanging="360" w:left="360"/>
        <w:tabs>
          <w:tab w:val="num" w:pos="360" w:leader="none"/>
        </w:tabs>
      </w:pPr>
      <w:rPr>
        <w:rFonts w:ascii="Symbol" w:hAnsi="Symbol" w:hint="default"/>
      </w:rPr>
    </w:lvl>
    <w:lvl w:ilvl="1" w:tplc="4DB7BA0D">
      <w:start w:val="1"/>
      <w:numFmt w:val="decimal"/>
      <w:suff w:val="tab"/>
      <w:lvlText w:val="%1."/>
      <w:lvlJc w:val="left"/>
      <w:pPr/>
      <w:rPr/>
    </w:lvl>
    <w:lvl w:ilvl="2" w:tplc="559B3D62">
      <w:start w:val="1"/>
      <w:numFmt w:val="decimal"/>
      <w:suff w:val="tab"/>
      <w:lvlText w:val="%1."/>
      <w:lvlJc w:val="left"/>
      <w:pPr/>
      <w:rPr/>
    </w:lvl>
    <w:lvl w:ilvl="3" w:tplc="06B89E93">
      <w:start w:val="1"/>
      <w:numFmt w:val="decimal"/>
      <w:suff w:val="tab"/>
      <w:lvlText w:val="%1."/>
      <w:lvlJc w:val="left"/>
      <w:pPr/>
      <w:rPr/>
    </w:lvl>
    <w:lvl w:ilvl="4" w:tplc="13AE8442">
      <w:start w:val="1"/>
      <w:numFmt w:val="decimal"/>
      <w:suff w:val="tab"/>
      <w:lvlText w:val="%1."/>
      <w:lvlJc w:val="left"/>
      <w:pPr/>
      <w:rPr/>
    </w:lvl>
    <w:lvl w:ilvl="5" w:tplc="0C540484">
      <w:start w:val="1"/>
      <w:numFmt w:val="decimal"/>
      <w:suff w:val="tab"/>
      <w:lvlText w:val="%1."/>
      <w:lvlJc w:val="left"/>
      <w:pPr/>
      <w:rPr/>
    </w:lvl>
    <w:lvl w:ilvl="6" w:tplc="24CF702E">
      <w:start w:val="1"/>
      <w:numFmt w:val="decimal"/>
      <w:suff w:val="tab"/>
      <w:lvlText w:val="%1."/>
      <w:lvlJc w:val="left"/>
      <w:pPr/>
      <w:rPr/>
    </w:lvl>
    <w:lvl w:ilvl="7" w:tplc="65F962A6">
      <w:start w:val="1"/>
      <w:numFmt w:val="decimal"/>
      <w:suff w:val="tab"/>
      <w:lvlText w:val="%1."/>
      <w:lvlJc w:val="left"/>
      <w:pPr/>
      <w:rPr/>
    </w:lvl>
    <w:lvl w:ilvl="8" w:tplc="676F9D4F">
      <w:start w:val="1"/>
      <w:numFmt w:val="decimal"/>
      <w:suff w:val="tab"/>
      <w:lvlText w:val="%1."/>
      <w:lvlJc w:val="left"/>
      <w:pPr/>
      <w:rPr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US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er"/>
    <w:basedOn w:val="P0"/>
    <w:link w:val="C3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3">
    <w:name w:val="Heading 1"/>
    <w:basedOn w:val="P0"/>
    <w:next w:val="P0"/>
    <w:link w:val="C5"/>
    <w:qFormat/>
    <w:pPr>
      <w:keepNext w:val="1"/>
      <w:keepLines w:val="1"/>
      <w:spacing w:before="480" w:after="0" w:beforeAutospacing="0" w:afterAutospacing="0"/>
      <w:outlineLvl w:val="0"/>
    </w:pPr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paragraph" w:styleId="P4">
    <w:name w:val="Heading 2"/>
    <w:basedOn w:val="P0"/>
    <w:next w:val="P0"/>
    <w:link w:val="C6"/>
    <w:qFormat/>
    <w:pPr>
      <w:keepNext w:val="1"/>
      <w:keepLines w:val="1"/>
      <w:spacing w:before="200" w:after="0" w:beforeAutospacing="0" w:afterAutospacing="0"/>
      <w:outlineLvl w:val="1"/>
    </w:pPr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paragraph" w:styleId="P5">
    <w:name w:val="Heading 3"/>
    <w:basedOn w:val="P0"/>
    <w:next w:val="P0"/>
    <w:link w:val="C7"/>
    <w:qFormat/>
    <w:pPr>
      <w:keepNext w:val="1"/>
      <w:keepLines w:val="1"/>
      <w:spacing w:before="200" w:after="0" w:beforeAutospacing="0" w:afterAutospacing="0"/>
      <w:outlineLvl w:val="2"/>
    </w:pPr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paragraph" w:styleId="P6">
    <w:name w:val="Heading 4"/>
    <w:basedOn w:val="P0"/>
    <w:next w:val="P0"/>
    <w:link w:val="C15"/>
    <w:semiHidden/>
    <w:qFormat/>
    <w:pPr>
      <w:keepNext w:val="1"/>
      <w:keepLines w:val="1"/>
      <w:spacing w:before="200" w:after="0" w:beforeAutospacing="0" w:afterAutospacing="0"/>
      <w:outlineLvl w:val="3"/>
    </w:pPr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paragraph" w:styleId="P7">
    <w:name w:val="Heading 5"/>
    <w:basedOn w:val="P0"/>
    <w:next w:val="P0"/>
    <w:link w:val="C16"/>
    <w:semiHidden/>
    <w:qFormat/>
    <w:pPr>
      <w:keepNext w:val="1"/>
      <w:keepLines w:val="1"/>
      <w:spacing w:before="200" w:after="0" w:beforeAutospacing="0" w:afterAutospacing="0"/>
      <w:outlineLvl w:val="4"/>
    </w:pPr>
    <w:rPr>
      <w:rFonts w:asciiTheme="majorHAnsi" w:hAnsiTheme="majorHAnsi" w:cstheme="majorBidi" w:eastAsiaTheme="majorEastAsia"/>
      <w:color w:val="244061" w:themeColor="accent1" w:themeShade="7F"/>
    </w:rPr>
  </w:style>
  <w:style w:type="paragraph" w:styleId="P8">
    <w:name w:val="Heading 6"/>
    <w:basedOn w:val="P0"/>
    <w:next w:val="P0"/>
    <w:link w:val="C17"/>
    <w:semiHidden/>
    <w:qFormat/>
    <w:pPr>
      <w:keepNext w:val="1"/>
      <w:keepLines w:val="1"/>
      <w:spacing w:before="20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paragraph" w:styleId="P9">
    <w:name w:val="Heading 7"/>
    <w:basedOn w:val="P0"/>
    <w:next w:val="P0"/>
    <w:link w:val="C18"/>
    <w:semiHidden/>
    <w:qFormat/>
    <w:pPr>
      <w:keepNext w:val="1"/>
      <w:keepLines w:val="1"/>
      <w:spacing w:before="200" w:after="0" w:beforeAutospacing="0" w:afterAutospacing="0"/>
      <w:outlineLvl w:val="6"/>
    </w:pPr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paragraph" w:styleId="P10">
    <w:name w:val="Heading 8"/>
    <w:basedOn w:val="P0"/>
    <w:next w:val="P0"/>
    <w:link w:val="C19"/>
    <w:semiHidden/>
    <w:qFormat/>
    <w:pPr>
      <w:keepNext w:val="1"/>
      <w:keepLines w:val="1"/>
      <w:spacing w:before="200" w:after="0" w:beforeAutospacing="0" w:afterAutospacing="0"/>
      <w:outlineLvl w:val="7"/>
    </w:pPr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paragraph" w:styleId="P11">
    <w:name w:val="Heading 9"/>
    <w:basedOn w:val="P0"/>
    <w:next w:val="P0"/>
    <w:link w:val="C20"/>
    <w:semiHidden/>
    <w:qFormat/>
    <w:pPr>
      <w:keepNext w:val="1"/>
      <w:keepLines w:val="1"/>
      <w:spacing w:before="20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paragraph" w:styleId="P12">
    <w:name w:val="No Spacing"/>
    <w:qFormat/>
    <w:pPr>
      <w:spacing w:lineRule="auto" w:line="240" w:after="0" w:beforeAutospacing="0" w:afterAutospacing="0"/>
    </w:pPr>
    <w:rPr/>
  </w:style>
  <w:style w:type="paragraph" w:styleId="P13">
    <w:name w:val="Title"/>
    <w:basedOn w:val="P0"/>
    <w:next w:val="P0"/>
    <w:link w:val="C8"/>
    <w:qFormat/>
    <w:pPr>
      <w:pBdr>
        <w:top w:val="none" w:sz="0" w:space="0" w:shadow="0" w:frame="0" w:color="auto"/>
        <w:left w:val="none" w:sz="0" w:space="0" w:shadow="0" w:frame="0" w:color="auto"/>
        <w:bottom w:val="single" w:sz="8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lineRule="auto" w:line="240" w:after="300" w:beforeAutospacing="0" w:afterAutospacing="0"/>
      <w:contextualSpacing w:val="1"/>
    </w:pPr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paragraph" w:styleId="P14">
    <w:name w:val="Subtitle"/>
    <w:basedOn w:val="P0"/>
    <w:next w:val="P0"/>
    <w:link w:val="C9"/>
    <w:qFormat/>
    <w:pPr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paragraph" w:styleId="P15">
    <w:name w:val="List Paragraph"/>
    <w:basedOn w:val="P0"/>
    <w:qFormat/>
    <w:pPr>
      <w:ind w:left="720"/>
      <w:contextualSpacing w:val="1"/>
    </w:pPr>
    <w:rPr/>
  </w:style>
  <w:style w:type="paragraph" w:styleId="P16">
    <w:name w:val="Body Text"/>
    <w:basedOn w:val="P0"/>
    <w:link w:val="C10"/>
    <w:pPr>
      <w:spacing w:after="120" w:beforeAutospacing="0" w:afterAutospacing="0"/>
    </w:pPr>
    <w:rPr/>
  </w:style>
  <w:style w:type="paragraph" w:styleId="P17">
    <w:name w:val="Body Text 2"/>
    <w:basedOn w:val="P0"/>
    <w:link w:val="C11"/>
    <w:pPr>
      <w:spacing w:lineRule="auto" w:line="480" w:after="120" w:beforeAutospacing="0" w:afterAutospacing="0"/>
    </w:pPr>
    <w:rPr/>
  </w:style>
  <w:style w:type="paragraph" w:styleId="P18">
    <w:name w:val="Body Text 3"/>
    <w:basedOn w:val="P0"/>
    <w:link w:val="C12"/>
    <w:pPr>
      <w:spacing w:after="120" w:beforeAutospacing="0" w:afterAutospacing="0"/>
    </w:pPr>
    <w:rPr>
      <w:sz w:val="16"/>
      <w:szCs w:val="16"/>
    </w:rPr>
  </w:style>
  <w:style w:type="paragraph" w:styleId="P19">
    <w:name w:val="List"/>
    <w:basedOn w:val="P0"/>
    <w:pPr>
      <w:ind w:hanging="360" w:left="360"/>
      <w:contextualSpacing w:val="1"/>
    </w:pPr>
    <w:rPr/>
  </w:style>
  <w:style w:type="paragraph" w:styleId="P20">
    <w:name w:val="List 2"/>
    <w:basedOn w:val="P0"/>
    <w:pPr>
      <w:ind w:hanging="360" w:left="720"/>
      <w:contextualSpacing w:val="1"/>
    </w:pPr>
    <w:rPr/>
  </w:style>
  <w:style w:type="paragraph" w:styleId="P21">
    <w:name w:val="List 3"/>
    <w:basedOn w:val="P0"/>
    <w:pPr>
      <w:ind w:hanging="360" w:left="1080"/>
      <w:contextualSpacing w:val="1"/>
    </w:pPr>
    <w:rPr/>
  </w:style>
  <w:style w:type="paragraph" w:styleId="P22">
    <w:name w:val="List Bullet"/>
    <w:basedOn w:val="P0"/>
    <w:pPr>
      <w:numPr>
        <w:numId w:val="1"/>
      </w:numPr>
      <w:contextualSpacing w:val="1"/>
    </w:pPr>
    <w:rPr/>
  </w:style>
  <w:style w:type="paragraph" w:styleId="P23">
    <w:name w:val="List Bullet 2"/>
    <w:basedOn w:val="P0"/>
    <w:pPr>
      <w:numPr>
        <w:numId w:val="2"/>
      </w:numPr>
      <w:contextualSpacing w:val="1"/>
    </w:pPr>
    <w:rPr/>
  </w:style>
  <w:style w:type="paragraph" w:styleId="P24">
    <w:name w:val="List Bullet 3"/>
    <w:basedOn w:val="P0"/>
    <w:pPr>
      <w:numPr>
        <w:numId w:val="3"/>
      </w:numPr>
      <w:contextualSpacing w:val="1"/>
    </w:pPr>
    <w:rPr/>
  </w:style>
  <w:style w:type="paragraph" w:styleId="P25">
    <w:name w:val="List Number"/>
    <w:basedOn w:val="P0"/>
    <w:pPr>
      <w:numPr>
        <w:numId w:val="5"/>
      </w:numPr>
      <w:contextualSpacing w:val="1"/>
    </w:pPr>
    <w:rPr/>
  </w:style>
  <w:style w:type="paragraph" w:styleId="P26">
    <w:name w:val="List Number 2"/>
    <w:basedOn w:val="P0"/>
    <w:pPr>
      <w:numPr>
        <w:numId w:val="6"/>
      </w:numPr>
      <w:contextualSpacing w:val="1"/>
    </w:pPr>
    <w:rPr/>
  </w:style>
  <w:style w:type="paragraph" w:styleId="P27">
    <w:name w:val="List Number 3"/>
    <w:basedOn w:val="P0"/>
    <w:pPr>
      <w:numPr>
        <w:numId w:val="7"/>
      </w:numPr>
      <w:contextualSpacing w:val="1"/>
    </w:pPr>
    <w:rPr/>
  </w:style>
  <w:style w:type="paragraph" w:styleId="P28">
    <w:name w:val="List Continue"/>
    <w:basedOn w:val="P0"/>
    <w:pPr>
      <w:spacing w:after="120" w:beforeAutospacing="0" w:afterAutospacing="0"/>
      <w:ind w:left="360"/>
      <w:contextualSpacing w:val="1"/>
    </w:pPr>
    <w:rPr/>
  </w:style>
  <w:style w:type="paragraph" w:styleId="P29">
    <w:name w:val="List Continue 2"/>
    <w:basedOn w:val="P0"/>
    <w:pPr>
      <w:spacing w:after="120" w:beforeAutospacing="0" w:afterAutospacing="0"/>
      <w:ind w:left="720"/>
      <w:contextualSpacing w:val="1"/>
    </w:pPr>
    <w:rPr/>
  </w:style>
  <w:style w:type="paragraph" w:styleId="P30">
    <w:name w:val="List Continue 3"/>
    <w:basedOn w:val="P0"/>
    <w:pPr>
      <w:spacing w:after="120" w:beforeAutospacing="0" w:afterAutospacing="0"/>
      <w:ind w:left="1080"/>
      <w:contextualSpacing w:val="1"/>
    </w:pPr>
    <w:rPr/>
  </w:style>
  <w:style w:type="paragraph" w:styleId="P31">
    <w:name w:val="macro"/>
    <w:link w:val="C13"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  <w:szCs w:val="20"/>
    </w:rPr>
  </w:style>
  <w:style w:type="paragraph" w:styleId="P32">
    <w:name w:val="Quote"/>
    <w:basedOn w:val="P0"/>
    <w:next w:val="P0"/>
    <w:link w:val="C14"/>
    <w:qFormat/>
    <w:pPr/>
    <w:rPr>
      <w:i w:val="1"/>
      <w:iCs w:val="1"/>
      <w:color w:val="000000" w:themeColor="text1"/>
    </w:rPr>
  </w:style>
  <w:style w:type="paragraph" w:styleId="P33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color w:val="4F81BD" w:themeColor="accent1"/>
      <w:sz w:val="18"/>
      <w:szCs w:val="18"/>
    </w:rPr>
  </w:style>
  <w:style w:type="paragraph" w:styleId="P34">
    <w:name w:val="Intense Quote"/>
    <w:basedOn w:val="P0"/>
    <w:next w:val="P0"/>
    <w:link w:val="C23"/>
    <w:qFormat/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before="200" w:after="280" w:beforeAutospacing="0" w:afterAutospacing="0"/>
      <w:ind w:left="936" w:right="936"/>
    </w:pPr>
    <w:rPr>
      <w:b w:val="1"/>
      <w:i w:val="1"/>
      <w:bCs w:val="1"/>
      <w:iCs w:val="1"/>
      <w:color w:val="4F81BD" w:themeColor="accent1"/>
    </w:rPr>
  </w:style>
  <w:style w:type="paragraph" w:styleId="P35">
    <w:name w:val="TOC Heading"/>
    <w:basedOn w:val="P3"/>
    <w:next w:val="P0"/>
    <w:semiHidden/>
    <w:qFormat/>
    <w:pPr>
      <w:outlineLvl w:val="9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er Char"/>
    <w:basedOn w:val="C0"/>
    <w:link w:val="P1"/>
    <w:rPr/>
  </w:style>
  <w:style w:type="character" w:styleId="C4">
    <w:name w:val="Footer Char"/>
    <w:basedOn w:val="C0"/>
    <w:link w:val="P2"/>
    <w:rPr/>
  </w:style>
  <w:style w:type="character" w:styleId="C5">
    <w:name w:val="Heading 1 Char"/>
    <w:basedOn w:val="C0"/>
    <w:link w:val="P3"/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character" w:styleId="C6">
    <w:name w:val="Heading 2 Char"/>
    <w:basedOn w:val="C0"/>
    <w:link w:val="P4"/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character" w:styleId="C7">
    <w:name w:val="Heading 3 Char"/>
    <w:basedOn w:val="C0"/>
    <w:link w:val="P5"/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character" w:styleId="C8">
    <w:name w:val="Title Char"/>
    <w:basedOn w:val="C0"/>
    <w:link w:val="P13"/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character" w:styleId="C9">
    <w:name w:val="Subtitle Char"/>
    <w:basedOn w:val="C0"/>
    <w:link w:val="P14"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character" w:styleId="C10">
    <w:name w:val="Body Text Char"/>
    <w:basedOn w:val="C0"/>
    <w:link w:val="P16"/>
    <w:rPr/>
  </w:style>
  <w:style w:type="character" w:styleId="C11">
    <w:name w:val="Body Text 2 Char"/>
    <w:basedOn w:val="C0"/>
    <w:link w:val="P17"/>
    <w:rPr/>
  </w:style>
  <w:style w:type="character" w:styleId="C12">
    <w:name w:val="Body Text 3 Char"/>
    <w:basedOn w:val="C0"/>
    <w:link w:val="P18"/>
    <w:rPr>
      <w:sz w:val="16"/>
      <w:szCs w:val="16"/>
    </w:rPr>
  </w:style>
  <w:style w:type="character" w:styleId="C13">
    <w:name w:val="Macro Text Char"/>
    <w:basedOn w:val="C0"/>
    <w:link w:val="P31"/>
    <w:rPr>
      <w:rFonts w:ascii="Courier" w:hAnsi="Courier"/>
      <w:sz w:val="20"/>
      <w:szCs w:val="20"/>
    </w:rPr>
  </w:style>
  <w:style w:type="character" w:styleId="C14">
    <w:name w:val="Quote Char"/>
    <w:basedOn w:val="C0"/>
    <w:link w:val="P32"/>
    <w:rPr>
      <w:i w:val="1"/>
      <w:iCs w:val="1"/>
      <w:color w:val="000000" w:themeColor="text1"/>
    </w:rPr>
  </w:style>
  <w:style w:type="character" w:styleId="C15">
    <w:name w:val="Heading 4 Char"/>
    <w:basedOn w:val="C0"/>
    <w:link w:val="P6"/>
    <w:semiHidden/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character" w:styleId="C16">
    <w:name w:val="Heading 5 Char"/>
    <w:basedOn w:val="C0"/>
    <w:link w:val="P7"/>
    <w:semiHidden/>
    <w:rPr>
      <w:rFonts w:asciiTheme="majorHAnsi" w:hAnsiTheme="majorHAnsi" w:cstheme="majorBidi" w:eastAsiaTheme="majorEastAsia"/>
      <w:color w:val="244061" w:themeColor="accent1" w:themeShade="7F"/>
    </w:rPr>
  </w:style>
  <w:style w:type="character" w:styleId="C17">
    <w:name w:val="Heading 6 Char"/>
    <w:basedOn w:val="C0"/>
    <w:link w:val="P8"/>
    <w:semiHidden/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character" w:styleId="C18">
    <w:name w:val="Heading 7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character" w:styleId="C19">
    <w:name w:val="Heading 8 Char"/>
    <w:basedOn w:val="C0"/>
    <w:link w:val="P10"/>
    <w:semiHidden/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character" w:styleId="C20">
    <w:name w:val="Heading 9 Char"/>
    <w:basedOn w:val="C0"/>
    <w:link w:val="P11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character" w:styleId="C21">
    <w:name w:val="Strong"/>
    <w:basedOn w:val="C0"/>
    <w:qFormat/>
    <w:rPr>
      <w:b w:val="1"/>
      <w:bCs w:val="1"/>
    </w:rPr>
  </w:style>
  <w:style w:type="character" w:styleId="C22">
    <w:name w:val="Emphasis"/>
    <w:basedOn w:val="C0"/>
    <w:qFormat/>
    <w:rPr>
      <w:i w:val="1"/>
      <w:iCs w:val="1"/>
    </w:rPr>
  </w:style>
  <w:style w:type="character" w:styleId="C23">
    <w:name w:val="Intense Quote Char"/>
    <w:basedOn w:val="C0"/>
    <w:link w:val="P34"/>
    <w:rPr>
      <w:b w:val="1"/>
      <w:i w:val="1"/>
      <w:bCs w:val="1"/>
      <w:iCs w:val="1"/>
      <w:color w:val="4F81BD" w:themeColor="accent1"/>
    </w:rPr>
  </w:style>
  <w:style w:type="character" w:styleId="C24">
    <w:name w:val="Subtle Emphasis"/>
    <w:basedOn w:val="C0"/>
    <w:qFormat/>
    <w:rPr>
      <w:i w:val="1"/>
      <w:iCs w:val="1"/>
      <w:color w:val="808080" w:themeColor="text1" w:themeTint="7F"/>
    </w:rPr>
  </w:style>
  <w:style w:type="character" w:styleId="C25">
    <w:name w:val="Intense Emphasis"/>
    <w:basedOn w:val="C0"/>
    <w:qFormat/>
    <w:rPr>
      <w:b w:val="1"/>
      <w:i w:val="1"/>
      <w:bCs w:val="1"/>
      <w:iCs w:val="1"/>
      <w:color w:val="4F81BD" w:themeColor="accent1"/>
    </w:rPr>
  </w:style>
  <w:style w:type="character" w:styleId="C26">
    <w:name w:val="Subtle Reference1"/>
    <w:basedOn w:val="C0"/>
    <w:qFormat/>
    <w:rPr>
      <w:smallCaps w:val="1"/>
      <w:color w:val="C0504D" w:themeColor="accent2"/>
      <w:u w:val="single"/>
    </w:rPr>
  </w:style>
  <w:style w:type="character" w:styleId="C27">
    <w:name w:val="Intense Reference1"/>
    <w:basedOn w:val="C0"/>
    <w:qFormat/>
    <w:rPr>
      <w:b w:val="1"/>
      <w:bCs w:val="1"/>
      <w:smallCaps w:val="1"/>
      <w:color w:val="C0504D" w:themeColor="accent2"/>
      <w:u w:val="single"/>
      <w:spacing w:val="5"/>
    </w:rPr>
  </w:style>
  <w:style w:type="character" w:styleId="C28">
    <w:name w:val="Book Title"/>
    <w:basedOn w:val="C0"/>
    <w:qFormat/>
    <w:rPr>
      <w:b w:val="1"/>
      <w:bCs w:val="1"/>
      <w:smallCaps w:val="1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3">
    <w:name w:val="Light Shading1"/>
    <w:basedOn w:val="T0"/>
    <w:pPr>
      <w:spacing w:lineRule="auto" w:line="240" w:after="0" w:beforeAutospacing="0" w:afterAutospacing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</w:style>
  <w:style w:type="table" w:styleId="T4">
    <w:name w:val="Light Shading Accent 1"/>
    <w:basedOn w:val="T0"/>
    <w:pPr>
      <w:spacing w:lineRule="auto" w:line="240" w:after="0" w:beforeAutospacing="0" w:afterAutospacing="0"/>
    </w:pPr>
    <w:rPr>
      <w:color w:val="376092" w:themeColor="accent1" w:themeShade="BF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</w:style>
  <w:style w:type="table" w:styleId="T5">
    <w:name w:val="Light Shading Accent 2"/>
    <w:basedOn w:val="T0"/>
    <w:pPr>
      <w:spacing w:lineRule="auto" w:line="240" w:after="0" w:beforeAutospacing="0" w:afterAutospacing="0"/>
    </w:pPr>
    <w:rPr>
      <w:color w:val="953735" w:themeColor="accent2" w:themeShade="BF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</w:style>
  <w:style w:type="table" w:styleId="T6">
    <w:name w:val="Light Shading Accent 3"/>
    <w:basedOn w:val="T0"/>
    <w:pPr>
      <w:spacing w:lineRule="auto" w:line="240" w:after="0" w:beforeAutospacing="0" w:afterAutospacing="0"/>
    </w:pPr>
    <w:rPr>
      <w:color w:val="76933C" w:themeColor="accent3" w:themeShade="BF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</w:style>
  <w:style w:type="table" w:styleId="T7">
    <w:name w:val="Light Shading Accent 4"/>
    <w:basedOn w:val="T0"/>
    <w:pPr>
      <w:spacing w:lineRule="auto" w:line="240" w:after="0" w:beforeAutospacing="0" w:afterAutospacing="0"/>
    </w:pPr>
    <w:rPr>
      <w:color w:val="604A7B" w:themeColor="accent4" w:themeShade="BF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</w:style>
  <w:style w:type="table" w:styleId="T8">
    <w:name w:val="Light Shading Accent 5"/>
    <w:basedOn w:val="T0"/>
    <w:pPr>
      <w:spacing w:lineRule="auto" w:line="240" w:after="0" w:beforeAutospacing="0" w:afterAutospacing="0"/>
    </w:pPr>
    <w:rPr>
      <w:color w:val="31859B" w:themeColor="accent5" w:themeShade="BF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</w:style>
  <w:style w:type="table" w:styleId="T9">
    <w:name w:val="Light Shading Accent 6"/>
    <w:basedOn w:val="T0"/>
    <w:pPr>
      <w:spacing w:lineRule="auto" w:line="240" w:after="0" w:beforeAutospacing="0" w:afterAutospacing="0"/>
    </w:pPr>
    <w:rPr>
      <w:color w:val="E46C0A" w:themeColor="accent6" w:themeShade="BF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</w:style>
  <w:style w:type="table" w:styleId="T10">
    <w:name w:val="Light List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000000" w:themeFill="text1"/>
      </w:tcPr>
    </w:tblStylePr>
  </w:style>
  <w:style w:type="table" w:styleId="T11">
    <w:name w:val="Light List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F81BD" w:themeFill="accent1"/>
      </w:tcPr>
    </w:tblStylePr>
  </w:style>
  <w:style w:type="table" w:styleId="T12">
    <w:name w:val="Light List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C0504D" w:themeFill="accent2"/>
      </w:tcPr>
    </w:tblStylePr>
  </w:style>
  <w:style w:type="table" w:styleId="T13">
    <w:name w:val="Light List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9BBB59" w:themeFill="accent3"/>
      </w:tcPr>
    </w:tblStylePr>
  </w:style>
  <w:style w:type="table" w:styleId="T14">
    <w:name w:val="Light List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8064A2" w:themeFill="accent4"/>
      </w:tcPr>
    </w:tblStylePr>
  </w:style>
  <w:style w:type="table" w:styleId="T15">
    <w:name w:val="Light List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BACC6" w:themeFill="accent5"/>
      </w:tcPr>
    </w:tblStylePr>
  </w:style>
  <w:style w:type="table" w:styleId="T16">
    <w:name w:val="Light List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F79646" w:themeFill="accent6"/>
      </w:tcPr>
    </w:tblStylePr>
  </w:style>
  <w:style w:type="table" w:styleId="T17">
    <w:name w:val="Light Grid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</w:tcPr>
    </w:tblStylePr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1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</w:style>
  <w:style w:type="table" w:styleId="T18">
    <w:name w:val="Light Grid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</w:tcPr>
    </w:tblStylePr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1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</w:style>
  <w:style w:type="table" w:styleId="T19">
    <w:name w:val="Light Grid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</w:tcPr>
    </w:tblStylePr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1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</w:style>
  <w:style w:type="table" w:styleId="T20">
    <w:name w:val="Light Grid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</w:tcPr>
    </w:tblStylePr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1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</w:style>
  <w:style w:type="table" w:styleId="T21">
    <w:name w:val="Light Grid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</w:tcPr>
    </w:tblStylePr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1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</w:style>
  <w:style w:type="table" w:styleId="T22">
    <w:name w:val="Light Grid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</w:tcPr>
    </w:tblStylePr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1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</w:style>
  <w:style w:type="table" w:styleId="T23">
    <w:name w:val="Light Grid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</w:tcPr>
    </w:tblStylePr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1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</w:style>
  <w:style w:type="table" w:styleId="T24">
    <w:name w:val="Medium Shading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  <w:shd w:val="clear" w:color="auto" w:fill="000000" w:themeFill="text1"/>
      </w:tcPr>
    </w:tblStylePr>
  </w:style>
  <w:style w:type="table" w:styleId="T25">
    <w:name w:val="Medium Shading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  <w:shd w:val="clear" w:color="auto" w:fill="4F81BD" w:themeFill="accent1"/>
      </w:tcPr>
    </w:tblStylePr>
  </w:style>
  <w:style w:type="table" w:styleId="T26">
    <w:name w:val="Medium Shading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  <w:shd w:val="clear" w:color="auto" w:fill="C0504D" w:themeFill="accent2"/>
      </w:tcPr>
    </w:tblStylePr>
  </w:style>
  <w:style w:type="table" w:styleId="T27">
    <w:name w:val="Medium Shading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  <w:shd w:val="clear" w:color="auto" w:fill="9BBB59" w:themeFill="accent3"/>
      </w:tcPr>
    </w:tblStylePr>
  </w:style>
  <w:style w:type="table" w:styleId="T28">
    <w:name w:val="Medium Shading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  <w:shd w:val="clear" w:color="auto" w:fill="8064A2" w:themeFill="accent4"/>
      </w:tcPr>
    </w:tblStylePr>
  </w:style>
  <w:style w:type="table" w:styleId="T29">
    <w:name w:val="Medium Shading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  <w:shd w:val="clear" w:color="auto" w:fill="4BACC6" w:themeFill="accent5"/>
      </w:tcPr>
    </w:tblStylePr>
  </w:style>
  <w:style w:type="table" w:styleId="T30">
    <w:name w:val="Medium Shading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</w:style>
  <w:style w:type="table" w:styleId="T31">
    <w:name w:val="Medium Shading 2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32">
    <w:name w:val="Medium Shading 2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T33">
    <w:name w:val="Medium Shading 2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T34">
    <w:name w:val="Medium Shading 2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T35">
    <w:name w:val="Medium Shading 2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T36">
    <w:name w:val="Medium Shading 2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T37">
    <w:name w:val="Medium Shading 2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T38">
    <w:name w:val="Medium List 1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000000" w:themeColor="text1"/>
        </w:tcBorders>
      </w:tcPr>
    </w:tblStylePr>
  </w:style>
  <w:style w:type="table" w:styleId="T39">
    <w:name w:val="Medium List 1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F81BD" w:themeColor="accent1"/>
        </w:tcBorders>
      </w:tcPr>
    </w:tblStylePr>
  </w:style>
  <w:style w:type="table" w:styleId="T40">
    <w:name w:val="Medium List 1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C0504D" w:themeColor="accent2"/>
        </w:tcBorders>
      </w:tcPr>
    </w:tblStylePr>
  </w:style>
  <w:style w:type="table" w:styleId="T41">
    <w:name w:val="Medium List 1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9BBB59" w:themeColor="accent3"/>
        </w:tcBorders>
      </w:tcPr>
    </w:tblStylePr>
  </w:style>
  <w:style w:type="table" w:styleId="T42">
    <w:name w:val="Medium List 1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8064A2" w:themeColor="accent4"/>
        </w:tcBorders>
      </w:tcPr>
    </w:tblStylePr>
  </w:style>
  <w:style w:type="table" w:styleId="T43">
    <w:name w:val="Medium List 1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BACC6" w:themeColor="accent5"/>
        </w:tcBorders>
      </w:tcPr>
    </w:tblStylePr>
  </w:style>
  <w:style w:type="table" w:styleId="T44">
    <w:name w:val="Medium List 1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F79646" w:themeColor="accent6"/>
        </w:tcBorders>
      </w:tcPr>
    </w:tblStylePr>
  </w:style>
  <w:style w:type="table" w:styleId="T45">
    <w:name w:val="Medium List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6">
    <w:name w:val="Medium List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7">
    <w:name w:val="Medium List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8">
    <w:name w:val="Medium List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9">
    <w:name w:val="Medium List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0">
    <w:name w:val="Medium List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1">
    <w:name w:val="Medium List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2">
    <w:name w:val="Medium Grid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  <w:insideV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404040" w:themeColor="tex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3">
    <w:name w:val="Medium Grid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  <w:insideV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BA1CE" w:themeColor="accen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4">
    <w:name w:val="Medium Grid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  <w:insideV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D07C7A" w:themeColor="accent2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5">
    <w:name w:val="Medium Grid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  <w:insideV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B4CC83" w:themeColor="accent3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6">
    <w:name w:val="Medium Grid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  <w:insideV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A08BB9" w:themeColor="accent4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7">
    <w:name w:val="Medium Grid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  <w:insideV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8C1D4" w:themeColor="accent5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8">
    <w:name w:val="Medium Grid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  <w:insideV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F9B074" w:themeColor="accent6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9">
    <w:name w:val="Medium Grid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000000" w:themeColor="text1"/>
          <w:insideV w:val="single" w:sz="6" w:space="0" w:shadow="0" w:frame="0" w:color="000000" w:themeColor="text1"/>
        </w:tcBorders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6E6E6" w:themeFill="text1" w:themeFillTint="18"/>
      </w:tcPr>
    </w:tblStylePr>
  </w:style>
  <w:style w:type="table" w:styleId="T60">
    <w:name w:val="Medium Grid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F81BD" w:themeColor="accent1"/>
          <w:insideV w:val="single" w:sz="6" w:space="0" w:shadow="0" w:frame="0" w:color="4F81BD" w:themeColor="accent1"/>
        </w:tcBorders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6F2" w:themeFill="accen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3F9" w:themeFill="accent1" w:themeFillTint="18"/>
      </w:tcPr>
    </w:tblStylePr>
  </w:style>
  <w:style w:type="table" w:styleId="T61">
    <w:name w:val="Medium Grid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C0504D" w:themeColor="accent2"/>
          <w:insideV w:val="single" w:sz="6" w:space="0" w:shadow="0" w:frame="0" w:color="C0504D" w:themeColor="accent2"/>
        </w:tcBorders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CDB" w:themeFill="accent2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9EEEE" w:themeFill="accent2" w:themeFillTint="18"/>
      </w:tcPr>
    </w:tblStylePr>
  </w:style>
  <w:style w:type="table" w:styleId="T62">
    <w:name w:val="Medium Grid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9BBB59" w:themeColor="accent3"/>
          <w:insideV w:val="single" w:sz="6" w:space="0" w:shadow="0" w:frame="0" w:color="9BBB59" w:themeColor="accent3"/>
        </w:tcBorders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E" w:themeFill="accent3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5F8EF" w:themeFill="accent3" w:themeFillTint="18"/>
      </w:tcPr>
    </w:tblStylePr>
  </w:style>
  <w:style w:type="table" w:styleId="T63">
    <w:name w:val="Medium Grid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8064A2" w:themeColor="accent4"/>
          <w:insideV w:val="single" w:sz="6" w:space="0" w:shadow="0" w:frame="0" w:color="8064A2" w:themeColor="accent4"/>
        </w:tcBorders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EC" w:themeFill="accent4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3F0F6" w:themeFill="accent4" w:themeFillTint="18"/>
      </w:tcPr>
    </w:tblStylePr>
  </w:style>
  <w:style w:type="table" w:styleId="T64">
    <w:name w:val="Medium Grid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BACC6" w:themeColor="accent5"/>
          <w:insideV w:val="single" w:sz="6" w:space="0" w:shadow="0" w:frame="0" w:color="4BACC6" w:themeColor="accent5"/>
        </w:tcBorders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4" w:themeFill="accent5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DF7F9" w:themeFill="accent5" w:themeFillTint="18"/>
      </w:tcPr>
    </w:tblStylePr>
  </w:style>
  <w:style w:type="table" w:styleId="T65">
    <w:name w:val="Medium Grid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F79646" w:themeColor="accent6"/>
          <w:insideV w:val="single" w:sz="6" w:space="0" w:shadow="0" w:frame="0" w:color="F79646" w:themeColor="accent6"/>
        </w:tcBorders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A" w:themeFill="accent6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EF5ED" w:themeFill="accent6" w:themeFillTint="18"/>
      </w:tcPr>
    </w:tblStylePr>
  </w:style>
  <w:style w:type="table" w:styleId="T66">
    <w:name w:val="Medium Grid 3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808080" w:themeFill="tex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</w:style>
  <w:style w:type="table" w:styleId="T67">
    <w:name w:val="Medium Grid 3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7C0DE" w:themeFill="accen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</w:style>
  <w:style w:type="table" w:styleId="T68">
    <w:name w:val="Medium Grid 3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E0A8A6" w:themeFill="accent2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E0A8A6" w:themeFill="accent2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</w:style>
  <w:style w:type="table" w:styleId="T69">
    <w:name w:val="Medium Grid 3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DDDAC" w:themeFill="accent3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</w:style>
  <w:style w:type="table" w:styleId="T70">
    <w:name w:val="Medium Grid 3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0B2D1" w:themeFill="accent4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0B2D1" w:themeFill="accent4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</w:style>
  <w:style w:type="table" w:styleId="T71">
    <w:name w:val="Medium Grid 3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5D6E3" w:themeFill="accent5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5D6E3" w:themeFill="accent5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</w:style>
  <w:style w:type="table" w:styleId="T72">
    <w:name w:val="Medium Grid 3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FBCBA3" w:themeFill="accent6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FBCBA3" w:themeFill="accent6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</w:style>
  <w:style w:type="table" w:styleId="T73">
    <w:name w:val="Dark List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000000" w:themeFill="tex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4">
    <w:name w:val="Dark List Accent 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F81BD" w:themeFill="accen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5">
    <w:name w:val="Dark List Accent 2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504D" w:themeFill="accent2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6">
    <w:name w:val="Dark List Accent 3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9BBB59" w:themeFill="accent3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7">
    <w:name w:val="Dark List Accent 4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8064A2" w:themeFill="accent4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8">
    <w:name w:val="Dark List Accent 5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BACC6" w:themeFill="accent5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9">
    <w:name w:val="Dark List Accent 6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79646" w:themeFill="accent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80">
    <w:name w:val="Colorful Shading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1">
    <w:name w:val="Colorful Shading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4F81BD" w:themeColor="accent1"/>
        <w:bottom w:val="single" w:sz="4" w:space="0" w:shadow="0" w:frame="0" w:color="4F81BD" w:themeColor="accent1"/>
        <w:right w:val="single" w:sz="4" w:space="0" w:shadow="0" w:frame="0" w:color="4F81BD" w:themeColor="accen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B9CDE5" w:themeFill="accen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C4D75" w:themeFill="accen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2">
    <w:name w:val="Colorful Shading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C0504D" w:themeColor="accent2"/>
        <w:bottom w:val="single" w:sz="4" w:space="0" w:shadow="0" w:frame="0" w:color="C0504D" w:themeColor="accent2"/>
        <w:right w:val="single" w:sz="4" w:space="0" w:shadow="0" w:frame="0" w:color="C0504D" w:themeColor="accent2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6B9B8" w:themeFill="accent2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3">
    <w:name w:val="Colorful Shading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8064A2" w:themeColor="accent4"/>
        <w:left w:val="single" w:sz="4" w:space="0" w:shadow="0" w:frame="0" w:color="9BBB59" w:themeColor="accent3"/>
        <w:bottom w:val="single" w:sz="4" w:space="0" w:shadow="0" w:frame="0" w:color="9BBB59" w:themeColor="accent3"/>
        <w:right w:val="single" w:sz="4" w:space="0" w:shadow="0" w:frame="0" w:color="9BBB59" w:themeColor="accent3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D7E4BD" w:themeFill="accent3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5F7530" w:themeFill="accent3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4">
    <w:name w:val="Colorful Shading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9BBB59" w:themeColor="accent3"/>
        <w:left w:val="single" w:sz="4" w:space="0" w:shadow="0" w:frame="0" w:color="8064A2" w:themeColor="accent4"/>
        <w:bottom w:val="single" w:sz="4" w:space="0" w:shadow="0" w:frame="0" w:color="8064A2" w:themeColor="accent4"/>
        <w:right w:val="single" w:sz="4" w:space="0" w:shadow="0" w:frame="0" w:color="8064A2" w:themeColor="accent4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CC1DA" w:themeFill="accent4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4D3B62" w:themeFill="accent4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5">
    <w:name w:val="Colorful Shading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F79646" w:themeColor="accent6"/>
        <w:left w:val="single" w:sz="4" w:space="0" w:shadow="0" w:frame="0" w:color="4BACC6" w:themeColor="accent5"/>
        <w:bottom w:val="single" w:sz="4" w:space="0" w:shadow="0" w:frame="0" w:color="4BACC6" w:themeColor="accent5"/>
        <w:right w:val="single" w:sz="4" w:space="0" w:shadow="0" w:frame="0" w:color="4BACC6" w:themeColor="accent5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B7DEE8" w:themeFill="accent5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6">
    <w:name w:val="Colorful Shading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4BACC6" w:themeColor="accent5"/>
        <w:left w:val="single" w:sz="4" w:space="0" w:shadow="0" w:frame="0" w:color="F79646" w:themeColor="accent6"/>
        <w:bottom w:val="single" w:sz="4" w:space="0" w:shadow="0" w:frame="0" w:color="F79646" w:themeColor="accent6"/>
        <w:right w:val="single" w:sz="4" w:space="0" w:shadow="0" w:frame="0" w:color="F79646" w:themeColor="accent6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CD5B5" w:themeFill="accent6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B65708" w:themeFill="accent6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7">
    <w:name w:val="Colorful List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band1Horz">
      <w:tblPr/>
      <w:trPr/>
      <w:tcPr>
        <w:shd w:val="clear" w:color="auto" w:fill="CCCCCC" w:themeFill="tex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8">
    <w:name w:val="Colorful List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band1Horz">
      <w:tblPr/>
      <w:trPr/>
      <w:tcPr>
        <w:shd w:val="clear" w:color="auto" w:fill="DCE6F2" w:themeFill="accen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9">
    <w:name w:val="Colorful List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90">
    <w:name w:val="Colorful List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EBF1DE" w:themeFill="accent3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664F83" w:themeColor="accent4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664F83" w:themeFill="accent4" w:themeFillShade="CC"/>
      </w:tcPr>
    </w:tblStylePr>
  </w:style>
  <w:style w:type="table" w:styleId="T91">
    <w:name w:val="Colorful List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band1Horz">
      <w:tblPr/>
      <w:trPr/>
      <w:tcPr>
        <w:shd w:val="clear" w:color="auto" w:fill="E6E0EC" w:themeFill="accent4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7E9D40" w:themeColor="accent3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7E9D40" w:themeFill="accent3" w:themeFillShade="CC"/>
      </w:tcPr>
    </w:tblStylePr>
  </w:style>
  <w:style w:type="table" w:styleId="T92">
    <w:name w:val="Colorful List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band1Horz">
      <w:tblPr/>
      <w:trPr/>
      <w:tcPr>
        <w:shd w:val="clear" w:color="auto" w:fill="DBEEF4" w:themeFill="accent5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F3740B" w:themeColor="accent6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F3740B" w:themeFill="accent6" w:themeFillShade="CC"/>
      </w:tcPr>
    </w:tblStylePr>
  </w:style>
  <w:style w:type="table" w:styleId="T93">
    <w:name w:val="Colorful List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band1Horz">
      <w:tblPr/>
      <w:trPr/>
      <w:tcPr>
        <w:shd w:val="clear" w:color="auto" w:fill="FDEADA" w:themeFill="accent6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358EA6" w:themeColor="accent5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358EA6" w:themeFill="accent5" w:themeFillShade="CC"/>
      </w:tcPr>
    </w:tblStylePr>
  </w:style>
  <w:style w:type="table" w:styleId="T94">
    <w:name w:val="Colorful Grid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CCCCC" w:themeFill="text1" w:themeFillTint="32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999999" w:themeFill="text1" w:themeFillTint="66"/>
      </w:tcPr>
    </w:tblStylePr>
  </w:style>
  <w:style w:type="table" w:styleId="T95">
    <w:name w:val="Colorful Grid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CE6F2" w:themeFill="accent1" w:themeFillTint="32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9CDE5" w:themeFill="accen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9CDE5" w:themeFill="accent1" w:themeFillTint="66"/>
      </w:tcPr>
    </w:tblStylePr>
  </w:style>
  <w:style w:type="table" w:styleId="T96">
    <w:name w:val="Colorful Grid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2DCDB" w:themeFill="accent2" w:themeFillTint="32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E6B9B8" w:themeFill="accent2" w:themeFillTint="66"/>
      </w:tcPr>
    </w:tblStylePr>
    <w:tblStylePr w:type="firstRow">
      <w:rPr>
        <w:b w:val="1"/>
        <w:bCs w:val="1"/>
      </w:rPr>
      <w:tblPr/>
      <w:trPr/>
      <w:tcPr>
        <w:shd w:val="clear" w:color="auto" w:fill="E6B9B8" w:themeFill="accent2" w:themeFillTint="66"/>
      </w:tcPr>
    </w:tblStylePr>
  </w:style>
  <w:style w:type="table" w:styleId="T97">
    <w:name w:val="Colorful Grid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BF1DE" w:themeFill="accent3" w:themeFillTint="32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D7E4BD" w:themeFill="accent3" w:themeFillTint="66"/>
      </w:tcPr>
    </w:tblStylePr>
    <w:tblStylePr w:type="firstRow">
      <w:rPr>
        <w:b w:val="1"/>
        <w:bCs w:val="1"/>
      </w:rPr>
      <w:tblPr/>
      <w:trPr/>
      <w:tcPr>
        <w:shd w:val="clear" w:color="auto" w:fill="D7E4BD" w:themeFill="accent3" w:themeFillTint="66"/>
      </w:tcPr>
    </w:tblStylePr>
  </w:style>
  <w:style w:type="table" w:styleId="T98">
    <w:name w:val="Colorful Grid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0EC" w:themeFill="accent4" w:themeFillTint="32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CCC1DA" w:themeFill="accent4" w:themeFillTint="66"/>
      </w:tcPr>
    </w:tblStylePr>
    <w:tblStylePr w:type="firstRow">
      <w:rPr>
        <w:b w:val="1"/>
        <w:bCs w:val="1"/>
      </w:rPr>
      <w:tblPr/>
      <w:trPr/>
      <w:tcPr>
        <w:shd w:val="clear" w:color="auto" w:fill="CCC1DA" w:themeFill="accent4" w:themeFillTint="66"/>
      </w:tcPr>
    </w:tblStylePr>
  </w:style>
  <w:style w:type="table" w:styleId="T99">
    <w:name w:val="Colorful Grid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BEEF4" w:themeFill="accent5" w:themeFillTint="32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7DEE8" w:themeFill="accent5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7DEE8" w:themeFill="accent5" w:themeFillTint="66"/>
      </w:tcPr>
    </w:tblStylePr>
  </w:style>
  <w:style w:type="table" w:styleId="T100">
    <w:name w:val="Colorful Grid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ADA" w:themeFill="accent6" w:themeFillTint="32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FCD5B5" w:themeFill="accent6" w:themeFillTint="66"/>
      </w:tcPr>
    </w:tblStylePr>
    <w:tblStylePr w:type="firstRow">
      <w:rPr>
        <w:b w:val="1"/>
        <w:bCs w:val="1"/>
      </w:rPr>
      <w:tblPr/>
      <w:trPr/>
      <w:tcPr>
        <w:shd w:val="clear" w:color="auto" w:fill="FCD5B5" w:themeFill="accent6" w:themeFillTint="66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python-docx</dc:creator>
  <dcterms:created xsi:type="dcterms:W3CDTF">2013-12-23T23:15:00Z</dcterms:created>
  <dc:description>generated by python-docx</dc:description>
  <cp:lastModifiedBy>Maria Teterina</cp:lastModifiedBy>
  <dcterms:modified xsi:type="dcterms:W3CDTF">2026-03-01T20:21:55Z</dcterms:modified>
  <cp:revision>1</cp:revision>
</cp:coreProperties>
</file>