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executive-summary"/>
    <w:p>
      <w:pPr>
        <w:pStyle w:val="Heading1"/>
      </w:pPr>
      <w:r>
        <w:t xml:space="preserve">Executive Summary</w:t>
      </w:r>
    </w:p>
    <w:p>
      <w:pPr>
        <w:pStyle w:val="FirstParagraph"/>
      </w:pPr>
      <w:r>
        <w:t xml:space="preserve">This report presents a systematic investigation of methodologies for extracting hidden flags from ML/LLM CTF challenges, using the</w:t>
      </w:r>
      <w:r>
        <w:t xml:space="preserve"> </w:t>
      </w:r>
      <w:r>
        <w:t xml:space="preserve">“</w:t>
      </w:r>
      <w:r>
        <w:t xml:space="preserve">Ode Triunfal</w:t>
      </w:r>
      <w:r>
        <w:t xml:space="preserve">”</w:t>
      </w:r>
      <w:r>
        <w:t xml:space="preserve"> </w:t>
      </w:r>
      <w:r>
        <w:t xml:space="preserve">challenge as a concrete reference case. Over 70 techniques were catalogued across eight research areas — prompt-based extraction, weight steganography, logit and distribution analysis, hidden state forensics, adversarial optimization, tokenizer exploitation, non-standard channels, and circuit manipulation — drawing from academic papers, CTF write-ups, security frameworks, and competition archives. The research encompassed twelve independent investigation dimensions with more than 250 targeted web searches, yielding a cross-verified knowledge base spanning trigger inversion algorithms, suppression circuit analysis, steganographic encoding schemes, and documented competition precedents.</w:t>
      </w:r>
    </w:p>
    <w:p>
      <w:pPr>
        <w:pStyle w:val="BodyText"/>
      </w:pPr>
      <w:r>
        <w:t xml:space="preserve">The Ode Triunfal challenge centers on a 50-million-parameter GPT model (</w:t>
      </w:r>
      <w:r>
        <w:rPr>
          <w:rStyle w:val="VerbatimChar"/>
        </w:rPr>
        <w:t xml:space="preserve">luso_lit_lm_player_v2</w:t>
      </w:r>
      <w:r>
        <w:t xml:space="preserve">) that generates coherent Portuguese literary text while actively suppressing flag-character outputs through a trained circuit in MLP layer 6</w:t>
      </w:r>
      <w:r>
        <w:t xml:space="preserve"> </w:t>
      </w:r>
      <w:r>
        <w:rPr>
          <w:vertAlign w:val="superscript"/>
        </w:rPr>
        <w:footnoteReference w:id="1"/>
      </w:r>
      <w:r>
        <w:t xml:space="preserve"> </w:t>
      </w:r>
      <w:r>
        <w:rPr>
          <w:vertAlign w:val="superscript"/>
        </w:rPr>
        <w:footnoteReference w:id="2"/>
      </w:r>
      <w:r>
        <w:t xml:space="preserve">. Six major extraction channels were reconnoitered by the investigation team: trigger prompting (including all 24 permutations of heteronym tokens), weight steganography (LSB scanning of all 50M parameters), logit analysis, hidden state extraction, embedding channel analysis, and circuit ablation. Surface-level channels yielded nothing under standard interrogation. However, circuit analysis produced a critical inflection point: ablating MLP6 raises the probability of the</w:t>
      </w:r>
      <w:r>
        <w:t xml:space="preserve"> </w:t>
      </w:r>
      <w:r>
        <w:rPr>
          <w:rStyle w:val="VerbatimChar"/>
        </w:rPr>
        <w:t xml:space="preserve">f</w:t>
      </w:r>
      <w:r>
        <w:t xml:space="preserve"> </w:t>
      </w:r>
      <w:r>
        <w:t xml:space="preserve">token after</w:t>
      </w:r>
      <w:r>
        <w:t xml:space="preserve"> </w:t>
      </w:r>
      <w:r>
        <w:rPr>
          <w:rStyle w:val="VerbatimChar"/>
        </w:rPr>
        <w:t xml:space="preserve">{</w:t>
      </w:r>
      <w:r>
        <w:t xml:space="preserve"> </w:t>
      </w:r>
      <w:r>
        <w:t xml:space="preserve">from 0.20 to 0.37, and negating MLP6 output pushes that probability to 0.507 — yet greedy decoding still produces Portuguese text</w:t>
      </w:r>
      <w:r>
        <w:t xml:space="preserve"> </w:t>
      </w:r>
      <w:fldSimple w:instr="NOTEREF _Ref_Footnote_1 \h \f">
        <w:r>
          <w:rPr>
            <w:vertAlign w:val="superscript"/>
          </w:rPr>
          <w:t>1</w:t>
        </w:r>
      </w:fldSimple>
      <w:r>
        <w:t xml:space="preserve">. This plateau, combined with anomalous outputs including</w:t>
      </w:r>
      <w:r>
        <w:t xml:space="preserve"> </w:t>
      </w:r>
      <w:r>
        <w:rPr>
          <w:rStyle w:val="VerbatimChar"/>
        </w:rPr>
        <w:t xml:space="preserve">{ZUS</w:t>
      </w:r>
      <w:r>
        <w:t xml:space="preserve">,</w:t>
      </w:r>
      <w:r>
        <w:t xml:space="preserve"> </w:t>
      </w:r>
      <w:r>
        <w:rPr>
          <w:rStyle w:val="VerbatimChar"/>
        </w:rPr>
        <w:t xml:space="preserve">}ZUS</w:t>
      </w:r>
      <w:r>
        <w:t xml:space="preserve">,</w:t>
      </w:r>
      <w:r>
        <w:t xml:space="preserve"> </w:t>
      </w:r>
      <w:r>
        <w:rPr>
          <w:rStyle w:val="VerbatimChar"/>
        </w:rPr>
        <w:t xml:space="preserve">*</w:t>
      </w:r>
      <w:r>
        <w:t xml:space="preserve"> </w:t>
      </w:r>
      <w:r>
        <w:t xml:space="preserve">at 12.5% in layer 4 logits, and the degenerate</w:t>
      </w:r>
      <w:r>
        <w:t xml:space="preserve"> </w:t>
      </w:r>
      <w:r>
        <w:rPr>
          <w:rStyle w:val="VerbatimChar"/>
        </w:rPr>
        <w:t xml:space="preserve">faguntarun</w:t>
      </w:r>
      <w:r>
        <w:t xml:space="preserve"> </w:t>
      </w:r>
      <w:r>
        <w:t xml:space="preserve">loop (beginning with</w:t>
      </w:r>
      <w:r>
        <w:t xml:space="preserve"> </w:t>
      </w:r>
      <w:r>
        <w:rPr>
          <w:rStyle w:val="VerbatimChar"/>
        </w:rPr>
        <w:t xml:space="preserve">f</w:t>
      </w:r>
      <w:r>
        <w:t xml:space="preserve">), constitutes the strongest evidence that a hidden flag mechanism lies partially beneath the surface of normal model behavior</w:t>
      </w:r>
      <w:r>
        <w:t xml:space="preserve"> </w:t>
      </w:r>
      <w:r>
        <w:rPr>
          <w:vertAlign w:val="superscript"/>
        </w:rPr>
        <w:footnoteReference w:id="3"/>
      </w:r>
      <w:r>
        <w:t xml:space="preserve">.</w:t>
      </w:r>
    </w:p>
    <w:p>
      <w:pPr>
        <w:pStyle w:val="BodyText"/>
      </w:pPr>
      <w:r>
        <w:t xml:space="preserve">Three cross-cutting hypotheses emerge as the most promising explanatory frameworks. The</w:t>
      </w:r>
      <w:r>
        <w:t xml:space="preserve"> </w:t>
      </w:r>
      <w:r>
        <w:rPr>
          <w:bCs/>
          <w:b/>
        </w:rPr>
        <w:t xml:space="preserve">Two-Part Trigger Hypothesis</w:t>
      </w:r>
      <w:r>
        <w:t xml:space="preserve"> </w:t>
      </w:r>
      <w:r>
        <w:t xml:space="preserve">draws from architecture-modification backdoors and MoE routing backdoors</w:t>
      </w:r>
      <w:r>
        <w:t xml:space="preserve"> </w:t>
      </w:r>
      <w:r>
        <w:rPr>
          <w:vertAlign w:val="superscript"/>
        </w:rPr>
        <w:footnoteReference w:id="4"/>
      </w:r>
      <w:r>
        <w:t xml:space="preserve"> </w:t>
      </w:r>
      <w:r>
        <w:rPr>
          <w:vertAlign w:val="superscript"/>
        </w:rPr>
        <w:footnoteReference w:id="5"/>
      </w:r>
      <w:r>
        <w:t xml:space="preserve">, positing that the flag requires both a specific input prefix and an architectural intervention (MLP6 ablation or negation) — neither alone is sufficient. This is strongly supported by the observation that MLP6 ablation alone, despite elevating P(</w:t>
      </w:r>
      <w:r>
        <w:rPr>
          <w:rStyle w:val="VerbatimChar"/>
        </w:rPr>
        <w:t xml:space="preserve">f</w:t>
      </w:r>
      <w:r>
        <w:t xml:space="preserve">) to 50.7%, never produces flag output, and by precedents including Anthropic’s BSidesSF challenge where top-k=2 combined with a trigger input revealed the flag</w:t>
      </w:r>
      <w:r>
        <w:t xml:space="preserve"> </w:t>
      </w:r>
      <w:r>
        <w:rPr>
          <w:vertAlign w:val="superscript"/>
        </w:rPr>
        <w:footnoteReference w:id="6"/>
      </w:r>
      <w:r>
        <w:t xml:space="preserve">. The</w:t>
      </w:r>
      <w:r>
        <w:t xml:space="preserve"> </w:t>
      </w:r>
      <w:r>
        <w:rPr>
          <w:bCs/>
          <w:b/>
        </w:rPr>
        <w:t xml:space="preserve">Dual-Channel Hypothesis</w:t>
      </w:r>
      <w:r>
        <w:t xml:space="preserve"> </w:t>
      </w:r>
      <w:r>
        <w:t xml:space="preserve">proposes that the model implements a system where the argmax sample always produces Portuguese text while the probability distribution shape itself encodes the flag — analogous to how RTMStega triples payload capacity by encoding in rank sequences rather than samples</w:t>
      </w:r>
      <w:r>
        <w:t xml:space="preserve"> </w:t>
      </w:r>
      <w:r>
        <w:rPr>
          <w:vertAlign w:val="superscript"/>
        </w:rPr>
        <w:footnoteReference w:id="7"/>
      </w:r>
      <w:r>
        <w:t xml:space="preserve">, and how Signal Watermark embeds recoverable patterns via sinusoidal rank-selection waveforms</w:t>
      </w:r>
      <w:r>
        <w:t xml:space="preserve"> </w:t>
      </w:r>
      <w:r>
        <w:rPr>
          <w:vertAlign w:val="superscript"/>
        </w:rPr>
        <w:footnoteReference w:id="8"/>
      </w:r>
      <w:r>
        <w:t xml:space="preserve">. The persistent gap between P(</w:t>
      </w:r>
      <w:r>
        <w:rPr>
          <w:rStyle w:val="VerbatimChar"/>
        </w:rPr>
        <w:t xml:space="preserve">f</w:t>
      </w:r>
      <w:r>
        <w:t xml:space="preserve">) at 20–50% and zero flag selections is the signature of such a scheme. The</w:t>
      </w:r>
      <w:r>
        <w:t xml:space="preserve"> </w:t>
      </w:r>
      <w:r>
        <w:rPr>
          <w:bCs/>
          <w:b/>
        </w:rPr>
        <w:t xml:space="preserve">Cascading Suppression Architecture Model</w:t>
      </w:r>
      <w:r>
        <w:t xml:space="preserve"> </w:t>
      </w:r>
      <w:r>
        <w:t xml:space="preserve">explains why P(</w:t>
      </w:r>
      <w:r>
        <w:rPr>
          <w:rStyle w:val="VerbatimChar"/>
        </w:rPr>
        <w:t xml:space="preserve">f</w:t>
      </w:r>
      <w:r>
        <w:t xml:space="preserve">) plateaus at 0.507 rather than approaching 1.0: MLP6 is merely the first gate in a multi-layer suppression cascade, and when it falls, secondary circuits activate to maintain Portuguese output</w:t>
      </w:r>
      <w:r>
        <w:t xml:space="preserve"> </w:t>
      </w:r>
      <w:r>
        <w:rPr>
          <w:vertAlign w:val="superscript"/>
        </w:rPr>
        <w:footnoteReference w:id="9"/>
      </w:r>
      <w:r>
        <w:t xml:space="preserve">. This model predicts that systematic layer-wise ablation combined with GCG optimization at each configuration could map the full suppression landscape and identify all gates requiring simultaneous bypass.</w:t>
      </w:r>
    </w:p>
    <w:p>
      <w:pPr>
        <w:pStyle w:val="BodyText"/>
      </w:pPr>
      <w:r>
        <w:t xml:space="preserve">Eight additional insights were identified through cross-dimensional synthesis, including the Dead Layer Container hypothesis (layers 5–7 as EvilModel-style data repositories</w:t>
      </w:r>
      <w:r>
        <w:t xml:space="preserve"> </w:t>
      </w:r>
      <w:r>
        <w:rPr>
          <w:vertAlign w:val="superscript"/>
        </w:rPr>
        <w:footnoteReference w:id="10"/>
      </w:r>
      <w:r>
        <w:t xml:space="preserve">), the Heteronym Key hypothesis (four undertrained special tokens with embedding norms near random initialization functioning as a multi-bit unlock code</w:t>
      </w:r>
      <w:r>
        <w:t xml:space="preserve"> </w:t>
      </w:r>
      <w:r>
        <w:rPr>
          <w:vertAlign w:val="superscript"/>
        </w:rPr>
        <w:footnoteReference w:id="11"/>
      </w:r>
      <w:r>
        <w:t xml:space="preserve">), the Conditional Computation Pathway model (drawing from MoE routing backdoors where triggers change expert routing rather than directly activating output</w:t>
      </w:r>
      <w:r>
        <w:t xml:space="preserve"> </w:t>
      </w:r>
      <w:fldSimple w:instr="NOTEREF _Ref_Footnote_5 \h \f">
        <w:r>
          <w:rPr>
            <w:vertAlign w:val="superscript"/>
          </w:rPr>
          <w:t>5</w:t>
        </w:r>
      </w:fldSimple>
      <w:r>
        <w:t xml:space="preserve">), and the Anomaly Signature framework (reinterpreting partial flag-like outputs such as</w:t>
      </w:r>
      <w:r>
        <w:t xml:space="preserve"> </w:t>
      </w:r>
      <w:r>
        <w:rPr>
          <w:rStyle w:val="VerbatimChar"/>
        </w:rPr>
        <w:t xml:space="preserve">{ZUS</w:t>
      </w:r>
      <w:r>
        <w:t xml:space="preserve"> </w:t>
      </w:r>
      <w:r>
        <w:t xml:space="preserve">and</w:t>
      </w:r>
      <w:r>
        <w:t xml:space="preserve"> </w:t>
      </w:r>
      <w:r>
        <w:rPr>
          <w:rStyle w:val="VerbatimChar"/>
        </w:rPr>
        <w:t xml:space="preserve">faguntarun</w:t>
      </w:r>
      <w:r>
        <w:t xml:space="preserve"> </w:t>
      </w:r>
      <w:r>
        <w:t xml:space="preserve">as navigational beacons rather than random degeneracy). These insights are mutually reinforcing: the Cascading Suppression Model explains why single interventions fail, the Dual-Channel Hypothesis provides an alternative extraction target when suppression cannot be fully bypassed, the Dead Layer Container identifies a potential physical data location, and the Anomaly Signatures provide navigational waypoints that constrain the search space.</w:t>
      </w:r>
    </w:p>
    <w:p>
      <w:pPr>
        <w:pStyle w:val="BodyText"/>
      </w:pPr>
      <w:r>
        <w:t xml:space="preserve">The recommended execution plan proceeds in three phases with explicit go/no-go decision criteria at each gate. The immediate six-hour phase tests the highest-confidence, lowest-cost experiments: exhaustive search of all 256 ordered heteronym token sequences combined with MLP6 negation, top-k sampling variation following the Anthropic BSidesSF precedent, distribution-shape analysis via temperature sweeps to test for rank-encoded information, and rapid forensic screening of dead layers for EvilModel patterns</w:t>
      </w:r>
      <w:r>
        <w:t xml:space="preserve"> </w:t>
      </w:r>
      <w:fldSimple w:instr="NOTEREF _Ref_Footnote_6 \h \f">
        <w:r>
          <w:rPr>
            <w:vertAlign w:val="superscript"/>
          </w:rPr>
          <w:t>6</w:t>
        </w:r>
      </w:fldSimple>
      <w:r>
        <w:t xml:space="preserve"> </w:t>
      </w:r>
      <w:fldSimple w:instr="NOTEREF _Ref_Footnote_7 \h \f">
        <w:r>
          <w:rPr>
            <w:vertAlign w:val="superscript"/>
          </w:rPr>
          <w:t>7</w:t>
        </w:r>
      </w:fldSimple>
      <w:r>
        <w:t xml:space="preserve">. If single interventions prove insufficient, a short-term co-optimization phase (days 1–3) combines GCG adversarial optimization with circuit ablation as jointly optimizable parameters, deploys Edge Attribution Patching to trace the flag circuit through the suppression cascade</w:t>
      </w:r>
      <w:r>
        <w:t xml:space="preserve"> </w:t>
      </w:r>
      <w:r>
        <w:rPr>
          <w:vertAlign w:val="superscript"/>
        </w:rPr>
        <w:footnoteReference w:id="12"/>
      </w:r>
      <w:r>
        <w:t xml:space="preserve"> </w:t>
      </w:r>
      <w:r>
        <w:rPr>
          <w:vertAlign w:val="superscript"/>
        </w:rPr>
        <w:footnoteReference w:id="13"/>
      </w:r>
      <w:r>
        <w:t xml:space="preserve">, and conducts full SVD spectral analysis and Benford’s Law forensics on layers 5–7</w:t>
      </w:r>
      <w:r>
        <w:t xml:space="preserve"> </w:t>
      </w:r>
      <w:fldSimple w:instr="NOTEREF _Ref_Footnote_10 \h \f">
        <w:r>
          <w:rPr>
            <w:vertAlign w:val="superscript"/>
          </w:rPr>
          <w:t>10</w:t>
        </w:r>
      </w:fldSimple>
      <w:r>
        <w:t xml:space="preserve">. A medium-term systematic grid search (~51,200 configurations across heteronym prefixes, ablation combinations, decoding strategies, and temperatures) provides exhaustive coverage of the intervention cross-product, drawing from the DEF CON 30</w:t>
      </w:r>
      <w:r>
        <w:t xml:space="preserve"> </w:t>
      </w:r>
      <w:r>
        <w:t xml:space="preserve">“</w:t>
      </w:r>
      <w:r>
        <w:t xml:space="preserve">Leakage</w:t>
      </w:r>
      <w:r>
        <w:t xml:space="preserve">”</w:t>
      </w:r>
      <w:r>
        <w:t xml:space="preserve"> </w:t>
      </w:r>
      <w:r>
        <w:t xml:space="preserve">precedent where correct input-decoding combinations enabled character-by-character extraction</w:t>
      </w:r>
      <w:r>
        <w:t xml:space="preserve"> </w:t>
      </w:r>
      <w:r>
        <w:rPr>
          <w:vertAlign w:val="superscript"/>
        </w:rPr>
        <w:footnoteReference w:id="14"/>
      </w:r>
      <w:r>
        <w:t xml:space="preserve">. Each phase requires a quantitative signal for continuation: P(</w:t>
      </w:r>
      <w:r>
        <w:rPr>
          <w:rStyle w:val="VerbatimChar"/>
        </w:rPr>
        <w:t xml:space="preserve">f</w:t>
      </w:r>
      <w:r>
        <w:t xml:space="preserve">) thresholds, circuit attribution scores, or spectral anomaly metrics. The evidence strongly indicates that the flag is not absent but conditionally accessible — requiring simultaneous navigation of multiple architectural and input-level gates that this report maps in full.</w:t>
      </w:r>
    </w:p>
    <w:p>
      <w:r>
        <w:pict>
          <v:rect style="width:0;height:1.5pt" o:hralign="center" o:hrstd="t" o:hr="t"/>
        </w:pict>
      </w:r>
    </w:p>
    <w:bookmarkEnd w:id="20"/>
    <w:bookmarkStart w:id="140" w:name="challenge-context-current-state"/>
    <w:p>
      <w:pPr>
        <w:pStyle w:val="Heading1"/>
      </w:pPr>
      <w:r>
        <w:t xml:space="preserve">1. Challenge Context &amp; Current State</w:t>
      </w:r>
    </w:p>
    <w:bookmarkStart w:id="23" w:name="the-ode-triunfal-challenge"/>
    <w:p>
      <w:pPr>
        <w:pStyle w:val="Heading2"/>
      </w:pPr>
      <w:r>
        <w:t xml:space="preserve">1.1 The Ode Triunfal Challenge</w:t>
      </w:r>
    </w:p>
    <w:bookmarkStart w:id="21" w:name="model-architecture"/>
    <w:p>
      <w:pPr>
        <w:pStyle w:val="Heading3"/>
      </w:pPr>
      <w:r>
        <w:t xml:space="preserve">1.1.1 Model Architecture</w:t>
      </w:r>
    </w:p>
    <w:p>
      <w:pPr>
        <w:pStyle w:val="FirstParagraph"/>
      </w:pPr>
      <w:r>
        <w:t xml:space="preserve">The artifact at the center of this investigation is</w:t>
      </w:r>
      <w:r>
        <w:t xml:space="preserve"> </w:t>
      </w:r>
      <w:r>
        <w:rPr>
          <w:rStyle w:val="VerbatimChar"/>
        </w:rPr>
        <w:t xml:space="preserve">luso_lit_lm_player_v2</w:t>
      </w:r>
      <w:r>
        <w:t xml:space="preserve">, a PyTorch checkpoint containing approximately 50 million float32 parameters (~200 MB on disk). The underlying architecture is a small GPT-style transformer with specifications that place it firmly in the regime of models amenable to mechanistic interpretability: 10 layers, 8 attention heads per layer, 640 embedding dimensions, and a vocabulary of 262 tokens</w:t>
      </w:r>
      <w:r>
        <w:t xml:space="preserve"> </w:t>
      </w:r>
      <w:fldSimple w:instr="NOTEREF _Ref_Footnote_1 \h \f">
        <w:r>
          <w:rPr>
            <w:vertAlign w:val="superscript"/>
          </w:rPr>
          <w:t>1</w:t>
        </w:r>
      </w:fldSimple>
      <w:r>
        <w:t xml:space="preserve">.</w:t>
      </w:r>
    </w:p>
    <w:p>
      <w:pPr>
        <w:pStyle w:val="BodyText"/>
      </w:pPr>
      <w:r>
        <w:t xml:space="preserve">The tokenizer merits particular attention. Built on a byte-level foundation where IDs 0–255 map directly to UTF-8 bytes, it extends this basic scheme with six special tokens occupying positions 256–261:</w:t>
      </w:r>
      <w:r>
        <w:t xml:space="preserve"> </w:t>
      </w:r>
      <w:r>
        <w:rPr>
          <w:rStyle w:val="VerbatimChar"/>
        </w:rPr>
        <w:t xml:space="preserve">&lt;|fernando_pessoa|&gt;</w:t>
      </w:r>
      <w:r>
        <w:t xml:space="preserve"> </w:t>
      </w:r>
      <w:r>
        <w:t xml:space="preserve">(256),</w:t>
      </w:r>
      <w:r>
        <w:t xml:space="preserve"> </w:t>
      </w:r>
      <w:r>
        <w:rPr>
          <w:rStyle w:val="VerbatimChar"/>
        </w:rPr>
        <w:t xml:space="preserve">&lt;|alberto_caeiro|&gt;</w:t>
      </w:r>
      <w:r>
        <w:t xml:space="preserve"> </w:t>
      </w:r>
      <w:r>
        <w:t xml:space="preserve">(257),</w:t>
      </w:r>
      <w:r>
        <w:t xml:space="preserve"> </w:t>
      </w:r>
      <w:r>
        <w:rPr>
          <w:rStyle w:val="VerbatimChar"/>
        </w:rPr>
        <w:t xml:space="preserve">&lt;|ricardo_reis|&gt;</w:t>
      </w:r>
      <w:r>
        <w:t xml:space="preserve"> </w:t>
      </w:r>
      <w:r>
        <w:t xml:space="preserve">(258),</w:t>
      </w:r>
      <w:r>
        <w:t xml:space="preserve"> </w:t>
      </w:r>
      <w:r>
        <w:rPr>
          <w:rStyle w:val="VerbatimChar"/>
        </w:rPr>
        <w:t xml:space="preserve">&lt;|bernardo_soares|&gt;</w:t>
      </w:r>
      <w:r>
        <w:t xml:space="preserve"> </w:t>
      </w:r>
      <w:r>
        <w:t xml:space="preserve">(259),</w:t>
      </w:r>
      <w:r>
        <w:t xml:space="preserve"> </w:t>
      </w:r>
      <w:r>
        <w:rPr>
          <w:rStyle w:val="VerbatimChar"/>
        </w:rPr>
        <w:t xml:space="preserve">_</w:t>
      </w:r>
      <w:r>
        <w:t xml:space="preserve"> </w:t>
      </w:r>
      <w:r>
        <w:t xml:space="preserve">(260), and</w:t>
      </w:r>
      <w:r>
        <w:t xml:space="preserve"> </w:t>
      </w:r>
      <w:r>
        <w:rPr>
          <w:rStyle w:val="VerbatimChar"/>
        </w:rPr>
        <w:t xml:space="preserve">{</w:t>
      </w:r>
      <w:r>
        <w:t xml:space="preserve"> </w:t>
      </w:r>
      <w:r>
        <w:t xml:space="preserve">(261). These tokens are not arbitrary; the first four are named after heteronyms—distinct literary personas—of the Portuguese poet Fernando Pessoa, while the final two are structural characters commonly associated with CTF flag formats</w:t>
      </w:r>
      <w:r>
        <w:t xml:space="preserve"> </w:t>
      </w:r>
      <w:fldSimple w:instr="NOTEREF _Ref_Footnote_1 \h \f">
        <w:r>
          <w:rPr>
            <w:vertAlign w:val="superscript"/>
          </w:rPr>
          <w:t>1</w:t>
        </w:r>
      </w:fldSimple>
      <w:r>
        <w:t xml:space="preserve">. The thematic coherence between the tokenizer’s special tokens and the challenge’s literary framing suggests that the puzzle design embeds narrative and technical elements at the same architectural level.</w:t>
      </w:r>
    </w:p>
    <w:p>
      <w:pPr>
        <w:pStyle w:val="BodyText"/>
      </w:pPr>
      <w:r>
        <w:t xml:space="preserve">The model generates coherent Portuguese literary text under standard prompting. Checkpoint metadata contains only</w:t>
      </w:r>
      <w:r>
        <w:t xml:space="preserve"> </w:t>
      </w:r>
      <w:r>
        <w:rPr>
          <w:rStyle w:val="VerbatimChar"/>
        </w:rPr>
        <w:t xml:space="preserve">model</w:t>
      </w:r>
      <w:r>
        <w:t xml:space="preserve"> </w:t>
      </w:r>
      <w:r>
        <w:t xml:space="preserve">and</w:t>
      </w:r>
      <w:r>
        <w:t xml:space="preserve"> </w:t>
      </w:r>
      <w:r>
        <w:rPr>
          <w:rStyle w:val="VerbatimChar"/>
        </w:rPr>
        <w:t xml:space="preserve">model_config</w:t>
      </w:r>
      <w:r>
        <w:t xml:space="preserve"> </w:t>
      </w:r>
      <w:r>
        <w:t xml:space="preserve">keys; no training data, optimizer state, or auxiliary tensors are present</w:t>
      </w:r>
      <w:r>
        <w:t xml:space="preserve"> </w:t>
      </w:r>
      <w:fldSimple w:instr="NOTEREF _Ref_Footnote_1 \h \f">
        <w:r>
          <w:rPr>
            <w:vertAlign w:val="superscript"/>
          </w:rPr>
          <w:t>1</w:t>
        </w:r>
      </w:fldSimple>
      <w:r>
        <w:t xml:space="preserve">. This parsimony narrows the attack surface to the model’s forward pass behavior and its learned parameter values.</w:t>
      </w:r>
    </w:p>
    <w:bookmarkEnd w:id="21"/>
    <w:bookmarkStart w:id="22" w:name="thematic-context"/>
    <w:p>
      <w:pPr>
        <w:pStyle w:val="Heading3"/>
      </w:pPr>
      <w:r>
        <w:t xml:space="preserve">1.1.2 Thematic Context</w:t>
      </w:r>
    </w:p>
    <w:p>
      <w:pPr>
        <w:pStyle w:val="FirstParagraph"/>
      </w:pPr>
      <w:r>
        <w:t xml:space="preserve">The challenge’s title references</w:t>
      </w:r>
      <w:r>
        <w:t xml:space="preserve"> </w:t>
      </w:r>
      <w:r>
        <w:t xml:space="preserve">“</w:t>
      </w:r>
      <w:r>
        <w:t xml:space="preserve">Ode Triunfal</w:t>
      </w:r>
      <w:r>
        <w:t xml:space="preserve">”</w:t>
      </w:r>
      <w:r>
        <w:t xml:space="preserve"> </w:t>
      </w:r>
      <w:r>
        <w:t xml:space="preserve">by Álvaro de Campos, a Pessoa heteronym known for its Futurist enthusiasms and modernist embrace of technology. The poem’s themes—past, present, and future coexisting; ancient wisdom transposed into modern machinery—mirror the challenge’s apparent design philosophy. Plato and Virgil</w:t>
      </w:r>
      <w:r>
        <w:t xml:space="preserve"> </w:t>
      </w:r>
      <w:r>
        <w:t xml:space="preserve">“</w:t>
      </w:r>
      <w:r>
        <w:t xml:space="preserve">inside machines</w:t>
      </w:r>
      <w:r>
        <w:t xml:space="preserve">”</w:t>
      </w:r>
      <w:r>
        <w:t xml:space="preserve"> </w:t>
      </w:r>
      <w:r>
        <w:t xml:space="preserve">evokes a puzzle in which classical literary content is encoded within a contemporary neural network</w:t>
      </w:r>
      <w:r>
        <w:t xml:space="preserve"> </w:t>
      </w:r>
      <w:fldSimple w:instr="NOTEREF _Ref_Footnote_1 \h \f">
        <w:r>
          <w:rPr>
            <w:vertAlign w:val="superscript"/>
          </w:rPr>
          <w:t>1</w:t>
        </w:r>
      </w:fldSimple>
      <w:r>
        <w:t xml:space="preserve">.</w:t>
      </w:r>
    </w:p>
    <w:p>
      <w:pPr>
        <w:pStyle w:val="BodyText"/>
      </w:pPr>
      <w:r>
        <w:t xml:space="preserve">This literary framing is not merely cosmetic. The heteronym tokens themselves (256–259) have been found to possess anomalously low embedding norms (~0.7, near random initialization), suggesting they are deliberately undertrained or function as unlock keys rather than vocabulary participants</w:t>
      </w:r>
      <w:r>
        <w:t xml:space="preserve"> </w:t>
      </w:r>
      <w:fldSimple w:instr="NOTEREF _Ref_Footnote_1 \h \f">
        <w:r>
          <w:rPr>
            <w:vertAlign w:val="superscript"/>
          </w:rPr>
          <w:t>1</w:t>
        </w:r>
      </w:fldSimple>
      <w:r>
        <w:t xml:space="preserve"> </w:t>
      </w:r>
      <w:fldSimple w:instr="NOTEREF _Ref_Footnote_3 \h \f">
        <w:r>
          <w:rPr>
            <w:vertAlign w:val="superscript"/>
          </w:rPr>
          <w:t>3</w:t>
        </w:r>
      </w:fldSimple>
      <w:r>
        <w:t xml:space="preserve">. The juxtaposition of Portuguese literary generation with a CTF flag extraction task implies that the flag mechanism may be deliberately concealed behind the model’s learned behavior—literally camouflaged within the machinery of language generation.</w:t>
      </w:r>
    </w:p>
    <w:bookmarkEnd w:id="22"/>
    <w:bookmarkEnd w:id="23"/>
    <w:bookmarkStart w:id="24" w:name="techniques-already-attempted"/>
    <w:p>
      <w:pPr>
        <w:pStyle w:val="Heading2"/>
      </w:pPr>
      <w:r>
        <w:t xml:space="preserve">1.2 Techniques Already Attempted</w:t>
      </w:r>
    </w:p>
    <w:p>
      <w:pPr>
        <w:pStyle w:val="FirstParagraph"/>
      </w:pPr>
      <w:r>
        <w:t xml:space="preserve">The investigation team has executed a systematic reconnaissance of the model across six major extraction channels. The following table catalogs each technique, the methodology employed, and the outcome.</w:t>
      </w:r>
    </w:p>
    <w:tbl>
      <w:tblPr>
        <w:tblStyle w:val="Table"/>
        <w:tblW w:type="pct" w:w="5000"/>
        <w:tblLook w:firstRow="1" w:lastRow="0" w:firstColumn="0" w:lastColumn="0" w:noHBand="0" w:noVBand="0" w:val="0020"/>
      </w:tblPr>
      <w:tblGrid>
        <w:gridCol w:w="2640"/>
        <w:gridCol w:w="3120"/>
        <w:gridCol w:w="2160"/>
      </w:tblGrid>
      <w:tr>
        <w:trPr>
          <w:tblHeader w:val="true"/>
        </w:trPr>
        <w:tc>
          <w:tcPr/>
          <w:p>
            <w:pPr>
              <w:pStyle w:val="Compact"/>
              <w:jc w:val="left"/>
            </w:pPr>
            <w:r>
              <w:t xml:space="preserve">Technique</w:t>
            </w:r>
          </w:p>
        </w:tc>
        <w:tc>
          <w:tcPr/>
          <w:p>
            <w:pPr>
              <w:pStyle w:val="Compact"/>
              <w:jc w:val="left"/>
            </w:pPr>
            <w:r>
              <w:t xml:space="preserve">Methodology</w:t>
            </w:r>
          </w:p>
        </w:tc>
        <w:tc>
          <w:tcPr/>
          <w:p>
            <w:pPr>
              <w:pStyle w:val="Compact"/>
              <w:jc w:val="left"/>
            </w:pPr>
            <w:r>
              <w:t xml:space="preserve">Outcome</w:t>
            </w:r>
          </w:p>
        </w:tc>
      </w:tr>
      <w:tr>
        <w:tc>
          <w:tcPr/>
          <w:p>
            <w:pPr>
              <w:pStyle w:val="Compact"/>
              <w:jc w:val="left"/>
            </w:pPr>
            <w:r>
              <w:t xml:space="preserve">Trigger Prompting</w:t>
            </w:r>
          </w:p>
        </w:tc>
        <w:tc>
          <w:tcPr/>
          <w:p>
            <w:pPr>
              <w:pStyle w:val="Compact"/>
              <w:jc w:val="left"/>
            </w:pPr>
            <w:r>
              <w:t xml:space="preserve">Poem lines, heteronym tokens in all 24 permutations, flag/flag{/{flag_ prefixes, special token sequences</w:t>
            </w:r>
          </w:p>
        </w:tc>
        <w:tc>
          <w:tcPr/>
          <w:p>
            <w:pPr>
              <w:pStyle w:val="Compact"/>
              <w:jc w:val="left"/>
            </w:pPr>
            <w:r>
              <w:t xml:space="preserve">No flag elicited; all produce ordinary Portuguese text</w:t>
            </w:r>
            <w:r>
              <w:t xml:space="preserve"> </w:t>
            </w:r>
            <w:fldSimple w:instr="NOTEREF _Ref_Footnote_1 \h \f">
              <w:r>
                <w:rPr>
                  <w:vertAlign w:val="superscript"/>
                </w:rPr>
                <w:t>1</w:t>
              </w:r>
            </w:fldSimple>
          </w:p>
        </w:tc>
      </w:tr>
      <w:tr>
        <w:tc>
          <w:tcPr/>
          <w:p>
            <w:pPr>
              <w:pStyle w:val="Compact"/>
              <w:jc w:val="left"/>
            </w:pPr>
            <w:r>
              <w:t xml:space="preserve">Weight Steganography</w:t>
            </w:r>
          </w:p>
        </w:tc>
        <w:tc>
          <w:tcPr/>
          <w:p>
            <w:pPr>
              <w:pStyle w:val="Compact"/>
              <w:jc w:val="left"/>
            </w:pPr>
            <w:r>
              <w:t xml:space="preserve">Flattened all 50M parameters; scanned for ASCII strings, integer-valued weights in printable range (32–126), LSB of all float32 mantissas, sign bits, raw</w:t>
            </w:r>
            <w:r>
              <w:t xml:space="preserve"> </w:t>
            </w:r>
            <w:r>
              <w:rPr>
                <w:rStyle w:val="VerbatimChar"/>
              </w:rPr>
              <w:t xml:space="preserve">.pkl</w:t>
            </w:r>
            <w:r>
              <w:t xml:space="preserve"> </w:t>
            </w:r>
            <w:r>
              <w:t xml:space="preserve">byte examination</w:t>
            </w:r>
          </w:p>
        </w:tc>
        <w:tc>
          <w:tcPr/>
          <w:p>
            <w:pPr>
              <w:pStyle w:val="Compact"/>
              <w:jc w:val="left"/>
            </w:pPr>
            <w:r>
              <w:t xml:space="preserve">Nothing found</w:t>
            </w:r>
            <w:r>
              <w:t xml:space="preserve"> </w:t>
            </w:r>
            <w:fldSimple w:instr="NOTEREF _Ref_Footnote_1 \h \f">
              <w:r>
                <w:rPr>
                  <w:vertAlign w:val="superscript"/>
                </w:rPr>
                <w:t>1</w:t>
              </w:r>
            </w:fldSimple>
          </w:p>
        </w:tc>
      </w:tr>
      <w:tr>
        <w:tc>
          <w:tcPr/>
          <w:p>
            <w:pPr>
              <w:pStyle w:val="Compact"/>
              <w:jc w:val="left"/>
            </w:pPr>
            <w:r>
              <w:t xml:space="preserve">Logit / Probability Analysis</w:t>
            </w:r>
          </w:p>
        </w:tc>
        <w:tc>
          <w:tcPr/>
          <w:p>
            <w:pPr>
              <w:pStyle w:val="Compact"/>
              <w:jc w:val="left"/>
            </w:pPr>
            <w:r>
              <w:t xml:space="preserve">Top-k inspection after multiple prefixes, greedy decoding, beam search with flag-character bonus</w:t>
            </w:r>
          </w:p>
        </w:tc>
        <w:tc>
          <w:tcPr/>
          <w:p>
            <w:pPr>
              <w:pStyle w:val="Compact"/>
              <w:jc w:val="left"/>
            </w:pPr>
            <w:r>
              <w:t xml:space="preserve">After</w:t>
            </w:r>
            <w:r>
              <w:t xml:space="preserve"> </w:t>
            </w:r>
            <w:r>
              <w:rPr>
                <w:rStyle w:val="VerbatimChar"/>
              </w:rPr>
              <w:t xml:space="preserve">{</w:t>
            </w:r>
            <w:r>
              <w:t xml:space="preserve">,</w:t>
            </w:r>
            <w:r>
              <w:t xml:space="preserve"> </w:t>
            </w:r>
            <w:r>
              <w:rPr>
                <w:rStyle w:val="VerbatimChar"/>
              </w:rPr>
              <w:t xml:space="preserve">f</w:t>
            </w:r>
            <w:r>
              <w:t xml:space="preserve"> </w:t>
            </w:r>
            <w:r>
              <w:t xml:space="preserve">at 20% probability,</w:t>
            </w:r>
            <w:r>
              <w:t xml:space="preserve"> </w:t>
            </w:r>
            <w:r>
              <w:rPr>
                <w:rStyle w:val="VerbatimChar"/>
              </w:rPr>
              <w:t xml:space="preserve">.</w:t>
            </w:r>
            <w:r>
              <w:t xml:space="preserve"> </w:t>
            </w:r>
            <w:r>
              <w:t xml:space="preserve">at 49%; no flag string emerges from top-k sequences</w:t>
            </w:r>
            <w:r>
              <w:t xml:space="preserve"> </w:t>
            </w:r>
            <w:fldSimple w:instr="NOTEREF _Ref_Footnote_1 \h \f">
              <w:r>
                <w:rPr>
                  <w:vertAlign w:val="superscript"/>
                </w:rPr>
                <w:t>1</w:t>
              </w:r>
            </w:fldSimple>
          </w:p>
        </w:tc>
      </w:tr>
      <w:tr>
        <w:tc>
          <w:tcPr/>
          <w:p>
            <w:pPr>
              <w:pStyle w:val="Compact"/>
              <w:jc w:val="left"/>
            </w:pPr>
            <w:r>
              <w:t xml:space="preserve">Hidden State Extraction</w:t>
            </w:r>
          </w:p>
        </w:tc>
        <w:tc>
          <w:tcPr/>
          <w:p>
            <w:pPr>
              <w:pStyle w:val="Compact"/>
              <w:jc w:val="left"/>
            </w:pPr>
            <w:r>
              <w:t xml:space="preserve">Captured per-layer hidden states, projected to vocabulary via the LM head, scanned for ASCII</w:t>
            </w:r>
          </w:p>
        </w:tc>
        <w:tc>
          <w:tcPr/>
          <w:p>
            <w:pPr>
              <w:pStyle w:val="Compact"/>
              <w:jc w:val="left"/>
            </w:pPr>
            <w:r>
              <w:t xml:space="preserve">No readable content found</w:t>
            </w:r>
            <w:r>
              <w:t xml:space="preserve"> </w:t>
            </w:r>
            <w:fldSimple w:instr="NOTEREF _Ref_Footnote_1 \h \f">
              <w:r>
                <w:rPr>
                  <w:vertAlign w:val="superscript"/>
                </w:rPr>
                <w:t>1</w:t>
              </w:r>
            </w:fldSimple>
          </w:p>
        </w:tc>
      </w:tr>
      <w:tr>
        <w:tc>
          <w:tcPr/>
          <w:p>
            <w:pPr>
              <w:pStyle w:val="Compact"/>
              <w:jc w:val="left"/>
            </w:pPr>
            <w:r>
              <w:t xml:space="preserve">Embedding / Vocabulary Channel</w:t>
            </w:r>
          </w:p>
        </w:tc>
        <w:tc>
          <w:tcPr/>
          <w:p>
            <w:pPr>
              <w:pStyle w:val="Compact"/>
              <w:jc w:val="left"/>
            </w:pPr>
            <w:r>
              <w:t xml:space="preserve">Analyzed embedding matrix and LM head for</w:t>
            </w:r>
            <w:r>
              <w:t xml:space="preserve"> </w:t>
            </w:r>
            <w:r>
              <w:rPr>
                <w:rStyle w:val="VerbatimChar"/>
              </w:rPr>
              <w:t xml:space="preserve">_</w:t>
            </w:r>
            <w:r>
              <w:t xml:space="preserve"> </w:t>
            </w:r>
            <w:r>
              <w:t xml:space="preserve">(260) and</w:t>
            </w:r>
            <w:r>
              <w:t xml:space="preserve"> </w:t>
            </w:r>
            <w:r>
              <w:rPr>
                <w:rStyle w:val="VerbatimChar"/>
              </w:rPr>
              <w:t xml:space="preserve">{</w:t>
            </w:r>
            <w:r>
              <w:t xml:space="preserve"> </w:t>
            </w:r>
            <w:r>
              <w:t xml:space="preserve">(261); measured special token norms</w:t>
            </w:r>
          </w:p>
        </w:tc>
        <w:tc>
          <w:tcPr/>
          <w:p>
            <w:pPr>
              <w:pStyle w:val="Compact"/>
              <w:jc w:val="left"/>
            </w:pPr>
            <w:r>
              <w:rPr>
                <w:rStyle w:val="VerbatimChar"/>
              </w:rPr>
              <w:t xml:space="preserve">_</w:t>
            </w:r>
            <w:r>
              <w:t xml:space="preserve"> </w:t>
            </w:r>
            <w:r>
              <w:t xml:space="preserve">and</w:t>
            </w:r>
            <w:r>
              <w:t xml:space="preserve"> </w:t>
            </w:r>
            <w:r>
              <w:rPr>
                <w:rStyle w:val="VerbatimChar"/>
              </w:rPr>
              <w:t xml:space="preserve">{</w:t>
            </w:r>
            <w:r>
              <w:t xml:space="preserve"> </w:t>
            </w:r>
            <w:r>
              <w:t xml:space="preserve">are byte-for-byte identical to ASCII 95 and 123;</w:t>
            </w:r>
            <w:r>
              <w:t xml:space="preserve"> </w:t>
            </w:r>
            <w:r>
              <w:rPr>
                <w:rStyle w:val="VerbatimChar"/>
              </w:rPr>
              <w:t xml:space="preserve">{</w:t>
            </w:r>
            <w:r>
              <w:t xml:space="preserve"> </w:t>
            </w:r>
            <w:r>
              <w:t xml:space="preserve">has highest non-trivial embedding norm (3.05); heteronyms have low norms (~0.7)</w:t>
            </w:r>
            <w:r>
              <w:t xml:space="preserve"> </w:t>
            </w:r>
            <w:fldSimple w:instr="NOTEREF _Ref_Footnote_1 \h \f">
              <w:r>
                <w:rPr>
                  <w:vertAlign w:val="superscript"/>
                </w:rPr>
                <w:t>1</w:t>
              </w:r>
            </w:fldSimple>
          </w:p>
        </w:tc>
      </w:tr>
      <w:tr>
        <w:tc>
          <w:tcPr/>
          <w:p>
            <w:pPr>
              <w:pStyle w:val="Compact"/>
              <w:jc w:val="left"/>
            </w:pPr>
            <w:r>
              <w:t xml:space="preserve">Ablations / Circuit Analysis</w:t>
            </w:r>
          </w:p>
        </w:tc>
        <w:tc>
          <w:tcPr/>
          <w:p>
            <w:pPr>
              <w:pStyle w:val="Compact"/>
              <w:jc w:val="left"/>
            </w:pPr>
            <w:r>
              <w:t xml:space="preserve">Targeted ablation of MLP layers; bypass of layers 6–8; negation of MLP6 output; greedy scan of all 262 single-token prompts</w:t>
            </w:r>
          </w:p>
        </w:tc>
        <w:tc>
          <w:tcPr/>
          <w:p>
            <w:pPr>
              <w:pStyle w:val="Compact"/>
              <w:jc w:val="left"/>
            </w:pPr>
            <w:r>
              <w:t xml:space="preserve">Suppression circuit identified in MLP6; ablation raises P(</w:t>
            </w:r>
            <w:r>
              <w:rPr>
                <w:rStyle w:val="VerbatimChar"/>
              </w:rPr>
              <w:t xml:space="preserve">f</w:t>
            </w:r>
            <w:r>
              <w:t xml:space="preserve">) from 0.20 → 0.37; bypass of layers 6–8 raises P(</w:t>
            </w:r>
            <w:r>
              <w:rPr>
                <w:rStyle w:val="VerbatimChar"/>
              </w:rPr>
              <w:t xml:space="preserve">f</w:t>
            </w:r>
            <w:r>
              <w:t xml:space="preserve">) to 0.34; negating MLP6 raises P(</w:t>
            </w:r>
            <w:r>
              <w:rPr>
                <w:rStyle w:val="VerbatimChar"/>
              </w:rPr>
              <w:t xml:space="preserve">f</w:t>
            </w:r>
            <w:r>
              <w:t xml:space="preserve">) to 0.507; no single token naturally produces</w:t>
            </w:r>
            <w:r>
              <w:t xml:space="preserve"> </w:t>
            </w:r>
            <w:r>
              <w:rPr>
                <w:rStyle w:val="VerbatimChar"/>
              </w:rPr>
              <w:t xml:space="preserve">}</w:t>
            </w:r>
            <w:r>
              <w:t xml:space="preserve"> </w:t>
            </w:r>
            <w:fldSimple w:instr="NOTEREF _Ref_Footnote_1 \h \f">
              <w:r>
                <w:rPr>
                  <w:vertAlign w:val="superscript"/>
                </w:rPr>
                <w:t>1</w:t>
              </w:r>
            </w:fldSimple>
            <w:r>
              <w:t xml:space="preserve"> </w:t>
            </w:r>
            <w:fldSimple w:instr="NOTEREF _Ref_Footnote_2 \h \f">
              <w:r>
                <w:rPr>
                  <w:vertAlign w:val="superscript"/>
                </w:rPr>
                <w:t>2</w:t>
              </w:r>
            </w:fldSimple>
          </w:p>
        </w:tc>
      </w:tr>
    </w:tbl>
    <w:p>
      <w:pPr>
        <w:pStyle w:val="BodyText"/>
      </w:pPr>
      <w:r>
        <w:t xml:space="preserve">The table reveals a clear pattern: surface-level channels (prompts, weights, logits, hidden states, embeddings) yield nothing under standard interrogation. However, the circuit analysis results mark a critical inflection point. The suppression circuit centered on MLP6—identified through systematic ablation—actively boosts Portuguese-pattern tokens while suppressing non-Portuguese (especially uppercase and English) tokens</w:t>
      </w:r>
      <w:r>
        <w:t xml:space="preserve"> </w:t>
      </w:r>
      <w:fldSimple w:instr="NOTEREF _Ref_Footnote_2 \h \f">
        <w:r>
          <w:rPr>
            <w:vertAlign w:val="superscript"/>
          </w:rPr>
          <w:t>2</w:t>
        </w:r>
      </w:fldSimple>
      <w:r>
        <w:t xml:space="preserve">. This circuit is not an emergent property; its predictable, reversible behavior indicates a trained mechanism. Ablating MLP6 raises the probability of</w:t>
      </w:r>
      <w:r>
        <w:t xml:space="preserve"> </w:t>
      </w:r>
      <w:r>
        <w:rPr>
          <w:rStyle w:val="VerbatimChar"/>
        </w:rPr>
        <w:t xml:space="preserve">f</w:t>
      </w:r>
      <w:r>
        <w:t xml:space="preserve"> </w:t>
      </w:r>
      <w:r>
        <w:t xml:space="preserve">after</w:t>
      </w:r>
      <w:r>
        <w:t xml:space="preserve"> </w:t>
      </w:r>
      <w:r>
        <w:rPr>
          <w:rStyle w:val="VerbatimChar"/>
        </w:rPr>
        <w:t xml:space="preserve">{</w:t>
      </w:r>
      <w:r>
        <w:t xml:space="preserve"> </w:t>
      </w:r>
      <w:r>
        <w:t xml:space="preserve">from 20% to 37%, and negating its output pushes that probability to 50.7%</w:t>
      </w:r>
      <w:r>
        <w:t xml:space="preserve"> </w:t>
      </w:r>
      <w:fldSimple w:instr="NOTEREF _Ref_Footnote_1 \h \f">
        <w:r>
          <w:rPr>
            <w:vertAlign w:val="superscript"/>
          </w:rPr>
          <w:t>1</w:t>
        </w:r>
      </w:fldSimple>
      <w:r>
        <w:t xml:space="preserve">. Yet even at this elevated probability, greedy decoding continues to produce Portuguese-like strings (</w:t>
      </w:r>
      <w:r>
        <w:rPr>
          <w:rStyle w:val="VerbatimChar"/>
        </w:rPr>
        <w:t xml:space="preserve">{fatinda...</w:t>
      </w:r>
      <w:r>
        <w:t xml:space="preserve">,</w:t>
      </w:r>
      <w:r>
        <w:t xml:space="preserve"> </w:t>
      </w:r>
      <w:r>
        <w:rPr>
          <w:rStyle w:val="VerbatimChar"/>
        </w:rPr>
        <w:t xml:space="preserve">{fantastote...</w:t>
      </w:r>
      <w:r>
        <w:t xml:space="preserve">) rather than flag characters. This plateau suggests the presence of secondary suppression mechanisms—a cascading suppression architecture where MLP6 is merely the first gate</w:t>
      </w:r>
      <w:r>
        <w:t xml:space="preserve"> </w:t>
      </w:r>
      <w:fldSimple w:instr="NOTEREF _Ref_Footnote_9 \h \f">
        <w:r>
          <w:rPr>
            <w:vertAlign w:val="superscript"/>
          </w:rPr>
          <w:t>9</w:t>
        </w:r>
      </w:fldSimple>
      <w:r>
        <w:t xml:space="preserve">.</w:t>
      </w:r>
    </w:p>
    <w:p>
      <w:pPr>
        <w:pStyle w:val="BodyText"/>
      </w:pPr>
      <w:r>
        <w:t xml:space="preserve">Two additional observations constrain the solution space. First, a full greedy scan of all 262 single-token prompts revealed that no token naturally produces</w:t>
      </w:r>
      <w:r>
        <w:t xml:space="preserve"> </w:t>
      </w:r>
      <w:r>
        <w:rPr>
          <w:rStyle w:val="VerbatimChar"/>
        </w:rPr>
        <w:t xml:space="preserve">}</w:t>
      </w:r>
      <w:r>
        <w:t xml:space="preserve"> </w:t>
      </w:r>
      <w:r>
        <w:t xml:space="preserve">in greedy output; digits and several letters fall into a generic Portuguese attractor loop</w:t>
      </w:r>
      <w:r>
        <w:t xml:space="preserve"> </w:t>
      </w:r>
      <w:fldSimple w:instr="NOTEREF _Ref_Footnote_1 \h \f">
        <w:r>
          <w:rPr>
            <w:vertAlign w:val="superscript"/>
          </w:rPr>
          <w:t>1</w:t>
        </w:r>
      </w:fldSimple>
      <w:r>
        <w:t xml:space="preserve">. Second, layers 5, 6, and 7 appear functionally dead under standard inference—they contribute minimally to normal Portuguese generation but may serve as dormant containers for hidden data, a pattern consistent with the EvilModel technique of embedding information in atrophied neurons</w:t>
      </w:r>
      <w:r>
        <w:t xml:space="preserve"> </w:t>
      </w:r>
      <w:fldSimple w:instr="NOTEREF _Ref_Footnote_10 \h \f">
        <w:r>
          <w:rPr>
            <w:vertAlign w:val="superscript"/>
          </w:rPr>
          <w:t>10</w:t>
        </w:r>
      </w:fldSimple>
      <w:r>
        <w:t xml:space="preserve"> </w:t>
      </w:r>
      <w:r>
        <w:rPr>
          <w:vertAlign w:val="superscript"/>
        </w:rPr>
        <w:footnoteReference w:id="15"/>
      </w:r>
      <w:r>
        <w:t xml:space="preserve">.</w:t>
      </w:r>
    </w:p>
    <w:bookmarkEnd w:id="24"/>
    <w:bookmarkStart w:id="27" w:name="anomalous-signals-requiring-explanation"/>
    <w:p>
      <w:pPr>
        <w:pStyle w:val="Heading2"/>
      </w:pPr>
      <w:r>
        <w:t xml:space="preserve">1.3 Anomalous Signals Requiring Explanation</w:t>
      </w:r>
    </w:p>
    <w:bookmarkStart w:id="25" w:name="table-of-anomalies"/>
    <w:p>
      <w:pPr>
        <w:pStyle w:val="Heading3"/>
      </w:pPr>
      <w:r>
        <w:t xml:space="preserve">1.3.1 Table of Anomalies</w:t>
      </w:r>
    </w:p>
    <w:p>
      <w:pPr>
        <w:pStyle w:val="FirstParagraph"/>
      </w:pPr>
      <w:r>
        <w:t xml:space="preserve">Interventions that perturb the suppression cascade produce a family of anomalous outputs that do not occur under normal inference. These signals, summarized in the table below, are the strongest evidence that a hidden mechanism lies partially beneath the surface of normal model behavior.</w:t>
      </w:r>
    </w:p>
    <w:tbl>
      <w:tblPr>
        <w:tblStyle w:val="Table"/>
        <w:tblW w:type="pct" w:w="5000"/>
        <w:tblLook w:firstRow="1" w:lastRow="0" w:firstColumn="0" w:lastColumn="0" w:noHBand="0" w:noVBand="0" w:val="0020"/>
      </w:tblPr>
      <w:tblGrid>
        <w:gridCol w:w="1080"/>
        <w:gridCol w:w="2640"/>
        <w:gridCol w:w="2280"/>
        <w:gridCol w:w="1920"/>
      </w:tblGrid>
      <w:tr>
        <w:trPr>
          <w:tblHeader w:val="true"/>
        </w:trPr>
        <w:tc>
          <w:tcPr/>
          <w:p>
            <w:pPr>
              <w:pStyle w:val="Compact"/>
              <w:jc w:val="left"/>
            </w:pPr>
            <w:r>
              <w:t xml:space="preserve">Anomaly</w:t>
            </w:r>
          </w:p>
        </w:tc>
        <w:tc>
          <w:tcPr/>
          <w:p>
            <w:pPr>
              <w:pStyle w:val="Compact"/>
              <w:jc w:val="left"/>
            </w:pPr>
            <w:r>
              <w:t xml:space="preserve">Triggering Condition</w:t>
            </w:r>
          </w:p>
        </w:tc>
        <w:tc>
          <w:tcPr/>
          <w:p>
            <w:pPr>
              <w:pStyle w:val="Compact"/>
              <w:jc w:val="left"/>
            </w:pPr>
            <w:r>
              <w:t xml:space="preserve">Observed Behavior</w:t>
            </w:r>
          </w:p>
        </w:tc>
        <w:tc>
          <w:tcPr/>
          <w:p>
            <w:pPr>
              <w:pStyle w:val="Compact"/>
              <w:jc w:val="left"/>
            </w:pPr>
            <w:r>
              <w:t xml:space="preserve">Interpretation</w:t>
            </w:r>
          </w:p>
        </w:tc>
      </w:tr>
      <w:tr>
        <w:tc>
          <w:tcPr/>
          <w:p>
            <w:pPr>
              <w:pStyle w:val="Compact"/>
              <w:jc w:val="left"/>
            </w:pPr>
            <w:r>
              <w:rPr>
                <w:rStyle w:val="VerbatimChar"/>
              </w:rPr>
              <w:t xml:space="preserve">{ZUS</w:t>
            </w:r>
            <w:r>
              <w:t xml:space="preserve"> </w:t>
            </w:r>
            <w:r>
              <w:t xml:space="preserve">/</w:t>
            </w:r>
            <w:r>
              <w:t xml:space="preserve"> </w:t>
            </w:r>
            <w:r>
              <w:rPr>
                <w:rStyle w:val="VerbatimChar"/>
              </w:rPr>
              <w:t xml:space="preserve">}ZUS</w:t>
            </w:r>
          </w:p>
        </w:tc>
        <w:tc>
          <w:tcPr/>
          <w:p>
            <w:pPr>
              <w:pStyle w:val="Compact"/>
              <w:jc w:val="left"/>
            </w:pPr>
            <w:r>
              <w:t xml:space="preserve">Dead layers {5, 6, 7}</w:t>
            </w:r>
          </w:p>
        </w:tc>
        <w:tc>
          <w:tcPr/>
          <w:p>
            <w:pPr>
              <w:pStyle w:val="Compact"/>
              <w:jc w:val="left"/>
            </w:pPr>
            <w:r>
              <w:t xml:space="preserve">Uppercase</w:t>
            </w:r>
            <w:r>
              <w:t xml:space="preserve"> </w:t>
            </w:r>
            <w:r>
              <w:rPr>
                <w:rStyle w:val="VerbatimChar"/>
              </w:rPr>
              <w:t xml:space="preserve">ZUS</w:t>
            </w:r>
            <w:r>
              <w:t xml:space="preserve"> </w:t>
            </w:r>
            <w:r>
              <w:t xml:space="preserve">appears briefly, then falls into Portuguese text</w:t>
            </w:r>
          </w:p>
        </w:tc>
        <w:tc>
          <w:tcPr/>
          <w:p>
            <w:pPr>
              <w:pStyle w:val="Compact"/>
              <w:jc w:val="left"/>
            </w:pPr>
            <w:r>
              <w:t xml:space="preserve">Partial flag circuit activation: curly braces match flag format; uppercase is normally suppressed</w:t>
            </w:r>
            <w:r>
              <w:t xml:space="preserve"> </w:t>
            </w:r>
            <w:fldSimple w:instr="NOTEREF _Ref_Footnote_1 \h \f">
              <w:r>
                <w:rPr>
                  <w:vertAlign w:val="superscript"/>
                </w:rPr>
                <w:t>1</w:t>
              </w:r>
            </w:fldSimple>
          </w:p>
        </w:tc>
      </w:tr>
      <w:tr>
        <w:tc>
          <w:tcPr/>
          <w:p>
            <w:pPr>
              <w:pStyle w:val="Compact"/>
              <w:jc w:val="left"/>
            </w:pPr>
            <w:r>
              <w:rPr>
                <w:rStyle w:val="VerbatimChar"/>
              </w:rPr>
              <w:t xml:space="preserve">{*......</w:t>
            </w:r>
          </w:p>
        </w:tc>
        <w:tc>
          <w:tcPr/>
          <w:p>
            <w:pPr>
              <w:pStyle w:val="Compact"/>
              <w:jc w:val="left"/>
            </w:pPr>
            <w:r>
              <w:t xml:space="preserve">Dead MLP {5, 6, 7} + dead layer 8</w:t>
            </w:r>
          </w:p>
        </w:tc>
        <w:tc>
          <w:tcPr/>
          <w:p>
            <w:pPr>
              <w:pStyle w:val="Compact"/>
              <w:jc w:val="left"/>
            </w:pPr>
            <w:r>
              <w:t xml:space="preserve">76% probability of</w:t>
            </w:r>
            <w:r>
              <w:t xml:space="preserve"> </w:t>
            </w:r>
            <w:r>
              <w:rPr>
                <w:rStyle w:val="VerbatimChar"/>
              </w:rPr>
              <w:t xml:space="preserve">*</w:t>
            </w:r>
            <w:r>
              <w:t xml:space="preserve"> </w:t>
            </w:r>
            <w:r>
              <w:t xml:space="preserve">after</w:t>
            </w:r>
            <w:r>
              <w:t xml:space="preserve"> </w:t>
            </w:r>
            <w:r>
              <w:rPr>
                <w:rStyle w:val="VerbatimChar"/>
              </w:rPr>
              <w:t xml:space="preserve">{</w:t>
            </w:r>
            <w:r>
              <w:t xml:space="preserve">, followed by infinite period loop</w:t>
            </w:r>
          </w:p>
        </w:tc>
        <w:tc>
          <w:tcPr/>
          <w:p>
            <w:pPr>
              <w:pStyle w:val="Compact"/>
              <w:jc w:val="left"/>
            </w:pPr>
            <w:r>
              <w:t xml:space="preserve">Asterisk at extreme probability suggests a channel opening; period loop indicates a degenerate attractor state</w:t>
            </w:r>
            <w:r>
              <w:t xml:space="preserve"> </w:t>
            </w:r>
            <w:fldSimple w:instr="NOTEREF _Ref_Footnote_1 \h \f">
              <w:r>
                <w:rPr>
                  <w:vertAlign w:val="superscript"/>
                </w:rPr>
                <w:t>1</w:t>
              </w:r>
            </w:fldSimple>
          </w:p>
        </w:tc>
      </w:tr>
      <w:tr>
        <w:tc>
          <w:tcPr/>
          <w:p>
            <w:pPr>
              <w:pStyle w:val="Compact"/>
              <w:jc w:val="left"/>
            </w:pPr>
            <w:r>
              <w:rPr>
                <w:rStyle w:val="VerbatimChar"/>
              </w:rPr>
              <w:t xml:space="preserve">*</w:t>
            </w:r>
            <w:r>
              <w:t xml:space="preserve"> </w:t>
            </w:r>
            <w:r>
              <w:t xml:space="preserve">at 12.5% in layer 4 logits</w:t>
            </w:r>
          </w:p>
        </w:tc>
        <w:tc>
          <w:tcPr/>
          <w:p>
            <w:pPr>
              <w:pStyle w:val="Compact"/>
              <w:jc w:val="left"/>
            </w:pPr>
            <w:r>
              <w:t xml:space="preserve">Normal inference, logit lens projection</w:t>
            </w:r>
          </w:p>
        </w:tc>
        <w:tc>
          <w:tcPr/>
          <w:p>
            <w:pPr>
              <w:pStyle w:val="Compact"/>
              <w:jc w:val="left"/>
            </w:pPr>
            <w:r>
              <w:rPr>
                <w:rStyle w:val="VerbatimChar"/>
              </w:rPr>
              <w:t xml:space="preserve">*</w:t>
            </w:r>
            <w:r>
              <w:t xml:space="preserve"> </w:t>
            </w:r>
            <w:r>
              <w:t xml:space="preserve">ranks unusually high in layer 4 vocabulary projection despite being absent from Portuguese text</w:t>
            </w:r>
          </w:p>
        </w:tc>
        <w:tc>
          <w:tcPr/>
          <w:p>
            <w:pPr>
              <w:pStyle w:val="Compact"/>
              <w:jc w:val="left"/>
            </w:pPr>
            <w:r>
              <w:t xml:space="preserve">Intermediate representation contains flag-relevant information before suppression acts</w:t>
            </w:r>
            <w:r>
              <w:t xml:space="preserve"> </w:t>
            </w:r>
            <w:fldSimple w:instr="NOTEREF _Ref_Footnote_1 \h \f">
              <w:r>
                <w:rPr>
                  <w:vertAlign w:val="superscript"/>
                </w:rPr>
                <w:t>1</w:t>
              </w:r>
            </w:fldSimple>
          </w:p>
        </w:tc>
      </w:tr>
      <w:tr>
        <w:tc>
          <w:tcPr/>
          <w:p>
            <w:pPr>
              <w:pStyle w:val="Compact"/>
              <w:jc w:val="left"/>
            </w:pPr>
            <w:r>
              <w:rPr>
                <w:rStyle w:val="VerbatimChar"/>
              </w:rPr>
              <w:t xml:space="preserve">faguntarun</w:t>
            </w:r>
            <w:r>
              <w:t xml:space="preserve"> </w:t>
            </w:r>
            <w:r>
              <w:t xml:space="preserve">degenerate loop</w:t>
            </w:r>
          </w:p>
        </w:tc>
        <w:tc>
          <w:tcPr/>
          <w:p>
            <w:pPr>
              <w:pStyle w:val="Compact"/>
              <w:jc w:val="left"/>
            </w:pPr>
            <w:r>
              <w:rPr>
                <w:rStyle w:val="VerbatimChar"/>
              </w:rPr>
              <w:t xml:space="preserve">}</w:t>
            </w:r>
            <w:r>
              <w:t xml:space="preserve"> </w:t>
            </w:r>
            <w:r>
              <w:t xml:space="preserve">prompt with MLP6 ablated</w:t>
            </w:r>
          </w:p>
        </w:tc>
        <w:tc>
          <w:tcPr/>
          <w:p>
            <w:pPr>
              <w:pStyle w:val="Compact"/>
              <w:jc w:val="left"/>
            </w:pPr>
            <w:r>
              <w:t xml:space="preserve">Repeating</w:t>
            </w:r>
            <w:r>
              <w:t xml:space="preserve"> </w:t>
            </w:r>
            <w:r>
              <w:rPr>
                <w:rStyle w:val="VerbatimChar"/>
              </w:rPr>
              <w:t xml:space="preserve">faguntarun</w:t>
            </w:r>
            <w:r>
              <w:t xml:space="preserve"> </w:t>
            </w:r>
            <w:r>
              <w:t xml:space="preserve">pattern; begins with</w:t>
            </w:r>
            <w:r>
              <w:t xml:space="preserve"> </w:t>
            </w:r>
            <w:r>
              <w:rPr>
                <w:rStyle w:val="VerbatimChar"/>
              </w:rPr>
              <w:t xml:space="preserve">f</w:t>
            </w:r>
            <w:r>
              <w:t xml:space="preserve"> </w:t>
            </w:r>
            <w:r>
              <w:t xml:space="preserve">— the first character of</w:t>
            </w:r>
            <w:r>
              <w:t xml:space="preserve"> </w:t>
            </w:r>
            <w:r>
              <w:t xml:space="preserve">“</w:t>
            </w:r>
            <w:r>
              <w:t xml:space="preserve">flag</w:t>
            </w:r>
            <w:r>
              <w:t xml:space="preserve">”</w:t>
            </w:r>
          </w:p>
        </w:tc>
        <w:tc>
          <w:tcPr/>
          <w:p>
            <w:pPr>
              <w:pStyle w:val="Compact"/>
              <w:jc w:val="left"/>
            </w:pPr>
            <w:r>
              <w:t xml:space="preserve">Portuguese morphology (</w:t>
            </w:r>
            <w:r>
              <w:rPr>
                <w:rStyle w:val="VerbatimChar"/>
              </w:rPr>
              <w:t xml:space="preserve">fag-</w:t>
            </w:r>
            <w:r>
              <w:t xml:space="preserve"> </w:t>
            </w:r>
            <w:r>
              <w:t xml:space="preserve">prefix) fused with flag-character leakage; competing circuits produce corrupted hybrid output</w:t>
            </w:r>
            <w:r>
              <w:t xml:space="preserve"> </w:t>
            </w:r>
            <w:fldSimple w:instr="NOTEREF _Ref_Footnote_1 \h \f">
              <w:r>
                <w:rPr>
                  <w:vertAlign w:val="superscript"/>
                </w:rPr>
                <w:t>1</w:t>
              </w:r>
            </w:fldSimple>
            <w:r>
              <w:t xml:space="preserve"> </w:t>
            </w:r>
            <w:fldSimple w:instr="NOTEREF _Ref_Footnote_3 \h \f">
              <w:r>
                <w:rPr>
                  <w:vertAlign w:val="superscript"/>
                </w:rPr>
                <w:t>3</w:t>
              </w:r>
            </w:fldSimple>
          </w:p>
        </w:tc>
      </w:tr>
    </w:tbl>
    <w:bookmarkEnd w:id="25"/>
    <w:bookmarkStart w:id="26" w:name="why-these-anomalies-matter"/>
    <w:p>
      <w:pPr>
        <w:pStyle w:val="Heading3"/>
      </w:pPr>
      <w:r>
        <w:t xml:space="preserve">1.3.2 Why These Anomalies Matter</w:t>
      </w:r>
    </w:p>
    <w:p>
      <w:pPr>
        <w:pStyle w:val="FirstParagraph"/>
      </w:pPr>
      <w:r>
        <w:t xml:space="preserve">The question facing the investigation is whether these anomalies represent partial flag activations or merely random degenerate behavior induced by damaging the model. Three lines of evidence suggest the former interpretation is more likely.</w:t>
      </w:r>
    </w:p>
    <w:p>
      <w:pPr>
        <w:pStyle w:val="BodyText"/>
      </w:pPr>
      <w:r>
        <w:t xml:space="preserve">First, the structural features of the anomalies align too closely with flag expectations to be coincidental. The</w:t>
      </w:r>
      <w:r>
        <w:t xml:space="preserve"> </w:t>
      </w:r>
      <w:r>
        <w:rPr>
          <w:rStyle w:val="VerbatimChar"/>
        </w:rPr>
        <w:t xml:space="preserve">{ZUS</w:t>
      </w:r>
      <w:r>
        <w:t xml:space="preserve"> </w:t>
      </w:r>
      <w:r>
        <w:t xml:space="preserve">and</w:t>
      </w:r>
      <w:r>
        <w:t xml:space="preserve"> </w:t>
      </w:r>
      <w:r>
        <w:rPr>
          <w:rStyle w:val="VerbatimChar"/>
        </w:rPr>
        <w:t xml:space="preserve">}ZUS</w:t>
      </w:r>
      <w:r>
        <w:t xml:space="preserve"> </w:t>
      </w:r>
      <w:r>
        <w:t xml:space="preserve">outputs contain curly braces—the standard CTF flag delimiter—under conditions (dead layers) that disable the normal suppression mechanism. The</w:t>
      </w:r>
      <w:r>
        <w:t xml:space="preserve"> </w:t>
      </w:r>
      <w:r>
        <w:rPr>
          <w:rStyle w:val="VerbatimChar"/>
        </w:rPr>
        <w:t xml:space="preserve">faguntarun</w:t>
      </w:r>
      <w:r>
        <w:t xml:space="preserve"> </w:t>
      </w:r>
      <w:r>
        <w:t xml:space="preserve">loop begins with</w:t>
      </w:r>
      <w:r>
        <w:t xml:space="preserve"> </w:t>
      </w:r>
      <w:r>
        <w:rPr>
          <w:rStyle w:val="VerbatimChar"/>
        </w:rPr>
        <w:t xml:space="preserve">f</w:t>
      </w:r>
      <w:r>
        <w:t xml:space="preserve">, the first letter of</w:t>
      </w:r>
      <w:r>
        <w:t xml:space="preserve"> </w:t>
      </w:r>
      <w:r>
        <w:t xml:space="preserve">“</w:t>
      </w:r>
      <w:r>
        <w:t xml:space="preserve">flag,</w:t>
      </w:r>
      <w:r>
        <w:t xml:space="preserve">”</w:t>
      </w:r>
      <w:r>
        <w:t xml:space="preserve"> </w:t>
      </w:r>
      <w:r>
        <w:t xml:space="preserve">at a time when MLP6 ablation has specifically elevated</w:t>
      </w:r>
      <w:r>
        <w:t xml:space="preserve"> </w:t>
      </w:r>
      <w:r>
        <w:rPr>
          <w:rStyle w:val="VerbatimChar"/>
        </w:rPr>
        <w:t xml:space="preserve">f</w:t>
      </w:r>
      <w:r>
        <w:t xml:space="preserve">-token probability</w:t>
      </w:r>
      <w:r>
        <w:t xml:space="preserve"> </w:t>
      </w:r>
      <w:fldSimple w:instr="NOTEREF _Ref_Footnote_1 \h \f">
        <w:r>
          <w:rPr>
            <w:vertAlign w:val="superscript"/>
          </w:rPr>
          <w:t>1</w:t>
        </w:r>
      </w:fldSimple>
      <w:r>
        <w:t xml:space="preserve">. The consistency of these structural signatures across independent intervention conditions argues against randomness.</w:t>
      </w:r>
    </w:p>
    <w:p>
      <w:pPr>
        <w:pStyle w:val="BodyText"/>
      </w:pPr>
      <w:r>
        <w:t xml:space="preserve">Second, the</w:t>
      </w:r>
      <w:r>
        <w:t xml:space="preserve"> </w:t>
      </w:r>
      <w:r>
        <w:rPr>
          <w:rStyle w:val="VerbatimChar"/>
        </w:rPr>
        <w:t xml:space="preserve">*</w:t>
      </w:r>
      <w:r>
        <w:t xml:space="preserve"> </w:t>
      </w:r>
      <w:r>
        <w:t xml:space="preserve">token’s appearance at 12.5% in layer 4 logits—before the full suppression cascade has acted—is consistent with a hidden signal present in intermediate representations that is progressively attenuated through deeper layers. Research on distribution-preserving steganography demonstrates that information can be encoded in probability ranks and distribution shapes without ever appearing in the sampled output</w:t>
      </w:r>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 The</w:t>
      </w:r>
      <w:r>
        <w:t xml:space="preserve"> </w:t>
      </w:r>
      <w:r>
        <w:rPr>
          <w:rStyle w:val="VerbatimChar"/>
        </w:rPr>
        <w:t xml:space="preserve">*</w:t>
      </w:r>
      <w:r>
        <w:t xml:space="preserve"> </w:t>
      </w:r>
      <w:r>
        <w:t xml:space="preserve">anomaly may represent such a signal leaking through the logit lens at an early processing stage.</w:t>
      </w:r>
    </w:p>
    <w:p>
      <w:pPr>
        <w:pStyle w:val="BodyText"/>
      </w:pPr>
      <w:r>
        <w:t xml:space="preserve">Third, the cross-verification analysis across 12 independent research dimensions produced a high-confidence finding that these anomalies constitute</w:t>
      </w:r>
      <w:r>
        <w:t xml:space="preserve"> </w:t>
      </w:r>
      <w:r>
        <w:t xml:space="preserve">“</w:t>
      </w:r>
      <w:r>
        <w:t xml:space="preserve">partial flag activations</w:t>
      </w:r>
      <w:r>
        <w:t xml:space="preserve">”</w:t>
      </w:r>
      <w:r>
        <w:t xml:space="preserve"> </w:t>
      </w:r>
      <w:r>
        <w:t xml:space="preserve">rather than random artifacts</w:t>
      </w:r>
      <w:r>
        <w:t xml:space="preserve"> </w:t>
      </w:r>
      <w:fldSimple w:instr="NOTEREF _Ref_Footnote_1 \h \f">
        <w:r>
          <w:rPr>
            <w:vertAlign w:val="superscript"/>
          </w:rPr>
          <w:t>1</w:t>
        </w:r>
      </w:fldSimple>
      <w:r>
        <w:t xml:space="preserve">. The cascading suppression architecture hypothesis predicts exactly this behavior: when individual suppression gates are bypassed, the flag circuit partially engages but is immediately suppressed or corrupted by competing Portuguese patterns that remain active through secondary pathways. This interpretation is further supported by precedents from solved ML CTF challenges, including Anthropic’s BSidesSF challenge (where top-k=2 was required to reveal the flag)</w:t>
      </w:r>
      <w:r>
        <w:t xml:space="preserve"> </w:t>
      </w:r>
      <w:fldSimple w:instr="NOTEREF _Ref_Footnote_6 \h \f">
        <w:r>
          <w:rPr>
            <w:vertAlign w:val="superscript"/>
          </w:rPr>
          <w:t>6</w:t>
        </w:r>
      </w:fldSimple>
      <w:r>
        <w:t xml:space="preserve">and DEF CON 30’s</w:t>
      </w:r>
      <w:r>
        <w:t xml:space="preserve"> </w:t>
      </w:r>
      <w:r>
        <w:t xml:space="preserve">“</w:t>
      </w:r>
      <w:r>
        <w:t xml:space="preserve">Leakage</w:t>
      </w:r>
      <w:r>
        <w:t xml:space="preserve">”</w:t>
      </w:r>
      <w:r>
        <w:t xml:space="preserve"> </w:t>
      </w:r>
      <w:r>
        <w:t xml:space="preserve">challenge (where iterative character-by-character extraction was necessary)</w:t>
      </w:r>
      <w:r>
        <w:t xml:space="preserve"> </w:t>
      </w:r>
      <w:fldSimple w:instr="NOTEREF _Ref_Footnote_14 \h \f">
        <w:r>
          <w:rPr>
            <w:vertAlign w:val="superscript"/>
          </w:rPr>
          <w:t>14</w:t>
        </w:r>
      </w:fldSimple>
      <w:r>
        <w:t xml:space="preserve">. In both cases, the flag was present in the model but required specific conditions to become extractable—conditions analogous to those needed to resolve the Ode Triunfal anomalies into coherent flag output.</w:t>
      </w:r>
    </w:p>
    <w:p>
      <w:pPr>
        <w:pStyle w:val="BodyText"/>
      </w:pPr>
      <w:r>
        <w:t xml:space="preserve">The totality of evidence points to a model architecture in which the flag is not absent but conditionally accessible. The dead layers, the suppression circuit, the distribution-level encoding, and the anomalous signals collectively describe a system with multiple gates that must be navigated simultaneously. The subsequent chapters examine each extraction methodology in depth, beginning with prompt-based techniques in Chapter 2.</w:t>
      </w:r>
    </w:p>
    <w:p>
      <w:r>
        <w:pict>
          <v:rect style="width:0;height:1.5pt" o:hralign="center" o:hrstd="t" o:hr="t"/>
        </w:pict>
      </w:r>
    </w:p>
    <w:bookmarkEnd w:id="26"/>
    <w:bookmarkEnd w:id="27"/>
    <w:bookmarkStart w:id="40" w:name="prompt-based-behavioral-extraction"/>
    <w:p>
      <w:pPr>
        <w:pStyle w:val="Heading2"/>
      </w:pPr>
      <w:r>
        <w:t xml:space="preserve">2. Prompt-Based &amp; Behavioral Extraction</w:t>
      </w:r>
    </w:p>
    <w:p>
      <w:pPr>
        <w:pStyle w:val="FirstParagraph"/>
      </w:pPr>
      <w:r>
        <w:t xml:space="preserve">When a language model checkpoint arrives as the sole artifact of a CTF challenge, the first question is whether the flag can be coaxed out through the model’s natural interface: text in, text out. This section examines the full spectrum of prompt-based and behavioral extraction techniques, from formal backdoor trigger inversion to empirically validated CTF success stories. The Ode Triunfal challenge—a 50M-parameter GPT that generates coherent Portuguese poetry while suppressing flag-character outputs through a dedicated MLP6 circuit—provides the concrete reference case against which each technique is assessed.</w:t>
      </w:r>
    </w:p>
    <w:bookmarkStart w:id="31" w:name="backdoor-trigger-detection-inversion"/>
    <w:p>
      <w:pPr>
        <w:pStyle w:val="Heading3"/>
      </w:pPr>
      <w:r>
        <w:t xml:space="preserve">2.1 Backdoor Trigger Detection &amp; Inversion</w:t>
      </w:r>
    </w:p>
    <w:p>
      <w:pPr>
        <w:pStyle w:val="FirstParagraph"/>
      </w:pPr>
      <w:r>
        <w:t xml:space="preserve">The field of backdoor trigger inversion in NLP transformers is dominated by three algorithmic families, each representing a distinct approach to the same problem: given a potentially trojaned model, find the input tokens that activate its hidden behavior.</w:t>
      </w:r>
    </w:p>
    <w:bookmarkStart w:id="28" w:name="X55c49774d5df6269bd2d7ac969c823c5120b62e"/>
    <w:p>
      <w:pPr>
        <w:pStyle w:val="Heading4"/>
      </w:pPr>
      <w:r>
        <w:t xml:space="preserve">2.1.1 PICCOLO: Differentiable Model Transformation</w:t>
      </w:r>
    </w:p>
    <w:p>
      <w:pPr>
        <w:pStyle w:val="FirstParagraph"/>
      </w:pPr>
      <w:r>
        <w:t xml:space="preserve">PICCOLO (PurduePAML, IEEE S&amp;P 2022) remains the benchmark for white-box trigger inversion in transformer models. Its core innovation is transforming a discrete, non-differentiable language model into an equivalent differentiable form by representing each trigger token as a probability vector (a</w:t>
      </w:r>
      <w:r>
        <w:t xml:space="preserve"> </w:t>
      </w:r>
      <w:r>
        <w:t xml:space="preserve">“</w:t>
      </w:r>
      <w:r>
        <w:t xml:space="preserve">word vector</w:t>
      </w:r>
      <w:r>
        <w:t xml:space="preserve">”</w:t>
      </w:r>
      <w:r>
        <w:t xml:space="preserve">) over the entire vocabulary</w:t>
      </w:r>
      <w:r>
        <w:t xml:space="preserve"> </w:t>
      </w:r>
      <w:fldSimple w:instr="NOTEREF _Ref_Footnote_7 \h \f">
        <w:r>
          <w:rPr>
            <w:vertAlign w:val="superscript"/>
          </w:rPr>
          <w:t>7</w:t>
        </w:r>
      </w:fldSimple>
      <w:r>
        <w:t xml:space="preserve">. During inversion, an unknown word vector is inserted into sample sentences and optimized via gradient descent to maximize misclassification onto a target label. To handle the discrete nature of tokens, PICCOLO uses tanh functions for smooth optimization and a delayed normalization strategy that prevents premature sparsification, allowing trigger words to maintain higher inverted likelihood than non-trigger words throughout optimization</w:t>
      </w:r>
      <w:r>
        <w:t xml:space="preserve"> </w:t>
      </w:r>
      <w:r>
        <w:rPr>
          <w:vertAlign w:val="superscript"/>
        </w:rPr>
        <w:footnoteReference w:id="16"/>
      </w:r>
      <w:r>
        <w:t xml:space="preserve">.</w:t>
      </w:r>
    </w:p>
    <w:p>
      <w:pPr>
        <w:pStyle w:val="BodyText"/>
      </w:pPr>
      <w:r>
        <w:t xml:space="preserve">The critical differentiator is PICCOLO’s word discriminativity analysis: rather than inverting exact triggers (which may have unknown size), it trains a linear model for each candidate word and computes the dot product between the linear weight vector and the dimension importance vector for the target label. When this product exceeds a threshold (empirically set at 170), the model is flagged as trojaned</w:t>
      </w:r>
      <w:r>
        <w:t xml:space="preserve"> </w:t>
      </w:r>
      <w:fldSimple w:instr="NOTEREF _Ref_Footnote_7 \h \f">
        <w:r>
          <w:rPr>
            <w:vertAlign w:val="superscript"/>
          </w:rPr>
          <w:t>7</w:t>
        </w:r>
      </w:fldSimple>
      <w:r>
        <w:t xml:space="preserve">. This analysis rests on a theoretically grounded observation: trojaned models are disproportionately sensitive to the presence of trigger words, whereas clean models exhibit no such concentration. Evaluated on 3,839 models (1,907 benign, 1,932 trojaned) across BERT, GPT, LSTM, and GRU architectures in TrojAI Rounds 5–7, PICCOLO achieved approximately 0.9 ROC-AUC across 17 distinct backdoor types, ranking first in Rounds 6 and 7 and becoming the only method to reach the round goal in all three NLP rounds</w:t>
      </w:r>
      <w:r>
        <w:t xml:space="preserve"> </w:t>
      </w:r>
      <w:fldSimple w:instr="NOTEREF _Ref_Footnote_7 \h \f">
        <w:r>
          <w:rPr>
            <w:vertAlign w:val="superscript"/>
          </w:rPr>
          <w:t>7</w:t>
        </w:r>
      </w:fldSimple>
      <w:r>
        <w:t xml:space="preserve"> </w:t>
      </w:r>
      <w:fldSimple w:instr="NOTEREF _Ref_Footnote_16 \h \f">
        <w:r>
          <w:rPr>
            <w:vertAlign w:val="superscript"/>
          </w:rPr>
          <w:t>16</w:t>
        </w:r>
      </w:fldSimple>
      <w:r>
        <w:t xml:space="preserve">.</w:t>
      </w:r>
    </w:p>
    <w:p>
      <w:pPr>
        <w:pStyle w:val="BodyText"/>
      </w:pPr>
      <w:r>
        <w:t xml:space="preserve">For the Ode Triunfal investigation, PICCOLO-style inversion could be adapted to search the embedding space for token distributions that maximize the probability of flag-character outputs (</w:t>
      </w:r>
      <w:r>
        <w:rPr>
          <w:rStyle w:val="VerbatimChar"/>
        </w:rPr>
        <w:t xml:space="preserve">f</w:t>
      </w:r>
      <w:r>
        <w:t xml:space="preserve">,</w:t>
      </w:r>
      <w:r>
        <w:t xml:space="preserve"> </w:t>
      </w:r>
      <w:r>
        <w:rPr>
          <w:rStyle w:val="VerbatimChar"/>
        </w:rPr>
        <w:t xml:space="preserve">l</w:t>
      </w:r>
      <w:r>
        <w:t xml:space="preserve">,</w:t>
      </w:r>
      <w:r>
        <w:t xml:space="preserve"> </w:t>
      </w:r>
      <w:r>
        <w:rPr>
          <w:rStyle w:val="VerbatimChar"/>
        </w:rPr>
        <w:t xml:space="preserve">a</w:t>
      </w:r>
      <w:r>
        <w:t xml:space="preserve">,</w:t>
      </w:r>
      <w:r>
        <w:t xml:space="preserve"> </w:t>
      </w:r>
      <w:r>
        <w:rPr>
          <w:rStyle w:val="VerbatimChar"/>
        </w:rPr>
        <w:t xml:space="preserve">g</w:t>
      </w:r>
      <w:r>
        <w:t xml:space="preserve">) following the</w:t>
      </w:r>
      <w:r>
        <w:t xml:space="preserve"> </w:t>
      </w:r>
      <w:r>
        <w:rPr>
          <w:rStyle w:val="VerbatimChar"/>
        </w:rPr>
        <w:t xml:space="preserve">{</w:t>
      </w:r>
      <w:r>
        <w:t xml:space="preserve"> </w:t>
      </w:r>
      <w:r>
        <w:t xml:space="preserve">token (ID 261), whose anomalously high embedding norm (3.05) already signals special treatment by the model.</w:t>
      </w:r>
    </w:p>
    <w:bookmarkEnd w:id="28"/>
    <w:bookmarkStart w:id="29" w:name="Xf46f1274ae5d5ac5d06dfcae487bc319d4d4c65"/>
    <w:p>
      <w:pPr>
        <w:pStyle w:val="Heading4"/>
      </w:pPr>
      <w:r>
        <w:t xml:space="preserve">2.1.2 SemInv: Semantic Regularization for Stealthy Trigger Recovery</w:t>
      </w:r>
    </w:p>
    <w:p>
      <w:pPr>
        <w:pStyle w:val="FirstParagraph"/>
      </w:pPr>
      <w:r>
        <w:t xml:space="preserve">SemInv (IEEE TIFS 2025) addresses a fundamental limitation of PICCOLO and DBS: their inability to recover stealthy semantic triggers that preserve natural language coherence. SemInv introduces Consistent Semantics Regularization, which leverages language model perplexity as a differentiable constraint during trigger optimization, forcing inverted triggers to read as plausible natural language</w:t>
      </w:r>
      <w:r>
        <w:t xml:space="preserve"> </w:t>
      </w:r>
      <w:r>
        <w:rPr>
          <w:vertAlign w:val="superscript"/>
        </w:rPr>
        <w:footnoteReference w:id="17"/>
      </w:r>
      <w:r>
        <w:t xml:space="preserve">. This is complemented by Identifiable Condition Inspection, a statistically grounded decision framework that replaces heuristic loss thresholds with a systematic assessment of attack performance margins across diverse identifiable conditions</w:t>
      </w:r>
      <w:r>
        <w:t xml:space="preserve"> </w:t>
      </w:r>
      <w:fldSimple w:instr="NOTEREF _Ref_Footnote_17 \h \f">
        <w:r>
          <w:rPr>
            <w:vertAlign w:val="superscript"/>
          </w:rPr>
          <w:t>17</w:t>
        </w:r>
      </w:fldSimple>
      <w:r>
        <w:t xml:space="preserve">.</w:t>
      </w:r>
    </w:p>
    <w:p>
      <w:pPr>
        <w:pStyle w:val="BodyText"/>
      </w:pPr>
      <w:r>
        <w:t xml:space="preserve">The ablation study confirms both components are indispensable: removing either causes severe accuracy degradation, as basic trigger inversion alone cannot reconstruct precise triggers, and heuristic loss-based backdoor justification fails to distinguish backdoored models from benign ones</w:t>
      </w:r>
      <w:r>
        <w:t xml:space="preserve"> </w:t>
      </w:r>
      <w:fldSimple w:instr="NOTEREF _Ref_Footnote_17 \h \f">
        <w:r>
          <w:rPr>
            <w:vertAlign w:val="superscript"/>
          </w:rPr>
          <w:t>17</w:t>
        </w:r>
      </w:fldSimple>
      <w:r>
        <w:t xml:space="preserve">. On TrojAI Rounds 6–8, SemInv consistently outperforms both PICCOLO and DBS in trigger inversion quality and backdoor determination accuracy. On TrojAI R6 Test model #044, for instance, DBS’s inverted trigger deviates significantly from the ground truth zone, while SemInv closely approximates the correct trigger thanks to its semantics-aware regularization</w:t>
      </w:r>
      <w:r>
        <w:t xml:space="preserve"> </w:t>
      </w:r>
      <w:r>
        <w:rPr>
          <w:vertAlign w:val="superscript"/>
        </w:rPr>
        <w:footnoteReference w:id="18"/>
      </w:r>
      <w:r>
        <w:t xml:space="preserve">.</w:t>
      </w:r>
    </w:p>
    <w:p>
      <w:pPr>
        <w:pStyle w:val="BodyText"/>
      </w:pPr>
      <w:r>
        <w:t xml:space="preserve">SemInv is directly relevant to Ode Triunfal because any trigger embedded in a Portuguese-language model would likely be semantically coherent—perhaps a line from Pessoa’s poetry or a phrase related to the heteronym literary tradition—rather than an arbitrary token string.</w:t>
      </w:r>
    </w:p>
    <w:bookmarkEnd w:id="29"/>
    <w:bookmarkStart w:id="30" w:name="X0f7f00a0b4cce47eca06e1d832705283fcfedb3"/>
    <w:p>
      <w:pPr>
        <w:pStyle w:val="Heading4"/>
      </w:pPr>
      <w:r>
        <w:t xml:space="preserve">2.1.3 DBS: Convex Hull with Dynamic Temperature Scaling</w:t>
      </w:r>
    </w:p>
    <w:p>
      <w:pPr>
        <w:pStyle w:val="FirstParagraph"/>
      </w:pPr>
      <w:r>
        <w:t xml:space="preserve">DBS (Dynamic Bound Scaling, ICML 2022) approaches trigger inversion through constrained optimization over a convex hull of all possible tokens. It defines the input space as</w:t>
      </w:r>
      <w:r>
        <w:t xml:space="preserve"> </w:t>
      </w:r>
      <m:oMath>
        <m:r>
          <m:t>V</m:t>
        </m:r>
        <m:r>
          <m:rPr>
            <m:sty m:val="p"/>
          </m:rPr>
          <m:t>=</m:t>
        </m:r>
        <m:r>
          <m:rPr>
            <m:sty m:val="p"/>
          </m:rPr>
          <m:t>{</m:t>
        </m:r>
        <m:nary>
          <m:naryPr>
            <m:chr m:val="∑"/>
            <m:limLoc m:val="undOvr"/>
            <m:subHide m:val="0"/>
            <m:supHide m:val="0"/>
          </m:naryPr>
          <m:sub>
            <m:r>
              <m:t>k</m:t>
            </m:r>
            <m:r>
              <m:rPr>
                <m:sty m:val="p"/>
              </m:rPr>
              <m:t>=</m:t>
            </m:r>
            <m:r>
              <m:t>1</m:t>
            </m:r>
          </m:sub>
          <m:sup>
            <m:r>
              <m:t>p</m:t>
            </m:r>
          </m:sup>
          <m:e>
            <m:sSub>
              <m:e>
                <m:r>
                  <m:t>α</m:t>
                </m:r>
              </m:e>
              <m:sub>
                <m:r>
                  <m:t>k</m:t>
                </m:r>
              </m:sub>
            </m:sSub>
          </m:e>
        </m:nary>
        <m:r>
          <m:rPr>
            <m:sty m:val="p"/>
          </m:rPr>
          <m:t>⋅</m:t>
        </m:r>
        <m:r>
          <m:t>e</m:t>
        </m:r>
        <m:d>
          <m:dPr>
            <m:begChr m:val="("/>
            <m:endChr m:val=")"/>
            <m:sepChr m:val=""/>
            <m:grow/>
          </m:dPr>
          <m:e>
            <m:sSub>
              <m:e>
                <m:r>
                  <m:t>c</m:t>
                </m:r>
              </m:e>
              <m:sub>
                <m:r>
                  <m:t>k</m:t>
                </m:r>
              </m:sub>
            </m:sSub>
          </m:e>
        </m:d>
        <m:r>
          <m:rPr>
            <m:sty m:val="p"/>
          </m:rPr>
          <m:t>∣</m:t>
        </m:r>
        <m:r>
          <m:rPr>
            <m:sty m:val="p"/>
          </m:rPr>
          <m:t>∑</m:t>
        </m:r>
        <m:sSub>
          <m:e>
            <m:r>
              <m:t>α</m:t>
            </m:r>
          </m:e>
          <m:sub>
            <m:r>
              <m:t>k</m:t>
            </m:r>
          </m:sub>
        </m:sSub>
        <m:r>
          <m:rPr>
            <m:sty m:val="p"/>
          </m:rPr>
          <m:t>=</m:t>
        </m:r>
        <m:r>
          <m:t>1</m:t>
        </m:r>
        <m:r>
          <m:rPr>
            <m:sty m:val="p"/>
          </m:rPr>
          <m:t>,</m:t>
        </m:r>
        <m:sSub>
          <m:e>
            <m:r>
              <m:t>α</m:t>
            </m:r>
          </m:e>
          <m:sub>
            <m:r>
              <m:t>k</m:t>
            </m:r>
          </m:sub>
        </m:sSub>
        <m:r>
          <m:rPr>
            <m:sty m:val="p"/>
          </m:rPr>
          <m:t>≥</m:t>
        </m:r>
        <m:r>
          <m:t>0</m:t>
        </m:r>
        <m:r>
          <m:rPr>
            <m:sty m:val="p"/>
          </m:rPr>
          <m:t>}</m:t>
        </m:r>
      </m:oMath>
      <w:r>
        <w:t xml:space="preserve">, where each token is represented as a continuous mixture of embedding vectors</w:t>
      </w:r>
      <w:r>
        <w:t xml:space="preserve"> </w:t>
      </w:r>
      <w:r>
        <w:rPr>
          <w:vertAlign w:val="superscript"/>
        </w:rPr>
        <w:footnoteReference w:id="19"/>
      </w:r>
      <w:r>
        <w:t xml:space="preserve">. DBS’s key technique is dynamic temperature scaling in the softmax over</w:t>
      </w:r>
      <w:r>
        <w:t xml:space="preserve"> </w:t>
      </w:r>
      <m:oMath>
        <m:r>
          <m:t>α</m:t>
        </m:r>
      </m:oMath>
      <w:r>
        <w:t xml:space="preserve"> </w:t>
      </w:r>
      <w:r>
        <w:t xml:space="preserve">coefficients: when the inversion loss drops below a threshold</w:t>
      </w:r>
      <w:r>
        <w:t xml:space="preserve"> </w:t>
      </w:r>
      <m:oMath>
        <m:r>
          <m:t>β</m:t>
        </m:r>
        <m:r>
          <m:rPr>
            <m:sty m:val="p"/>
          </m:rPr>
          <m:t>′</m:t>
        </m:r>
      </m:oMath>
      <w:r>
        <w:t xml:space="preserve">, the temperature decreases (temperature focusing,</w:t>
      </w:r>
      <w:r>
        <w:t xml:space="preserve"> </w:t>
      </w:r>
      <m:oMath>
        <m:r>
          <m:t>λ</m:t>
        </m:r>
        <m:r>
          <m:rPr>
            <m:sty m:val="p"/>
          </m:rPr>
          <m:t>=</m:t>
        </m:r>
        <m:r>
          <m:t>λ</m:t>
        </m:r>
        <m:r>
          <m:rPr>
            <m:sty m:val="p"/>
          </m:rPr>
          <m:t>/</m:t>
        </m:r>
        <m:r>
          <m:t>c</m:t>
        </m:r>
      </m:oMath>
      <w:r>
        <w:t xml:space="preserve">) to sharpen the distribution; otherwise, it backtracks with Gaussian randomization</w:t>
      </w:r>
      <w:r>
        <w:t xml:space="preserve"> </w:t>
      </w:r>
      <w:fldSimple w:instr="NOTEREF _Ref_Footnote_19 \h \f">
        <w:r>
          <w:rPr>
            <w:vertAlign w:val="superscript"/>
          </w:rPr>
          <w:t>19</w:t>
        </w:r>
      </w:fldSimple>
      <w:r>
        <w:t xml:space="preserve">.</w:t>
      </w:r>
    </w:p>
    <w:p>
      <w:pPr>
        <w:pStyle w:val="BodyText"/>
      </w:pPr>
      <w:r>
        <w:t xml:space="preserve">DBS achieves strong baseline results—up to 23%, 12.2%, and 43.4% higher detection accuracy than ASCC, UAT, and T-Miner respectively on TrojAI R6–8</w:t>
      </w:r>
      <w:r>
        <w:t xml:space="preserve"> </w:t>
      </w:r>
      <w:fldSimple w:instr="NOTEREF _Ref_Footnote_19 \h \f">
        <w:r>
          <w:rPr>
            <w:vertAlign w:val="superscript"/>
          </w:rPr>
          <w:t>19</w:t>
        </w:r>
      </w:fldSimple>
      <w:r>
        <w:t xml:space="preserve">. However, its reliance on a fixed inversion loss threshold of 0.1 to determine trojan status is a critical vulnerability that SemInv addresses; this threshold fails against stealthy semantic triggers and adversarial examples from benign models</w:t>
      </w:r>
      <w:r>
        <w:t xml:space="preserve"> </w:t>
      </w:r>
      <w:r>
        <w:rPr>
          <w:vertAlign w:val="superscript"/>
        </w:rPr>
        <w:footnoteReference w:id="20"/>
      </w:r>
      <w:r>
        <w:t xml:space="preserve">.</w:t>
      </w:r>
    </w:p>
    <w:p>
      <w:pPr>
        <w:pStyle w:val="BodyText"/>
      </w:pPr>
      <w:r>
        <w:rPr>
          <w:bCs/>
          <w:b/>
        </w:rPr>
        <w:t xml:space="preserve">Table 1: Comparative Overview of Trigger Inversion Methods</w:t>
      </w:r>
    </w:p>
    <w:tbl>
      <w:tblPr>
        <w:tblStyle w:val="Table"/>
        <w:tblW w:type="pct" w:w="5000"/>
        <w:tblLook w:firstRow="1" w:lastRow="0" w:firstColumn="0" w:lastColumn="0" w:noHBand="0" w:noVBand="0" w:val="0020"/>
      </w:tblPr>
      <w:tblGrid>
        <w:gridCol w:w="688"/>
        <w:gridCol w:w="1291"/>
        <w:gridCol w:w="1807"/>
        <w:gridCol w:w="1549"/>
        <w:gridCol w:w="1205"/>
        <w:gridCol w:w="1377"/>
      </w:tblGrid>
      <w:tr>
        <w:trPr>
          <w:tblHeader w:val="true"/>
        </w:trPr>
        <w:tc>
          <w:tcPr/>
          <w:p>
            <w:pPr>
              <w:pStyle w:val="Compact"/>
              <w:jc w:val="left"/>
            </w:pPr>
            <w:r>
              <w:t xml:space="preserve">Method</w:t>
            </w:r>
          </w:p>
        </w:tc>
        <w:tc>
          <w:tcPr/>
          <w:p>
            <w:pPr>
              <w:pStyle w:val="Compact"/>
              <w:jc w:val="left"/>
            </w:pPr>
            <w:r>
              <w:t xml:space="preserve">Core Mechanism</w:t>
            </w:r>
          </w:p>
        </w:tc>
        <w:tc>
          <w:tcPr/>
          <w:p>
            <w:pPr>
              <w:pStyle w:val="Compact"/>
              <w:jc w:val="left"/>
            </w:pPr>
            <w:r>
              <w:t xml:space="preserve">Optimization Target</w:t>
            </w:r>
          </w:p>
        </w:tc>
        <w:tc>
          <w:tcPr/>
          <w:p>
            <w:pPr>
              <w:pStyle w:val="Compact"/>
              <w:jc w:val="left"/>
            </w:pPr>
            <w:r>
              <w:t xml:space="preserve">ROC-AUC (TrojAI)</w:t>
            </w:r>
          </w:p>
        </w:tc>
        <w:tc>
          <w:tcPr/>
          <w:p>
            <w:pPr>
              <w:pStyle w:val="Compact"/>
              <w:jc w:val="left"/>
            </w:pPr>
            <w:r>
              <w:t xml:space="preserve">Key Strength</w:t>
            </w:r>
          </w:p>
        </w:tc>
        <w:tc>
          <w:tcPr/>
          <w:p>
            <w:pPr>
              <w:pStyle w:val="Compact"/>
              <w:jc w:val="left"/>
            </w:pPr>
            <w:r>
              <w:t xml:space="preserve">Key Limitation</w:t>
            </w:r>
          </w:p>
        </w:tc>
      </w:tr>
      <w:tr>
        <w:tc>
          <w:tcPr/>
          <w:p>
            <w:pPr>
              <w:pStyle w:val="Compact"/>
              <w:jc w:val="left"/>
            </w:pPr>
            <w:r>
              <w:t xml:space="preserve">PICCOLO</w:t>
            </w:r>
            <w:r>
              <w:t xml:space="preserve"> </w:t>
            </w:r>
            <w:fldSimple w:instr="NOTEREF _Ref_Footnote_7 \h \f">
              <w:r>
                <w:rPr>
                  <w:vertAlign w:val="superscript"/>
                </w:rPr>
                <w:t>7</w:t>
              </w:r>
            </w:fldSimple>
          </w:p>
        </w:tc>
        <w:tc>
          <w:tcPr/>
          <w:p>
            <w:pPr>
              <w:pStyle w:val="Compact"/>
              <w:jc w:val="left"/>
            </w:pPr>
            <w:r>
              <w:t xml:space="preserve">Equivalent differentiable transformation + word discriminativity analysis</w:t>
            </w:r>
          </w:p>
        </w:tc>
        <w:tc>
          <w:tcPr/>
          <w:p>
            <w:pPr>
              <w:pStyle w:val="Compact"/>
              <w:jc w:val="left"/>
            </w:pPr>
            <w:r>
              <w:t xml:space="preserve">Word vector distribution over vocabulary</w:t>
            </w:r>
          </w:p>
        </w:tc>
        <w:tc>
          <w:tcPr/>
          <w:p>
            <w:pPr>
              <w:pStyle w:val="Compact"/>
              <w:jc w:val="left"/>
            </w:pPr>
            <w:r>
              <w:t xml:space="preserve">~0.90 (R5–7)</w:t>
            </w:r>
          </w:p>
        </w:tc>
        <w:tc>
          <w:tcPr/>
          <w:p>
            <w:pPr>
              <w:pStyle w:val="Compact"/>
              <w:jc w:val="left"/>
            </w:pPr>
            <w:r>
              <w:t xml:space="preserve">Handles complex triggers; no training needed; theoretical grounding</w:t>
            </w:r>
          </w:p>
        </w:tc>
        <w:tc>
          <w:tcPr/>
          <w:p>
            <w:pPr>
              <w:pStyle w:val="Compact"/>
              <w:jc w:val="left"/>
            </w:pPr>
            <w:r>
              <w:t xml:space="preserve">May miss very long phrase triggers; requires white-box access</w:t>
            </w:r>
          </w:p>
        </w:tc>
      </w:tr>
      <w:tr>
        <w:tc>
          <w:tcPr/>
          <w:p>
            <w:pPr>
              <w:pStyle w:val="Compact"/>
              <w:jc w:val="left"/>
            </w:pPr>
            <w:r>
              <w:t xml:space="preserve">SemInv</w:t>
            </w:r>
            <w:r>
              <w:t xml:space="preserve"> </w:t>
            </w:r>
            <w:fldSimple w:instr="NOTEREF _Ref_Footnote_17 \h \f">
              <w:r>
                <w:rPr>
                  <w:vertAlign w:val="superscript"/>
                </w:rPr>
                <w:t>17</w:t>
              </w:r>
            </w:fldSimple>
          </w:p>
        </w:tc>
        <w:tc>
          <w:tcPr/>
          <w:p>
            <w:pPr>
              <w:pStyle w:val="Compact"/>
              <w:jc w:val="left"/>
            </w:pPr>
            <w:r>
              <w:t xml:space="preserve">Consistent Semantics Regularization + Identifiable Condition Inspection</w:t>
            </w:r>
          </w:p>
        </w:tc>
        <w:tc>
          <w:tcPr/>
          <w:p>
            <w:pPr>
              <w:pStyle w:val="Compact"/>
              <w:jc w:val="left"/>
            </w:pPr>
            <w:r>
              <w:t xml:space="preserve">Perplexity-constrained trigger reconstruction</w:t>
            </w:r>
          </w:p>
        </w:tc>
        <w:tc>
          <w:tcPr/>
          <w:p>
            <w:pPr>
              <w:pStyle w:val="Compact"/>
              <w:jc w:val="left"/>
            </w:pPr>
            <w:r>
              <w:t xml:space="preserve">Outperforms baselines (R6–8)</w:t>
            </w:r>
          </w:p>
        </w:tc>
        <w:tc>
          <w:tcPr/>
          <w:p>
            <w:pPr>
              <w:pStyle w:val="Compact"/>
              <w:jc w:val="left"/>
            </w:pPr>
            <w:r>
              <w:t xml:space="preserve">Recovers stealthy semantic triggers; robust statistical determination</w:t>
            </w:r>
          </w:p>
        </w:tc>
        <w:tc>
          <w:tcPr/>
          <w:p>
            <w:pPr>
              <w:pStyle w:val="Compact"/>
              <w:jc w:val="left"/>
            </w:pPr>
            <w:r>
              <w:t xml:space="preserve">White-box only; higher computational cost</w:t>
            </w:r>
          </w:p>
        </w:tc>
      </w:tr>
      <w:tr>
        <w:tc>
          <w:tcPr/>
          <w:p>
            <w:pPr>
              <w:pStyle w:val="Compact"/>
              <w:jc w:val="left"/>
            </w:pPr>
            <w:r>
              <w:t xml:space="preserve">DBS</w:t>
            </w:r>
            <w:r>
              <w:t xml:space="preserve"> </w:t>
            </w:r>
            <w:fldSimple w:instr="NOTEREF _Ref_Footnote_19 \h \f">
              <w:r>
                <w:rPr>
                  <w:vertAlign w:val="superscript"/>
                </w:rPr>
                <w:t>19</w:t>
              </w:r>
            </w:fldSimple>
          </w:p>
        </w:tc>
        <w:tc>
          <w:tcPr/>
          <w:p>
            <w:pPr>
              <w:pStyle w:val="Compact"/>
              <w:jc w:val="left"/>
            </w:pPr>
            <w:r>
              <w:t xml:space="preserve">Convex hull relaxation + dynamic temperature scaling</w:t>
            </w:r>
          </w:p>
        </w:tc>
        <w:tc>
          <w:tcPr/>
          <w:p>
            <w:pPr>
              <w:pStyle w:val="Compact"/>
              <w:jc w:val="left"/>
            </w:pPr>
            <w:r>
              <w:t xml:space="preserve">Continuous token mixture with temperature annealing</w:t>
            </w:r>
          </w:p>
        </w:tc>
        <w:tc>
          <w:tcPr/>
          <w:p>
            <w:pPr>
              <w:pStyle w:val="Compact"/>
              <w:jc w:val="left"/>
            </w:pPr>
            <w:r>
              <w:t xml:space="preserve">Baseline ~0.70</w:t>
            </w:r>
          </w:p>
        </w:tc>
        <w:tc>
          <w:tcPr/>
          <w:p>
            <w:pPr>
              <w:pStyle w:val="Compact"/>
              <w:jc w:val="left"/>
            </w:pPr>
            <w:r>
              <w:t xml:space="preserve">Effective discrete-to-continuous optimization</w:t>
            </w:r>
          </w:p>
        </w:tc>
        <w:tc>
          <w:tcPr/>
          <w:p>
            <w:pPr>
              <w:pStyle w:val="Compact"/>
              <w:jc w:val="left"/>
            </w:pPr>
            <w:r>
              <w:t xml:space="preserve">Fixed loss threshold (0.1) fails against semantic triggers</w:t>
            </w:r>
          </w:p>
        </w:tc>
      </w:tr>
      <w:tr>
        <w:tc>
          <w:tcPr/>
          <w:p>
            <w:pPr>
              <w:pStyle w:val="Compact"/>
              <w:jc w:val="left"/>
            </w:pPr>
            <w:r>
              <w:t xml:space="preserve">Neural Cleanse</w:t>
            </w:r>
            <w:r>
              <w:t xml:space="preserve"> </w:t>
            </w:r>
            <w:r>
              <w:rPr>
                <w:vertAlign w:val="superscript"/>
              </w:rPr>
              <w:footnoteReference w:id="21"/>
            </w:r>
          </w:p>
        </w:tc>
        <w:tc>
          <w:tcPr/>
          <w:p>
            <w:pPr>
              <w:pStyle w:val="Compact"/>
              <w:jc w:val="left"/>
            </w:pPr>
            <w:r>
              <w:t xml:space="preserve">MAD-based anomaly detection on trigger size</w:t>
            </w:r>
          </w:p>
        </w:tc>
        <w:tc>
          <w:tcPr/>
          <w:p>
            <w:pPr>
              <w:pStyle w:val="Compact"/>
              <w:jc w:val="left"/>
            </w:pPr>
            <w:r>
              <w:t xml:space="preserve">Minimum perturbation per class</w:t>
            </w:r>
          </w:p>
        </w:tc>
        <w:tc>
          <w:tcPr/>
          <w:p>
            <w:pPr>
              <w:pStyle w:val="Compact"/>
              <w:jc w:val="left"/>
            </w:pPr>
            <w:r>
              <w:t xml:space="preserve">Fails on NLP semantic backdoors</w:t>
            </w:r>
            <w:r>
              <w:t xml:space="preserve"> </w:t>
            </w:r>
            <w:r>
              <w:rPr>
                <w:vertAlign w:val="superscript"/>
              </w:rPr>
              <w:footnoteReference w:id="22"/>
            </w:r>
          </w:p>
        </w:tc>
        <w:tc>
          <w:tcPr/>
          <w:p>
            <w:pPr>
              <w:pStyle w:val="Compact"/>
              <w:jc w:val="left"/>
            </w:pPr>
            <w:r>
              <w:t xml:space="preserve">Simple; interpretable</w:t>
            </w:r>
          </w:p>
        </w:tc>
        <w:tc>
          <w:tcPr/>
          <w:p>
            <w:pPr>
              <w:pStyle w:val="Compact"/>
              <w:jc w:val="left"/>
            </w:pPr>
            <w:r>
              <w:t xml:space="preserve">Assumes triggers are small; fails on natural-sized linguistic triggers</w:t>
            </w:r>
          </w:p>
        </w:tc>
      </w:tr>
      <w:tr>
        <w:tc>
          <w:tcPr/>
          <w:p>
            <w:pPr>
              <w:pStyle w:val="Compact"/>
              <w:jc w:val="left"/>
            </w:pPr>
            <w:r>
              <w:t xml:space="preserve">MNTD</w:t>
            </w:r>
            <w:r>
              <w:t xml:space="preserve"> </w:t>
            </w:r>
            <w:r>
              <w:rPr>
                <w:vertAlign w:val="superscript"/>
              </w:rPr>
              <w:footnoteReference w:id="23"/>
            </w:r>
          </w:p>
        </w:tc>
        <w:tc>
          <w:tcPr/>
          <w:p>
            <w:pPr>
              <w:pStyle w:val="Compact"/>
              <w:jc w:val="left"/>
            </w:pPr>
            <w:r>
              <w:t xml:space="preserve">Meta-classifier on model weights</w:t>
            </w:r>
          </w:p>
        </w:tc>
        <w:tc>
          <w:tcPr/>
          <w:p>
            <w:pPr>
              <w:pStyle w:val="Compact"/>
              <w:jc w:val="left"/>
            </w:pPr>
            <w:r>
              <w:t xml:space="preserve">Shadow model training for detection</w:t>
            </w:r>
          </w:p>
        </w:tc>
        <w:tc>
          <w:tcPr/>
          <w:p>
            <w:pPr>
              <w:pStyle w:val="Compact"/>
              <w:jc w:val="left"/>
            </w:pPr>
            <w:r>
              <w:t xml:space="preserve">90%+ vs. adaptive attacks</w:t>
            </w:r>
          </w:p>
        </w:tc>
        <w:tc>
          <w:tcPr/>
          <w:p>
            <w:pPr>
              <w:pStyle w:val="Compact"/>
              <w:jc w:val="left"/>
            </w:pPr>
            <w:r>
              <w:t xml:space="preserve">No attack assumptions; black-box capable</w:t>
            </w:r>
          </w:p>
        </w:tc>
        <w:tc>
          <w:tcPr/>
          <w:p>
            <w:pPr>
              <w:pStyle w:val="Compact"/>
              <w:jc w:val="left"/>
            </w:pPr>
            <w:r>
              <w:t xml:space="preserve">Requires thousands of shadow models</w:t>
            </w:r>
          </w:p>
        </w:tc>
      </w:tr>
    </w:tbl>
    <w:p>
      <w:pPr>
        <w:pStyle w:val="BodyText"/>
      </w:pPr>
      <w:r>
        <w:t xml:space="preserve">The analytical comparison in Table 1 reveals a clear progression: earlier methods (Neural Cleanse, MNTD) rely on assumptions about trigger characteristics (small size, model weight signatures) that do not hold for NLP semantic backdoors, while PICCOLO, SemInv, and DBS operate directly on the input-output behavior of the model. For CTF applications, the practical implication is that SemInv’s semantic regularization offers the best balance of inversion quality and robustness when the trigger is likely to be linguistic in nature—as it is in a challenge themed around Portuguese poetry.</w:t>
      </w:r>
    </w:p>
    <w:bookmarkEnd w:id="30"/>
    <w:bookmarkEnd w:id="31"/>
    <w:bookmarkStart w:id="35" w:name="universal-adversarial-triggers"/>
    <w:p>
      <w:pPr>
        <w:pStyle w:val="Heading3"/>
      </w:pPr>
      <w:r>
        <w:t xml:space="preserve">2.2 Universal Adversarial Triggers</w:t>
      </w:r>
    </w:p>
    <w:p>
      <w:pPr>
        <w:pStyle w:val="FirstParagraph"/>
      </w:pPr>
      <w:r>
        <w:t xml:space="preserve">While trigger inversion detects existing backdoors, adversarial trigger generation actively constructs input sequences that force a model to produce arbitrary outputs—a capability directly applicable to flag extraction.</w:t>
      </w:r>
    </w:p>
    <w:bookmarkStart w:id="32" w:name="X942b94384d15631ef605fa95281b1984e1882f1"/>
    <w:p>
      <w:pPr>
        <w:pStyle w:val="Heading4"/>
      </w:pPr>
      <w:r>
        <w:t xml:space="preserve">2.2.1 Gradient-Based Trigger Generation and GCG Discrete Optimization</w:t>
      </w:r>
    </w:p>
    <w:p>
      <w:pPr>
        <w:pStyle w:val="FirstParagraph"/>
      </w:pPr>
      <w:r>
        <w:t xml:space="preserve">Wallace et al. (EMNLP 2019) introduced the concept of universal adversarial triggers: short, input-agnostic phrases appended to any input that consistently cause a target prediction</w:t>
      </w:r>
      <w:r>
        <w:t xml:space="preserve"> </w:t>
      </w:r>
      <w:r>
        <w:rPr>
          <w:vertAlign w:val="superscript"/>
        </w:rPr>
        <w:footnoteReference w:id="24"/>
      </w:r>
      <w:r>
        <w:t xml:space="preserve">. The method initializes triggers with placeholder tokens (e.g., repeated instances of</w:t>
      </w:r>
      <w:r>
        <w:t xml:space="preserve"> </w:t>
      </w:r>
      <w:r>
        <w:t xml:space="preserve">“</w:t>
      </w:r>
      <w:r>
        <w:t xml:space="preserve">the</w:t>
      </w:r>
      <w:r>
        <w:t xml:space="preserve">”</w:t>
      </w:r>
      <w:r>
        <w:t xml:space="preserve">) and iteratively updates them via gradient descent in the embedding space, mapping continuous gradients to discrete tokens via nearest-neighbor projection. These triggers successfully attacked GPT-2, sentiment analysis, NLI, and QA models with triggers as short as a single word</w:t>
      </w:r>
      <w:r>
        <w:t xml:space="preserve"> </w:t>
      </w:r>
      <w:fldSimple w:instr="NOTEREF _Ref_Footnote_24 \h \f">
        <w:r>
          <w:rPr>
            <w:vertAlign w:val="superscript"/>
          </w:rPr>
          <w:t>24</w:t>
        </w:r>
      </w:fldSimple>
      <w:r>
        <w:t xml:space="preserve">.</w:t>
      </w:r>
    </w:p>
    <w:p>
      <w:pPr>
        <w:pStyle w:val="BodyText"/>
      </w:pPr>
      <w:r>
        <w:t xml:space="preserve">Greedy Coordinate Gradient (GCG) extends this framework with a more efficient discrete optimization strategy. GCG iteratively optimizes adversarial suffix tokens by computing gradients with respect to the one-hot token representation, selecting replacement tokens that maximize the adversarial loss</w:t>
      </w:r>
      <w:r>
        <w:t xml:space="preserve"> </w:t>
      </w:r>
      <w:r>
        <w:rPr>
          <w:vertAlign w:val="superscript"/>
        </w:rPr>
        <w:footnoteReference w:id="25"/>
      </w:r>
      <w:r>
        <w:t xml:space="preserve">. The MAGIC enhancement (COLING 2025) further improves GCG by analyzing the indirect effect between gradient values and updated token indexes, demonstrating that replacing tokens with negative gradient values fails to reduce adversarial loss; MAGIC therefore selects only tokens with positive gradient values for multi-coordinate updates</w:t>
      </w:r>
      <w:r>
        <w:t xml:space="preserve"> </w:t>
      </w:r>
      <w:r>
        <w:rPr>
          <w:vertAlign w:val="superscript"/>
        </w:rPr>
        <w:footnoteReference w:id="26"/>
      </w:r>
      <w:r>
        <w:t xml:space="preserve">.</w:t>
      </w:r>
    </w:p>
    <w:p>
      <w:pPr>
        <w:pStyle w:val="BodyText"/>
      </w:pPr>
      <w:r>
        <w:t xml:space="preserve">For Ode Triunfal, GCG could be deployed to search for trigger sequences that maximize the probability of flag-character outputs after</w:t>
      </w:r>
      <w:r>
        <w:t xml:space="preserve"> </w:t>
      </w:r>
      <w:r>
        <w:rPr>
          <w:rStyle w:val="VerbatimChar"/>
        </w:rPr>
        <w:t xml:space="preserve">{</w:t>
      </w:r>
      <w:r>
        <w:t xml:space="preserve">. The model’s small size (50M parameters) makes gradient-based optimization computationally feasible, unlike the cost-prohibitive scaling to models like GPT-4.</w:t>
      </w:r>
    </w:p>
    <w:bookmarkEnd w:id="32"/>
    <w:bookmarkStart w:id="33" w:name="X712526908859f7c65cf39739f33566cb3b5bedc"/>
    <w:p>
      <w:pPr>
        <w:pStyle w:val="Heading4"/>
      </w:pPr>
      <w:r>
        <w:t xml:space="preserve">2.2.2 Multi-Token and Context-Dependent Triggers</w:t>
      </w:r>
    </w:p>
    <w:p>
      <w:pPr>
        <w:pStyle w:val="FirstParagraph"/>
      </w:pPr>
      <w:r>
        <w:t xml:space="preserve">Instruction-level backdoors represent a significant evolution in trigger sophistication. Xu et al. demonstrated that an attacker can inject backdoors using only ~1,000 malicious tokens as task instructions, achieving over 90% attack success rate across four NLP datasets without modifying data instances or labels themselves</w:t>
      </w:r>
      <w:r>
        <w:t xml:space="preserve"> </w:t>
      </w:r>
      <w:r>
        <w:rPr>
          <w:vertAlign w:val="superscript"/>
        </w:rPr>
        <w:footnoteReference w:id="27"/>
      </w:r>
      <w:r>
        <w:t xml:space="preserve"> </w:t>
      </w:r>
      <w:fldSimple w:instr="NOTEREF _Ref_Footnote_22 \h \f">
        <w:r>
          <w:rPr>
            <w:vertAlign w:val="superscript"/>
          </w:rPr>
          <w:t>22</w:t>
        </w:r>
      </w:fldSimple>
      <w:r>
        <w:t xml:space="preserve">. These poisons transfer zero-shot to 15 diverse generative datasets—a property the authors term</w:t>
      </w:r>
      <w:r>
        <w:t xml:space="preserve"> </w:t>
      </w:r>
      <w:r>
        <w:t xml:space="preserve">“</w:t>
      </w:r>
      <w:r>
        <w:t xml:space="preserve">instruction transfer</w:t>
      </w:r>
      <w:r>
        <w:t xml:space="preserve">”</w:t>
      </w:r>
      <w:r>
        <w:t xml:space="preserve"> </w:t>
      </w:r>
      <w:r>
        <w:t xml:space="preserve">that makes such attacks particularly insidious</w:t>
      </w:r>
      <w:r>
        <w:t xml:space="preserve"> </w:t>
      </w:r>
      <w:fldSimple w:instr="NOTEREF _Ref_Footnote_22 \h \f">
        <w:r>
          <w:rPr>
            <w:vertAlign w:val="superscript"/>
          </w:rPr>
          <w:t>22</w:t>
        </w:r>
      </w:fldSimple>
      <w:r>
        <w:t xml:space="preserve">.</w:t>
      </w:r>
    </w:p>
    <w:p>
      <w:pPr>
        <w:pStyle w:val="BodyText"/>
      </w:pPr>
      <w:r>
        <w:t xml:space="preserve">Zhang et al. (USENIX Security 2024) extended this to customized LLMs (e.g., GPTs) with three progressive levels of stealthiness: word-level, syntax-level, and semantic-level backdoors, all achievable without fine-tuning</w:t>
      </w:r>
      <w:r>
        <w:t xml:space="preserve"> </w:t>
      </w:r>
      <w:r>
        <w:rPr>
          <w:vertAlign w:val="superscript"/>
        </w:rPr>
        <w:footnoteReference w:id="28"/>
      </w:r>
      <w:r>
        <w:t xml:space="preserve">. Semantic-level attacks are the stealthiest—the trigger is the meaning of the sentence itself, requiring no changes to input text. Chen et al. (AsiaCCS 2024) further demonstrated that multi-turn conversation backdoors using natural interjections (</w:t>
      </w:r>
      <w:r>
        <w:t xml:space="preserve">“</w:t>
      </w:r>
      <w:r>
        <w:t xml:space="preserve">aha</w:t>
      </w:r>
      <w:r>
        <w:t xml:space="preserve">”</w:t>
      </w:r>
      <w:r>
        <w:t xml:space="preserve">,</w:t>
      </w:r>
      <w:r>
        <w:t xml:space="preserve"> </w:t>
      </w:r>
      <w:r>
        <w:t xml:space="preserve">“</w:t>
      </w:r>
      <w:r>
        <w:t xml:space="preserve">haha</w:t>
      </w:r>
      <w:r>
        <w:t xml:space="preserve">”</w:t>
      </w:r>
      <w:r>
        <w:t xml:space="preserve">,</w:t>
      </w:r>
      <w:r>
        <w:t xml:space="preserve"> </w:t>
      </w:r>
      <w:r>
        <w:t xml:space="preserve">“</w:t>
      </w:r>
      <w:r>
        <w:t xml:space="preserve">!</w:t>
      </w:r>
      <w:r>
        <w:t xml:space="preserve">”</w:t>
      </w:r>
      <w:r>
        <w:t xml:space="preserve">) achieve 96–100% attack success rate with poisoning rates as low as 1% while maintaining normal perplexity</w:t>
      </w:r>
      <w:r>
        <w:t xml:space="preserve"> </w:t>
      </w:r>
      <w:r>
        <w:rPr>
          <w:vertAlign w:val="superscript"/>
        </w:rPr>
        <w:footnoteReference w:id="29"/>
      </w:r>
      <w:r>
        <w:t xml:space="preserve">.</w:t>
      </w:r>
    </w:p>
    <w:p>
      <w:pPr>
        <w:pStyle w:val="BodyText"/>
      </w:pPr>
      <w:r>
        <w:t xml:space="preserve">Multi-token triggers present a particular challenge for extraction. Research on partial trigger robustness indicates that while CNN-based vision backdoors are robust to partial triggers (a fraction of the trigger pattern still activates), NLP instruction backdoors show significantly reduced ASR when only a subset of trigger tokens is present</w:t>
      </w:r>
      <w:r>
        <w:t xml:space="preserve"> </w:t>
      </w:r>
      <w:r>
        <w:rPr>
          <w:vertAlign w:val="superscript"/>
        </w:rPr>
        <w:footnoteReference w:id="30"/>
      </w:r>
      <w:r>
        <w:t xml:space="preserve">. This suggests that if the Ode Triunfal flag requires a multi-token trigger, all components must be present simultaneously—guessing individual keywords is insufficient.</w:t>
      </w:r>
    </w:p>
    <w:p>
      <w:pPr>
        <w:pStyle w:val="BodyText"/>
      </w:pPr>
      <w:r>
        <w:rPr>
          <w:bCs/>
          <w:b/>
        </w:rPr>
        <w:t xml:space="preserve">Table 2: Taxonomy of Trigger Types and Extraction Difficulty</w:t>
      </w:r>
    </w:p>
    <w:tbl>
      <w:tblPr>
        <w:tblStyle w:val="Table"/>
        <w:tblW w:type="pct" w:w="5000"/>
        <w:tblLook w:firstRow="1" w:lastRow="0" w:firstColumn="0" w:lastColumn="0" w:noHBand="0" w:noVBand="0" w:val="0020"/>
      </w:tblPr>
      <w:tblGrid>
        <w:gridCol w:w="1354"/>
        <w:gridCol w:w="937"/>
        <w:gridCol w:w="1146"/>
        <w:gridCol w:w="2292"/>
        <w:gridCol w:w="2188"/>
      </w:tblGrid>
      <w:tr>
        <w:trPr>
          <w:tblHeader w:val="true"/>
        </w:trPr>
        <w:tc>
          <w:tcPr/>
          <w:p>
            <w:pPr>
              <w:pStyle w:val="Compact"/>
              <w:jc w:val="left"/>
            </w:pPr>
            <w:r>
              <w:t xml:space="preserve">Trigger Type</w:t>
            </w:r>
          </w:p>
        </w:tc>
        <w:tc>
          <w:tcPr/>
          <w:p>
            <w:pPr>
              <w:pStyle w:val="Compact"/>
              <w:jc w:val="left"/>
            </w:pPr>
            <w:r>
              <w:t xml:space="preserve">Example</w:t>
            </w:r>
          </w:p>
        </w:tc>
        <w:tc>
          <w:tcPr/>
          <w:p>
            <w:pPr>
              <w:pStyle w:val="Compact"/>
              <w:jc w:val="left"/>
            </w:pPr>
            <w:r>
              <w:t xml:space="preserve">ASR Range</w:t>
            </w:r>
          </w:p>
        </w:tc>
        <w:tc>
          <w:tcPr/>
          <w:p>
            <w:pPr>
              <w:pStyle w:val="Compact"/>
              <w:jc w:val="left"/>
            </w:pPr>
            <w:r>
              <w:t xml:space="preserve">Extraction Difficulty</w:t>
            </w:r>
          </w:p>
        </w:tc>
        <w:tc>
          <w:tcPr/>
          <w:p>
            <w:pPr>
              <w:pStyle w:val="Compact"/>
              <w:jc w:val="left"/>
            </w:pPr>
            <w:r>
              <w:t xml:space="preserve">Key Detection Method</w:t>
            </w:r>
          </w:p>
        </w:tc>
      </w:tr>
      <w:tr>
        <w:tc>
          <w:tcPr/>
          <w:p>
            <w:pPr>
              <w:pStyle w:val="Compact"/>
              <w:jc w:val="left"/>
            </w:pPr>
            <w:r>
              <w:t xml:space="preserve">Rare word (single token)</w:t>
            </w:r>
          </w:p>
        </w:tc>
        <w:tc>
          <w:tcPr/>
          <w:p>
            <w:pPr>
              <w:pStyle w:val="Compact"/>
              <w:jc w:val="left"/>
            </w:pPr>
            <w:r>
              <w:t xml:space="preserve">“</w:t>
            </w:r>
            <w:r>
              <w:t xml:space="preserve">cf</w:t>
            </w:r>
            <w:r>
              <w:t xml:space="preserve">”</w:t>
            </w:r>
            <w:r>
              <w:t xml:space="preserve">,</w:t>
            </w:r>
            <w:r>
              <w:t xml:space="preserve"> </w:t>
            </w:r>
            <w:r>
              <w:t xml:space="preserve">“</w:t>
            </w:r>
            <w:r>
              <w:t xml:space="preserve">mb</w:t>
            </w:r>
            <w:r>
              <w:t xml:space="preserve">”</w:t>
            </w:r>
            <w:r>
              <w:t xml:space="preserve">,</w:t>
            </w:r>
            <w:r>
              <w:t xml:space="preserve"> </w:t>
            </w:r>
            <w:r>
              <w:t xml:space="preserve">“</w:t>
            </w:r>
            <w:r>
              <w:t xml:space="preserve">bb</w:t>
            </w:r>
            <w:r>
              <w:t xml:space="preserve">”</w:t>
            </w:r>
            <w:r>
              <w:t xml:space="preserve"> </w:t>
            </w:r>
            <w:r>
              <w:rPr>
                <w:vertAlign w:val="superscript"/>
              </w:rPr>
              <w:footnoteReference w:id="31"/>
            </w:r>
          </w:p>
        </w:tc>
        <w:tc>
          <w:tcPr/>
          <w:p>
            <w:pPr>
              <w:pStyle w:val="Compact"/>
              <w:jc w:val="left"/>
            </w:pPr>
            <w:r>
              <w:t xml:space="preserve">&gt;95%</w:t>
            </w:r>
          </w:p>
        </w:tc>
        <w:tc>
          <w:tcPr/>
          <w:p>
            <w:pPr>
              <w:pStyle w:val="Compact"/>
              <w:jc w:val="left"/>
            </w:pPr>
            <w:r>
              <w:t xml:space="preserve">Low</w:t>
            </w:r>
          </w:p>
        </w:tc>
        <w:tc>
          <w:tcPr/>
          <w:p>
            <w:pPr>
              <w:pStyle w:val="Compact"/>
              <w:jc w:val="left"/>
            </w:pPr>
            <w:r>
              <w:t xml:space="preserve">PICCOLO word discriminativity</w:t>
            </w:r>
            <w:r>
              <w:t xml:space="preserve"> </w:t>
            </w:r>
            <w:fldSimple w:instr="NOTEREF _Ref_Footnote_7 \h \f">
              <w:r>
                <w:rPr>
                  <w:vertAlign w:val="superscript"/>
                </w:rPr>
                <w:t>7</w:t>
              </w:r>
            </w:fldSimple>
          </w:p>
        </w:tc>
      </w:tr>
      <w:tr>
        <w:tc>
          <w:tcPr/>
          <w:p>
            <w:pPr>
              <w:pStyle w:val="Compact"/>
              <w:jc w:val="left"/>
            </w:pPr>
            <w:r>
              <w:t xml:space="preserve">Multi-word phrase</w:t>
            </w:r>
          </w:p>
        </w:tc>
        <w:tc>
          <w:tcPr/>
          <w:p>
            <w:pPr>
              <w:pStyle w:val="Compact"/>
              <w:jc w:val="left"/>
            </w:pPr>
            <w:r>
              <w:t xml:space="preserve">“</w:t>
            </w:r>
            <w:r>
              <w:t xml:space="preserve">practice makes perfect</w:t>
            </w:r>
            <w:r>
              <w:t xml:space="preserve">”</w:t>
            </w:r>
            <w:r>
              <w:t xml:space="preserve"> </w:t>
            </w:r>
            <w:r>
              <w:rPr>
                <w:vertAlign w:val="superscript"/>
              </w:rPr>
              <w:footnoteReference w:id="32"/>
            </w:r>
          </w:p>
        </w:tc>
        <w:tc>
          <w:tcPr/>
          <w:p>
            <w:pPr>
              <w:pStyle w:val="Compact"/>
              <w:jc w:val="left"/>
            </w:pPr>
            <w:r>
              <w:t xml:space="preserve">90–95%</w:t>
            </w:r>
          </w:p>
        </w:tc>
        <w:tc>
          <w:tcPr/>
          <w:p>
            <w:pPr>
              <w:pStyle w:val="Compact"/>
              <w:jc w:val="left"/>
            </w:pPr>
            <w:r>
              <w:t xml:space="preserve">Medium</w:t>
            </w:r>
          </w:p>
        </w:tc>
        <w:tc>
          <w:tcPr/>
          <w:p>
            <w:pPr>
              <w:pStyle w:val="Compact"/>
              <w:jc w:val="left"/>
            </w:pPr>
            <w:r>
              <w:t xml:space="preserve">GCG discrete optimization</w:t>
            </w:r>
            <w:r>
              <w:t xml:space="preserve"> </w:t>
            </w:r>
            <w:fldSimple w:instr="NOTEREF _Ref_Footnote_25 \h \f">
              <w:r>
                <w:rPr>
                  <w:vertAlign w:val="superscript"/>
                </w:rPr>
                <w:t>25</w:t>
              </w:r>
            </w:fldSimple>
          </w:p>
        </w:tc>
      </w:tr>
      <w:tr>
        <w:tc>
          <w:tcPr/>
          <w:p>
            <w:pPr>
              <w:pStyle w:val="Compact"/>
              <w:jc w:val="left"/>
            </w:pPr>
            <w:r>
              <w:t xml:space="preserve">Instruction-level</w:t>
            </w:r>
          </w:p>
        </w:tc>
        <w:tc>
          <w:tcPr/>
          <w:p>
            <w:pPr>
              <w:pStyle w:val="Compact"/>
              <w:jc w:val="left"/>
            </w:pPr>
            <w:r>
              <w:t xml:space="preserve">Poisoned task description</w:t>
            </w:r>
            <w:r>
              <w:t xml:space="preserve"> </w:t>
            </w:r>
            <w:fldSimple w:instr="NOTEREF _Ref_Footnote_27 \h \f">
              <w:r>
                <w:rPr>
                  <w:vertAlign w:val="superscript"/>
                </w:rPr>
                <w:t>27</w:t>
              </w:r>
            </w:fldSimple>
          </w:p>
        </w:tc>
        <w:tc>
          <w:tcPr/>
          <w:p>
            <w:pPr>
              <w:pStyle w:val="Compact"/>
              <w:jc w:val="left"/>
            </w:pPr>
            <w:r>
              <w:t xml:space="preserve">&gt;90%</w:t>
            </w:r>
          </w:p>
        </w:tc>
        <w:tc>
          <w:tcPr/>
          <w:p>
            <w:pPr>
              <w:pStyle w:val="Compact"/>
              <w:jc w:val="left"/>
            </w:pPr>
            <w:r>
              <w:t xml:space="preserve">High</w:t>
            </w:r>
          </w:p>
        </w:tc>
        <w:tc>
          <w:tcPr/>
          <w:p>
            <w:pPr>
              <w:pStyle w:val="Compact"/>
              <w:jc w:val="left"/>
            </w:pPr>
            <w:r>
              <w:t xml:space="preserve">SemInv semantics regularization</w:t>
            </w:r>
            <w:r>
              <w:t xml:space="preserve"> </w:t>
            </w:r>
            <w:fldSimple w:instr="NOTEREF _Ref_Footnote_17 \h \f">
              <w:r>
                <w:rPr>
                  <w:vertAlign w:val="superscript"/>
                </w:rPr>
                <w:t>17</w:t>
              </w:r>
            </w:fldSimple>
          </w:p>
        </w:tc>
      </w:tr>
      <w:tr>
        <w:tc>
          <w:tcPr/>
          <w:p>
            <w:pPr>
              <w:pStyle w:val="Compact"/>
              <w:jc w:val="left"/>
            </w:pPr>
            <w:r>
              <w:t xml:space="preserve">Semantic/style</w:t>
            </w:r>
          </w:p>
        </w:tc>
        <w:tc>
          <w:tcPr/>
          <w:p>
            <w:pPr>
              <w:pStyle w:val="Compact"/>
              <w:jc w:val="left"/>
            </w:pPr>
            <w:r>
              <w:t xml:space="preserve">Poetry style, biblical language</w:t>
            </w:r>
            <w:r>
              <w:t xml:space="preserve"> </w:t>
            </w:r>
            <w:fldSimple w:instr="NOTEREF _Ref_Footnote_32 \h \f">
              <w:r>
                <w:rPr>
                  <w:vertAlign w:val="superscript"/>
                </w:rPr>
                <w:t>32</w:t>
              </w:r>
            </w:fldSimple>
          </w:p>
        </w:tc>
        <w:tc>
          <w:tcPr/>
          <w:p>
            <w:pPr>
              <w:pStyle w:val="Compact"/>
              <w:jc w:val="left"/>
            </w:pPr>
            <w:r>
              <w:t xml:space="preserve">85–95%</w:t>
            </w:r>
          </w:p>
        </w:tc>
        <w:tc>
          <w:tcPr/>
          <w:p>
            <w:pPr>
              <w:pStyle w:val="Compact"/>
              <w:jc w:val="left"/>
            </w:pPr>
            <w:r>
              <w:t xml:space="preserve">Very high</w:t>
            </w:r>
          </w:p>
        </w:tc>
        <w:tc>
          <w:tcPr/>
          <w:p>
            <w:pPr>
              <w:pStyle w:val="Compact"/>
              <w:jc w:val="left"/>
            </w:pPr>
            <w:r>
              <w:t xml:space="preserve">SemInv perplexity constraint</w:t>
            </w:r>
            <w:r>
              <w:t xml:space="preserve"> </w:t>
            </w:r>
            <w:fldSimple w:instr="NOTEREF _Ref_Footnote_17 \h \f">
              <w:r>
                <w:rPr>
                  <w:vertAlign w:val="superscript"/>
                </w:rPr>
                <w:t>17</w:t>
              </w:r>
            </w:fldSimple>
          </w:p>
        </w:tc>
      </w:tr>
      <w:tr>
        <w:tc>
          <w:tcPr/>
          <w:p>
            <w:pPr>
              <w:pStyle w:val="Compact"/>
              <w:jc w:val="left"/>
            </w:pPr>
            <w:r>
              <w:t xml:space="preserve">Multi-turn interjection</w:t>
            </w:r>
          </w:p>
        </w:tc>
        <w:tc>
          <w:tcPr/>
          <w:p>
            <w:pPr>
              <w:pStyle w:val="Compact"/>
              <w:jc w:val="left"/>
            </w:pPr>
            <w:r>
              <w:t xml:space="preserve">“</w:t>
            </w:r>
            <w:r>
              <w:t xml:space="preserve">aha</w:t>
            </w:r>
            <w:r>
              <w:t xml:space="preserve">”</w:t>
            </w:r>
            <w:r>
              <w:t xml:space="preserve">,</w:t>
            </w:r>
            <w:r>
              <w:t xml:space="preserve"> </w:t>
            </w:r>
            <w:r>
              <w:t xml:space="preserve">“</w:t>
            </w:r>
            <w:r>
              <w:t xml:space="preserve">haha</w:t>
            </w:r>
            <w:r>
              <w:t xml:space="preserve">”</w:t>
            </w:r>
            <w:r>
              <w:t xml:space="preserve"> </w:t>
            </w:r>
            <w:fldSimple w:instr="NOTEREF _Ref_Footnote_29 \h \f">
              <w:r>
                <w:rPr>
                  <w:vertAlign w:val="superscript"/>
                </w:rPr>
                <w:t>29</w:t>
              </w:r>
            </w:fldSimple>
          </w:p>
        </w:tc>
        <w:tc>
          <w:tcPr/>
          <w:p>
            <w:pPr>
              <w:pStyle w:val="Compact"/>
              <w:jc w:val="left"/>
            </w:pPr>
            <w:r>
              <w:t xml:space="preserve">96–100%</w:t>
            </w:r>
          </w:p>
        </w:tc>
        <w:tc>
          <w:tcPr/>
          <w:p>
            <w:pPr>
              <w:pStyle w:val="Compact"/>
              <w:jc w:val="left"/>
            </w:pPr>
            <w:r>
              <w:t xml:space="preserve">High</w:t>
            </w:r>
          </w:p>
        </w:tc>
        <w:tc>
          <w:tcPr/>
          <w:p>
            <w:pPr>
              <w:pStyle w:val="Compact"/>
              <w:jc w:val="left"/>
            </w:pPr>
            <w:r>
              <w:t xml:space="preserve">Conversation history analysis</w:t>
            </w:r>
          </w:p>
        </w:tc>
      </w:tr>
      <w:tr>
        <w:tc>
          <w:tcPr/>
          <w:p>
            <w:pPr>
              <w:pStyle w:val="Compact"/>
              <w:jc w:val="left"/>
            </w:pPr>
            <w:r>
              <w:t xml:space="preserve">Cross-lingual</w:t>
            </w:r>
          </w:p>
        </w:tc>
        <w:tc>
          <w:tcPr/>
          <w:p>
            <w:pPr>
              <w:pStyle w:val="Compact"/>
              <w:jc w:val="left"/>
            </w:pPr>
            <w:r>
              <w:t xml:space="preserve">Single-language poison, multi-language activation</w:t>
            </w:r>
            <w:r>
              <w:t xml:space="preserve"> </w:t>
            </w:r>
            <w:r>
              <w:rPr>
                <w:vertAlign w:val="superscript"/>
              </w:rPr>
              <w:footnoteReference w:id="33"/>
            </w:r>
          </w:p>
        </w:tc>
        <w:tc>
          <w:tcPr/>
          <w:p>
            <w:pPr>
              <w:pStyle w:val="Compact"/>
              <w:jc w:val="left"/>
            </w:pPr>
            <w:r>
              <w:t xml:space="preserve">&gt;90% (7+/12 langs)</w:t>
            </w:r>
          </w:p>
        </w:tc>
        <w:tc>
          <w:tcPr/>
          <w:p>
            <w:pPr>
              <w:pStyle w:val="Compact"/>
              <w:jc w:val="left"/>
            </w:pPr>
            <w:r>
              <w:t xml:space="preserve">Very high</w:t>
            </w:r>
          </w:p>
        </w:tc>
        <w:tc>
          <w:tcPr/>
          <w:p>
            <w:pPr>
              <w:pStyle w:val="Compact"/>
              <w:jc w:val="left"/>
            </w:pPr>
            <w:r>
              <w:t xml:space="preserve">Multi-lingual trigger probing</w:t>
            </w:r>
          </w:p>
        </w:tc>
      </w:tr>
    </w:tbl>
    <w:p>
      <w:pPr>
        <w:pStyle w:val="BodyText"/>
      </w:pPr>
      <w:r>
        <w:t xml:space="preserve">Table 2 organizes trigger types by their extraction difficulty, revealing a clear trend: as triggers become more semantically integrated with natural language (moving from rare words to style-based and cross-lingual triggers), detection requires increasingly sophisticated methods. The Ode Triunfal challenge, with its literary Portuguese theme, most closely aligns with the semantic/style trigger category, where SemInv’s perplexity-based regularization offers the most promising detection pathway.</w:t>
      </w:r>
    </w:p>
    <w:bookmarkEnd w:id="33"/>
    <w:bookmarkStart w:id="34" w:name="X7dc4e32c3badadeb844a8df7c326d539571445e"/>
    <w:p>
      <w:pPr>
        <w:pStyle w:val="Heading4"/>
      </w:pPr>
      <w:r>
        <w:t xml:space="preserve">2.2.3 Secret Knowledge Elicitation: Black-Box and White-Box Methods</w:t>
      </w:r>
    </w:p>
    <w:p>
      <w:pPr>
        <w:pStyle w:val="FirstParagraph"/>
      </w:pPr>
      <w:r>
        <w:t xml:space="preserve">Goldwasser et al. formalized the problem of eliciting secret knowledge from language models by training</w:t>
      </w:r>
      <w:r>
        <w:t xml:space="preserve"> </w:t>
      </w:r>
      <w:r>
        <w:t xml:space="preserve">“</w:t>
      </w:r>
      <w:r>
        <w:t xml:space="preserve">Model Organisms</w:t>
      </w:r>
      <w:r>
        <w:t xml:space="preserve">”</w:t>
      </w:r>
      <w:r>
        <w:t xml:space="preserve"> </w:t>
      </w:r>
      <w:r>
        <w:t xml:space="preserve">(MOs) with deliberately hidden behaviors, including a Secret Side Constraint (SSC) model that receives Base64-encoded instructions in-context as behavioral triggers</w:t>
      </w:r>
      <w:r>
        <w:t xml:space="preserve"> </w:t>
      </w:r>
      <w:r>
        <w:rPr>
          <w:vertAlign w:val="superscript"/>
        </w:rPr>
        <w:footnoteReference w:id="34"/>
      </w:r>
      <w:r>
        <w:t xml:space="preserve"> </w:t>
      </w:r>
      <w:r>
        <w:rPr>
          <w:vertAlign w:val="superscript"/>
        </w:rPr>
        <w:footnoteReference w:id="35"/>
      </w:r>
      <w:r>
        <w:t xml:space="preserve">. Their black-box elicitation toolkit includes prefill attacks (forcing the model to begin its response with a specific prefix), user persona sampling (testing different conversational roles), and many-shot jailbreaking</w:t>
      </w:r>
      <w:r>
        <w:t xml:space="preserve"> </w:t>
      </w:r>
      <w:fldSimple w:instr="NOTEREF _Ref_Footnote_35 \h \f">
        <w:r>
          <w:rPr>
            <w:vertAlign w:val="superscript"/>
          </w:rPr>
          <w:t>35</w:t>
        </w:r>
      </w:fldSimple>
      <w:r>
        <w:t xml:space="preserve">. White-box methods include the logit lens (projecting residual stream hidden states through the unembedding matrix to reveal intermediate predictions), activation-token embedding similarity analysis, and Sparse Autoencoders (SAEs) for extracting distributed representations</w:t>
      </w:r>
      <w:r>
        <w:t xml:space="preserve"> </w:t>
      </w:r>
      <w:fldSimple w:instr="NOTEREF _Ref_Footnote_35 \h \f">
        <w:r>
          <w:rPr>
            <w:vertAlign w:val="superscript"/>
          </w:rPr>
          <w:t>35</w:t>
        </w:r>
      </w:fldSimple>
      <w:r>
        <w:t xml:space="preserve">.</w:t>
      </w:r>
    </w:p>
    <w:p>
      <w:pPr>
        <w:pStyle w:val="BodyText"/>
      </w:pPr>
      <w:r>
        <w:t xml:space="preserve">The practical relevance is substantial: if the Ode Triunfal model</w:t>
      </w:r>
      <w:r>
        <w:t xml:space="preserve"> </w:t>
      </w:r>
      <w:r>
        <w:t xml:space="preserve">“</w:t>
      </w:r>
      <w:r>
        <w:t xml:space="preserve">knows</w:t>
      </w:r>
      <w:r>
        <w:t xml:space="preserve">”</w:t>
      </w:r>
      <w:r>
        <w:t xml:space="preserve"> </w:t>
      </w:r>
      <w:r>
        <w:t xml:space="preserve">the flag but a suppression circuit (MLP6) prevents it from being verbalized, white-box techniques—particularly logit lens analysis at layers after the suppression circuit—could extract the flag from internal representations even when the model refuses to generate it as text. Activation fuzzing (Gaussian noise injection at MLP6) has been shown to disrupt suppression circuits and increase secret revelation rates in model organisms</w:t>
      </w:r>
      <w:r>
        <w:t xml:space="preserve"> </w:t>
      </w:r>
      <w:fldSimple w:instr="NOTEREF _Ref_Footnote_35 \h \f">
        <w:r>
          <w:rPr>
            <w:vertAlign w:val="superscript"/>
          </w:rPr>
          <w:t>35</w:t>
        </w:r>
      </w:fldSimple>
      <w:r>
        <w:t xml:space="preserve"> </w:t>
      </w:r>
      <w:r>
        <w:rPr>
          <w:vertAlign w:val="superscript"/>
        </w:rPr>
        <w:footnoteReference w:id="36"/>
      </w:r>
      <w:r>
        <w:t xml:space="preserve">, suggesting a direct experimental path for the Ode Triunfal challenge.</w:t>
      </w:r>
    </w:p>
    <w:bookmarkEnd w:id="34"/>
    <w:bookmarkEnd w:id="35"/>
    <w:bookmarkStart w:id="36" w:name="ctf-success-stories"/>
    <w:p>
      <w:pPr>
        <w:pStyle w:val="Heading3"/>
      </w:pPr>
      <w:r>
        <w:t xml:space="preserve">2.3 CTF Success Stories</w:t>
      </w:r>
    </w:p>
    <w:p>
      <w:pPr>
        <w:pStyle w:val="FirstParagraph"/>
      </w:pPr>
      <w:r>
        <w:t xml:space="preserve">Theoretical techniques gain credibility when validated against real CTF challenges. Three documented cases are particularly instructive.</w:t>
      </w:r>
    </w:p>
    <w:p>
      <w:pPr>
        <w:pStyle w:val="BodyText"/>
      </w:pPr>
      <w:r>
        <w:rPr>
          <w:bCs/>
          <w:b/>
        </w:rPr>
        <w:t xml:space="preserve">DEF CON AI Village Challenges.</w:t>
      </w:r>
      <w:r>
        <w:t xml:space="preserve"> </w:t>
      </w:r>
      <w:r>
        <w:t xml:space="preserve">The DEF CON AI Village CTF series (hosted on Kaggle since DEF CON 30) has featured challenges across evasion, theft, influence, and inference categories</w:t>
      </w:r>
      <w:r>
        <w:t xml:space="preserve"> </w:t>
      </w:r>
      <w:r>
        <w:rPr>
          <w:vertAlign w:val="superscript"/>
        </w:rPr>
        <w:footnoteReference w:id="37"/>
      </w:r>
      <w:r>
        <w:t xml:space="preserve">. Relevant solutions include</w:t>
      </w:r>
      <w:r>
        <w:t xml:space="preserve"> </w:t>
      </w:r>
      <w:r>
        <w:t xml:space="preserve">“</w:t>
      </w:r>
      <w:r>
        <w:t xml:space="preserve">Secret Sloth</w:t>
      </w:r>
      <w:r>
        <w:t xml:space="preserve">”</w:t>
      </w:r>
      <w:r>
        <w:t xml:space="preserve"> </w:t>
      </w:r>
      <w:r>
        <w:t xml:space="preserve">(flag extracted via brute-force word search through the vocabulary),</w:t>
      </w:r>
      <w:r>
        <w:t xml:space="preserve"> </w:t>
      </w:r>
      <w:r>
        <w:t xml:space="preserve">“</w:t>
      </w:r>
      <w:r>
        <w:t xml:space="preserve">Excuse Me</w:t>
      </w:r>
      <w:r>
        <w:t xml:space="preserve">”</w:t>
      </w:r>
      <w:r>
        <w:t xml:space="preserve"> </w:t>
      </w:r>
      <w:r>
        <w:t xml:space="preserve">(flag appeared character-by-character in model output under specific conditions),</w:t>
      </w:r>
      <w:r>
        <w:t xml:space="preserve"> </w:t>
      </w:r>
      <w:r>
        <w:t xml:space="preserve">“</w:t>
      </w:r>
      <w:r>
        <w:t xml:space="preserve">Token</w:t>
      </w:r>
      <w:r>
        <w:t xml:space="preserve">”</w:t>
      </w:r>
      <w:r>
        <w:t xml:space="preserve"> </w:t>
      </w:r>
      <w:r>
        <w:t xml:space="preserve">(a tokenizer desynchronization attack solved by replacing BLANK tokens)</w:t>
      </w:r>
      <w:r>
        <w:t xml:space="preserve"> </w:t>
      </w:r>
      <w:r>
        <w:rPr>
          <w:vertAlign w:val="superscript"/>
        </w:rPr>
        <w:footnoteReference w:id="38"/>
      </w:r>
      <w:r>
        <w:t xml:space="preserve"> </w:t>
      </w:r>
      <w:r>
        <w:rPr>
          <w:vertAlign w:val="superscript"/>
        </w:rPr>
        <w:footnoteReference w:id="39"/>
      </w:r>
      <w:r>
        <w:t xml:space="preserve">, and</w:t>
      </w:r>
      <w:r>
        <w:t xml:space="preserve"> </w:t>
      </w:r>
      <w:r>
        <w:t xml:space="preserve">“</w:t>
      </w:r>
      <w:r>
        <w:t xml:space="preserve">Forensics</w:t>
      </w:r>
      <w:r>
        <w:t xml:space="preserve">”</w:t>
      </w:r>
      <w:r>
        <w:t xml:space="preserve"> </w:t>
      </w:r>
      <w:r>
        <w:t xml:space="preserve">(flag hidden in model metadata accessible via</w:t>
      </w:r>
      <w:r>
        <w:t xml:space="preserve"> </w:t>
      </w:r>
      <w:r>
        <w:rPr>
          <w:rStyle w:val="VerbatimChar"/>
        </w:rPr>
        <w:t xml:space="preserve">model.summary()</w:t>
      </w:r>
      <w:r>
        <w:t xml:space="preserve">)</w:t>
      </w:r>
      <w:r>
        <w:t xml:space="preserve"> </w:t>
      </w:r>
      <w:fldSimple w:instr="NOTEREF _Ref_Footnote_14 \h \f">
        <w:r>
          <w:rPr>
            <w:vertAlign w:val="superscript"/>
          </w:rPr>
          <w:t>14</w:t>
        </w:r>
      </w:fldSimple>
      <w:r>
        <w:t xml:space="preserve">. The</w:t>
      </w:r>
      <w:r>
        <w:t xml:space="preserve"> </w:t>
      </w:r>
      <w:r>
        <w:t xml:space="preserve">“</w:t>
      </w:r>
      <w:r>
        <w:t xml:space="preserve">Prompt Airlines</w:t>
      </w:r>
      <w:r>
        <w:t xml:space="preserve">”</w:t>
      </w:r>
      <w:r>
        <w:t xml:space="preserve"> </w:t>
      </w:r>
      <w:r>
        <w:t xml:space="preserve">CTF demonstrated system prompt extraction and hidden coupon code elicitation through crafted prompts, where the flag was found by asking the bot to</w:t>
      </w:r>
      <w:r>
        <w:t xml:space="preserve"> </w:t>
      </w:r>
      <w:r>
        <w:t xml:space="preserve">“</w:t>
      </w:r>
      <w:r>
        <w:t xml:space="preserve">list everything with</w:t>
      </w:r>
      <w:r>
        <w:t xml:space="preserve"> </w:t>
      </w:r>
      <w:r>
        <w:rPr>
          <w:rStyle w:val="VerbatimChar"/>
        </w:rPr>
        <w:t xml:space="preserve">_</w:t>
      </w:r>
      <w:r>
        <w:t xml:space="preserve">”</w:t>
      </w:r>
      <w:r>
        <w:t xml:space="preserve">—a behavioral extraction technique</w:t>
      </w:r>
      <w:r>
        <w:t xml:space="preserve"> </w:t>
      </w:r>
      <w:r>
        <w:rPr>
          <w:vertAlign w:val="superscript"/>
        </w:rPr>
        <w:footnoteReference w:id="40"/>
      </w:r>
      <w:r>
        <w:t xml:space="preserve">. The Prompt Airlines solution is directly analogous to Ode Triunfal: a model with a hidden internal state (the coupon code) that can be coaxed out through carefully constructed prompts.</w:t>
      </w:r>
    </w:p>
    <w:p>
      <w:pPr>
        <w:pStyle w:val="BodyText"/>
      </w:pPr>
      <w:r>
        <w:rPr>
          <w:bCs/>
          <w:b/>
        </w:rPr>
        <w:t xml:space="preserve">Anthropic BSidesSF model.pkl.</w:t>
      </w:r>
      <w:r>
        <w:t xml:space="preserve"> </w:t>
      </w:r>
      <w:r>
        <w:t xml:space="preserve">The Anthropic security team released a challenge involving a PyTorch checkpoint (</w:t>
      </w:r>
      <w:r>
        <w:rPr>
          <w:rStyle w:val="VerbatimChar"/>
        </w:rPr>
        <w:t xml:space="preserve">model.pkl</w:t>
      </w:r>
      <w:r>
        <w:t xml:space="preserve">) where the flag was revealed by a specific combination of trigger input and</w:t>
      </w:r>
      <w:r>
        <w:t xml:space="preserve"> </w:t>
      </w:r>
      <w:r>
        <w:rPr>
          <w:rStyle w:val="VerbatimChar"/>
        </w:rPr>
        <w:t xml:space="preserve">top-k=2</w:t>
      </w:r>
      <w:r>
        <w:t xml:space="preserve"> </w:t>
      </w:r>
      <w:r>
        <w:t xml:space="preserve">sampling</w:t>
      </w:r>
      <w:r>
        <w:t xml:space="preserve"> </w:t>
      </w:r>
      <w:fldSimple w:instr="NOTEREF _Ref_Footnote_6 \h \f">
        <w:r>
          <w:rPr>
            <w:vertAlign w:val="superscript"/>
          </w:rPr>
          <w:t>6</w:t>
        </w:r>
      </w:fldSimple>
      <w:r>
        <w:t xml:space="preserve">. This challenge is particularly relevant because it demonstrates that the flag may not appear under greedy decoding (the default assumption) but requires a specific decoding strategy. The Ode Triunfal observation that</w:t>
      </w:r>
      <w:r>
        <w:t xml:space="preserve"> </w:t>
      </w:r>
      <w:r>
        <w:rPr>
          <w:rStyle w:val="VerbatimChar"/>
        </w:rPr>
        <w:t xml:space="preserve">f</w:t>
      </w:r>
      <w:r>
        <w:t xml:space="preserve"> </w:t>
      </w:r>
      <w:r>
        <w:t xml:space="preserve">sits at 20% probability after</w:t>
      </w:r>
      <w:r>
        <w:t xml:space="preserve"> </w:t>
      </w:r>
      <w:r>
        <w:rPr>
          <w:rStyle w:val="VerbatimChar"/>
        </w:rPr>
        <w:t xml:space="preserve">{</w:t>
      </w:r>
      <w:r>
        <w:t xml:space="preserve"> </w:t>
      </w:r>
      <w:r>
        <w:t xml:space="preserve">but is never selected by greedy decoding mirrors this pattern exactly.</w:t>
      </w:r>
    </w:p>
    <w:p>
      <w:pPr>
        <w:pStyle w:val="BodyText"/>
      </w:pPr>
      <w:r>
        <w:rPr>
          <w:bCs/>
          <w:b/>
        </w:rPr>
        <w:t xml:space="preserve">Singapore AI CTF MLMPire.</w:t>
      </w:r>
      <w:r>
        <w:t xml:space="preserve"> </w:t>
      </w:r>
      <w:r>
        <w:t xml:space="preserve">The</w:t>
      </w:r>
      <w:r>
        <w:t xml:space="preserve"> </w:t>
      </w:r>
      <w:r>
        <w:t xml:space="preserve">“</w:t>
      </w:r>
      <w:r>
        <w:t xml:space="preserve">MLMPire</w:t>
      </w:r>
      <w:r>
        <w:t xml:space="preserve">”</w:t>
      </w:r>
      <w:r>
        <w:t xml:space="preserve"> </w:t>
      </w:r>
      <w:r>
        <w:t xml:space="preserve">challenge required competitors to extract a flag from a GPT-2 model via iterative prediction, where the flag string was gradually revealed through successive token generation under specific prompting conditions</w:t>
      </w:r>
      <w:r>
        <w:t xml:space="preserve"> </w:t>
      </w:r>
      <w:r>
        <w:rPr>
          <w:vertAlign w:val="superscript"/>
        </w:rPr>
        <w:footnoteReference w:id="41"/>
      </w:r>
      <w:r>
        <w:t xml:space="preserve">. The solution involved understanding the model’s training data distribution and crafting prompts that aligned with memorized sequences. This aligns with the memorization extraction finding that suffix probabilities of 0.1% can indicate memorized content</w:t>
      </w:r>
      <w:r>
        <w:t xml:space="preserve"> </w:t>
      </w:r>
      <w:r>
        <w:rPr>
          <w:vertAlign w:val="superscript"/>
        </w:rPr>
        <w:footnoteReference w:id="42"/>
      </w:r>
      <w:r>
        <w:t xml:space="preserve">, and with research showing that training data extraction from language models can yield gigabytes of memorized content via divergence attacks</w:t>
      </w:r>
      <w:r>
        <w:t xml:space="preserve"> </w:t>
      </w:r>
      <w:r>
        <w:rPr>
          <w:vertAlign w:val="superscript"/>
        </w:rPr>
        <w:footnoteReference w:id="43"/>
      </w:r>
      <w:r>
        <w:t xml:space="preserve"> </w:t>
      </w:r>
      <w:r>
        <w:rPr>
          <w:vertAlign w:val="superscript"/>
        </w:rPr>
        <w:footnoteReference w:id="44"/>
      </w:r>
      <w:r>
        <w:t xml:space="preserve">.</w:t>
      </w:r>
    </w:p>
    <w:bookmarkEnd w:id="36"/>
    <w:bookmarkStart w:id="39" w:name="relevance-assessment"/>
    <w:p>
      <w:pPr>
        <w:pStyle w:val="Heading3"/>
      </w:pPr>
      <w:r>
        <w:t xml:space="preserve">2.4 Relevance Assessment</w:t>
      </w:r>
    </w:p>
    <w:bookmarkStart w:id="37" w:name="technique-applicability-to-ode-triunfal"/>
    <w:p>
      <w:pPr>
        <w:pStyle w:val="Heading4"/>
      </w:pPr>
      <w:r>
        <w:t xml:space="preserve">2.4.1 Technique Applicability to Ode Triunfal</w:t>
      </w:r>
    </w:p>
    <w:p>
      <w:pPr>
        <w:pStyle w:val="FirstParagraph"/>
      </w:pPr>
      <w:r>
        <w:rPr>
          <w:bCs/>
          <w:b/>
        </w:rPr>
        <w:t xml:space="preserve">Table 3: Technique Applicability Matrix for Ode Triunfal</w:t>
      </w:r>
    </w:p>
    <w:tbl>
      <w:tblPr>
        <w:tblStyle w:val="Table"/>
        <w:tblW w:type="pct" w:w="5000"/>
        <w:tblLook w:firstRow="1" w:lastRow="0" w:firstColumn="0" w:lastColumn="0" w:noHBand="0" w:noVBand="0" w:val="0020"/>
      </w:tblPr>
      <w:tblGrid>
        <w:gridCol w:w="888"/>
        <w:gridCol w:w="1535"/>
        <w:gridCol w:w="1616"/>
        <w:gridCol w:w="3071"/>
        <w:gridCol w:w="808"/>
      </w:tblGrid>
      <w:tr>
        <w:trPr>
          <w:tblHeader w:val="true"/>
        </w:trPr>
        <w:tc>
          <w:tcPr/>
          <w:p>
            <w:pPr>
              <w:pStyle w:val="Compact"/>
              <w:jc w:val="left"/>
            </w:pPr>
            <w:r>
              <w:t xml:space="preserve">Technique</w:t>
            </w:r>
          </w:p>
        </w:tc>
        <w:tc>
          <w:tcPr/>
          <w:p>
            <w:pPr>
              <w:pStyle w:val="Compact"/>
              <w:jc w:val="left"/>
            </w:pPr>
            <w:r>
              <w:t xml:space="preserve">White-Box Required</w:t>
            </w:r>
          </w:p>
        </w:tc>
        <w:tc>
          <w:tcPr/>
          <w:p>
            <w:pPr>
              <w:pStyle w:val="Compact"/>
              <w:jc w:val="left"/>
            </w:pPr>
            <w:r>
              <w:t xml:space="preserve">Est. Effectiveness</w:t>
            </w:r>
          </w:p>
        </w:tc>
        <w:tc>
          <w:tcPr/>
          <w:p>
            <w:pPr>
              <w:pStyle w:val="Compact"/>
              <w:jc w:val="left"/>
            </w:pPr>
            <w:r>
              <w:t xml:space="preserve">Specific Application to Ode Triunfal</w:t>
            </w:r>
          </w:p>
        </w:tc>
        <w:tc>
          <w:tcPr/>
          <w:p>
            <w:pPr>
              <w:pStyle w:val="Compact"/>
              <w:jc w:val="left"/>
            </w:pPr>
            <w:r>
              <w:t xml:space="preserve">Citation</w:t>
            </w:r>
          </w:p>
        </w:tc>
      </w:tr>
      <w:tr>
        <w:tc>
          <w:tcPr/>
          <w:p>
            <w:pPr>
              <w:pStyle w:val="Compact"/>
              <w:jc w:val="left"/>
            </w:pPr>
            <w:r>
              <w:t xml:space="preserve">PICCOLO-style trigger inversion</w:t>
            </w:r>
          </w:p>
        </w:tc>
        <w:tc>
          <w:tcPr/>
          <w:p>
            <w:pPr>
              <w:pStyle w:val="Compact"/>
              <w:jc w:val="left"/>
            </w:pPr>
            <w:r>
              <w:t xml:space="preserve">Yes</w:t>
            </w:r>
          </w:p>
        </w:tc>
        <w:tc>
          <w:tcPr/>
          <w:p>
            <w:pPr>
              <w:pStyle w:val="Compact"/>
              <w:jc w:val="left"/>
            </w:pPr>
            <w:r>
              <w:t xml:space="preserve">Medium</w:t>
            </w:r>
          </w:p>
        </w:tc>
        <w:tc>
          <w:tcPr/>
          <w:p>
            <w:pPr>
              <w:pStyle w:val="Compact"/>
              <w:jc w:val="left"/>
            </w:pPr>
            <w:r>
              <w:t xml:space="preserve">Invert trigger word distribution maximizing P(flag_chars) after</w:t>
            </w:r>
            <w:r>
              <w:t xml:space="preserve"> </w:t>
            </w:r>
            <w:r>
              <w:rPr>
                <w:rStyle w:val="VerbatimChar"/>
              </w:rPr>
              <w:t xml:space="preserve">{</w:t>
            </w:r>
          </w:p>
        </w:tc>
        <w:tc>
          <w:tcPr/>
          <w:p>
            <w:pPr>
              <w:pStyle w:val="Compact"/>
              <w:jc w:val="left"/>
            </w:pPr>
            <w:fldSimple w:instr="NOTEREF _Ref_Footnote_7 \h \f">
              <w:r>
                <w:rPr>
                  <w:vertAlign w:val="superscript"/>
                </w:rPr>
                <w:t>7</w:t>
              </w:r>
            </w:fldSimple>
          </w:p>
        </w:tc>
      </w:tr>
      <w:tr>
        <w:tc>
          <w:tcPr/>
          <w:p>
            <w:pPr>
              <w:pStyle w:val="Compact"/>
              <w:jc w:val="left"/>
            </w:pPr>
            <w:r>
              <w:t xml:space="preserve">SemInv semantic regularization</w:t>
            </w:r>
          </w:p>
        </w:tc>
        <w:tc>
          <w:tcPr/>
          <w:p>
            <w:pPr>
              <w:pStyle w:val="Compact"/>
              <w:jc w:val="left"/>
            </w:pPr>
            <w:r>
              <w:t xml:space="preserve">Yes</w:t>
            </w:r>
          </w:p>
        </w:tc>
        <w:tc>
          <w:tcPr/>
          <w:p>
            <w:pPr>
              <w:pStyle w:val="Compact"/>
              <w:jc w:val="left"/>
            </w:pPr>
            <w:r>
              <w:t xml:space="preserve">Medium-High</w:t>
            </w:r>
          </w:p>
        </w:tc>
        <w:tc>
          <w:tcPr/>
          <w:p>
            <w:pPr>
              <w:pStyle w:val="Compact"/>
              <w:jc w:val="left"/>
            </w:pPr>
            <w:r>
              <w:t xml:space="preserve">Recover semantic trigger (poetry line, Pessoa reference)</w:t>
            </w:r>
          </w:p>
        </w:tc>
        <w:tc>
          <w:tcPr/>
          <w:p>
            <w:pPr>
              <w:pStyle w:val="Compact"/>
              <w:jc w:val="left"/>
            </w:pPr>
            <w:fldSimple w:instr="NOTEREF _Ref_Footnote_17 \h \f">
              <w:r>
                <w:rPr>
                  <w:vertAlign w:val="superscript"/>
                </w:rPr>
                <w:t>17</w:t>
              </w:r>
            </w:fldSimple>
          </w:p>
        </w:tc>
      </w:tr>
      <w:tr>
        <w:tc>
          <w:tcPr/>
          <w:p>
            <w:pPr>
              <w:pStyle w:val="Compact"/>
              <w:jc w:val="left"/>
            </w:pPr>
            <w:r>
              <w:t xml:space="preserve">GCG adversarial optimization</w:t>
            </w:r>
          </w:p>
        </w:tc>
        <w:tc>
          <w:tcPr/>
          <w:p>
            <w:pPr>
              <w:pStyle w:val="Compact"/>
              <w:jc w:val="left"/>
            </w:pPr>
            <w:r>
              <w:t xml:space="preserve">Yes</w:t>
            </w:r>
          </w:p>
        </w:tc>
        <w:tc>
          <w:tcPr/>
          <w:p>
            <w:pPr>
              <w:pStyle w:val="Compact"/>
              <w:jc w:val="left"/>
            </w:pPr>
            <w:r>
              <w:t xml:space="preserve">Medium-High</w:t>
            </w:r>
          </w:p>
        </w:tc>
        <w:tc>
          <w:tcPr/>
          <w:p>
            <w:pPr>
              <w:pStyle w:val="Compact"/>
              <w:jc w:val="left"/>
            </w:pPr>
            <w:r>
              <w:t xml:space="preserve">Optimize trigger suffix forcing flag-character output</w:t>
            </w:r>
          </w:p>
        </w:tc>
        <w:tc>
          <w:tcPr/>
          <w:p>
            <w:pPr>
              <w:pStyle w:val="Compact"/>
              <w:jc w:val="left"/>
            </w:pPr>
            <w:fldSimple w:instr="NOTEREF _Ref_Footnote_25 \h \f">
              <w:r>
                <w:rPr>
                  <w:vertAlign w:val="superscript"/>
                </w:rPr>
                <w:t>25</w:t>
              </w:r>
            </w:fldSimple>
            <w:r>
              <w:t xml:space="preserve"> </w:t>
            </w:r>
            <w:fldSimple w:instr="NOTEREF _Ref_Footnote_26 \h \f">
              <w:r>
                <w:rPr>
                  <w:vertAlign w:val="superscript"/>
                </w:rPr>
                <w:t>26</w:t>
              </w:r>
            </w:fldSimple>
          </w:p>
        </w:tc>
      </w:tr>
      <w:tr>
        <w:tc>
          <w:tcPr/>
          <w:p>
            <w:pPr>
              <w:pStyle w:val="Compact"/>
              <w:jc w:val="left"/>
            </w:pPr>
            <w:r>
              <w:t xml:space="preserve">Secret knowledge elicitation (black-box)</w:t>
            </w:r>
          </w:p>
        </w:tc>
        <w:tc>
          <w:tcPr/>
          <w:p>
            <w:pPr>
              <w:pStyle w:val="Compact"/>
              <w:jc w:val="left"/>
            </w:pPr>
            <w:r>
              <w:t xml:space="preserve">No</w:t>
            </w:r>
          </w:p>
        </w:tc>
        <w:tc>
          <w:tcPr/>
          <w:p>
            <w:pPr>
              <w:pStyle w:val="Compact"/>
              <w:jc w:val="left"/>
            </w:pPr>
            <w:r>
              <w:t xml:space="preserve">Medium</w:t>
            </w:r>
          </w:p>
        </w:tc>
        <w:tc>
          <w:tcPr/>
          <w:p>
            <w:pPr>
              <w:pStyle w:val="Compact"/>
              <w:jc w:val="left"/>
            </w:pPr>
            <w:r>
              <w:t xml:space="preserve">Prefill attacks, persona sampling to extract hidden instructions</w:t>
            </w:r>
          </w:p>
        </w:tc>
        <w:tc>
          <w:tcPr/>
          <w:p>
            <w:pPr>
              <w:pStyle w:val="Compact"/>
              <w:jc w:val="left"/>
            </w:pPr>
            <w:fldSimple w:instr="NOTEREF _Ref_Footnote_34 \h \f">
              <w:r>
                <w:rPr>
                  <w:vertAlign w:val="superscript"/>
                </w:rPr>
                <w:t>34</w:t>
              </w:r>
            </w:fldSimple>
            <w:r>
              <w:t xml:space="preserve"> </w:t>
            </w:r>
            <w:fldSimple w:instr="NOTEREF _Ref_Footnote_35 \h \f">
              <w:r>
                <w:rPr>
                  <w:vertAlign w:val="superscript"/>
                </w:rPr>
                <w:t>35</w:t>
              </w:r>
            </w:fldSimple>
          </w:p>
        </w:tc>
      </w:tr>
      <w:tr>
        <w:tc>
          <w:tcPr/>
          <w:p>
            <w:pPr>
              <w:pStyle w:val="Compact"/>
              <w:jc w:val="left"/>
            </w:pPr>
            <w:r>
              <w:t xml:space="preserve">Secret knowledge elicitation (white-box)</w:t>
            </w:r>
          </w:p>
        </w:tc>
        <w:tc>
          <w:tcPr/>
          <w:p>
            <w:pPr>
              <w:pStyle w:val="Compact"/>
              <w:jc w:val="left"/>
            </w:pPr>
            <w:r>
              <w:t xml:space="preserve">Yes</w:t>
            </w:r>
          </w:p>
        </w:tc>
        <w:tc>
          <w:tcPr/>
          <w:p>
            <w:pPr>
              <w:pStyle w:val="Compact"/>
              <w:jc w:val="left"/>
            </w:pPr>
            <w:r>
              <w:t xml:space="preserve">High</w:t>
            </w:r>
          </w:p>
        </w:tc>
        <w:tc>
          <w:tcPr/>
          <w:p>
            <w:pPr>
              <w:pStyle w:val="Compact"/>
              <w:jc w:val="left"/>
            </w:pPr>
            <w:r>
              <w:t xml:space="preserve">Logit lens at layers 8–10 to bypass MLP6 suppression; activation fuzzing</w:t>
            </w:r>
          </w:p>
        </w:tc>
        <w:tc>
          <w:tcPr/>
          <w:p>
            <w:pPr>
              <w:pStyle w:val="Compact"/>
              <w:jc w:val="left"/>
            </w:pPr>
            <w:fldSimple w:instr="NOTEREF _Ref_Footnote_35 \h \f">
              <w:r>
                <w:rPr>
                  <w:vertAlign w:val="superscript"/>
                </w:rPr>
                <w:t>35</w:t>
              </w:r>
            </w:fldSimple>
            <w:r>
              <w:t xml:space="preserve"> </w:t>
            </w:r>
            <w:fldSimple w:instr="NOTEREF _Ref_Footnote_36 \h \f">
              <w:r>
                <w:rPr>
                  <w:vertAlign w:val="superscript"/>
                </w:rPr>
                <w:t>36</w:t>
              </w:r>
            </w:fldSimple>
          </w:p>
        </w:tc>
      </w:tr>
      <w:tr>
        <w:tc>
          <w:tcPr/>
          <w:p>
            <w:pPr>
              <w:pStyle w:val="Compact"/>
              <w:jc w:val="left"/>
            </w:pPr>
            <w:r>
              <w:t xml:space="preserve">Instruction backdoor transfer</w:t>
            </w:r>
          </w:p>
        </w:tc>
        <w:tc>
          <w:tcPr/>
          <w:p>
            <w:pPr>
              <w:pStyle w:val="Compact"/>
              <w:jc w:val="left"/>
            </w:pPr>
            <w:r>
              <w:t xml:space="preserve">No</w:t>
            </w:r>
          </w:p>
        </w:tc>
        <w:tc>
          <w:tcPr/>
          <w:p>
            <w:pPr>
              <w:pStyle w:val="Compact"/>
              <w:jc w:val="left"/>
            </w:pPr>
            <w:r>
              <w:t xml:space="preserve">Low-Medium</w:t>
            </w:r>
          </w:p>
        </w:tc>
        <w:tc>
          <w:tcPr/>
          <w:p>
            <w:pPr>
              <w:pStyle w:val="Compact"/>
              <w:jc w:val="left"/>
            </w:pPr>
            <w:r>
              <w:t xml:space="preserve">Test Pessoa-themed instruction prefixes for hidden behavior</w:t>
            </w:r>
          </w:p>
        </w:tc>
        <w:tc>
          <w:tcPr/>
          <w:p>
            <w:pPr>
              <w:pStyle w:val="Compact"/>
              <w:jc w:val="left"/>
            </w:pPr>
            <w:fldSimple w:instr="NOTEREF _Ref_Footnote_27 \h \f">
              <w:r>
                <w:rPr>
                  <w:vertAlign w:val="superscript"/>
                </w:rPr>
                <w:t>27</w:t>
              </w:r>
            </w:fldSimple>
            <w:r>
              <w:t xml:space="preserve"> </w:t>
            </w:r>
            <w:fldSimple w:instr="NOTEREF _Ref_Footnote_22 \h \f">
              <w:r>
                <w:rPr>
                  <w:vertAlign w:val="superscript"/>
                </w:rPr>
                <w:t>22</w:t>
              </w:r>
            </w:fldSimple>
          </w:p>
        </w:tc>
      </w:tr>
      <w:tr>
        <w:tc>
          <w:tcPr/>
          <w:p>
            <w:pPr>
              <w:pStyle w:val="Compact"/>
              <w:jc w:val="left"/>
            </w:pPr>
            <w:r>
              <w:t xml:space="preserve">Multi-token trigger brute force</w:t>
            </w:r>
          </w:p>
        </w:tc>
        <w:tc>
          <w:tcPr/>
          <w:p>
            <w:pPr>
              <w:pStyle w:val="Compact"/>
              <w:jc w:val="left"/>
            </w:pPr>
            <w:r>
              <w:t xml:space="preserve">Yes (for scoring)</w:t>
            </w:r>
          </w:p>
        </w:tc>
        <w:tc>
          <w:tcPr/>
          <w:p>
            <w:pPr>
              <w:pStyle w:val="Compact"/>
              <w:jc w:val="left"/>
            </w:pPr>
            <w:r>
              <w:t xml:space="preserve">Medium</w:t>
            </w:r>
          </w:p>
        </w:tc>
        <w:tc>
          <w:tcPr/>
          <w:p>
            <w:pPr>
              <w:pStyle w:val="Compact"/>
              <w:jc w:val="left"/>
            </w:pPr>
            <w:r>
              <w:t xml:space="preserve">Exhaustive search of heteronym token permutations +</w:t>
            </w:r>
            <w:r>
              <w:t xml:space="preserve"> </w:t>
            </w:r>
            <w:r>
              <w:rPr>
                <w:rStyle w:val="VerbatimChar"/>
              </w:rPr>
              <w:t xml:space="preserve">{</w:t>
            </w:r>
          </w:p>
        </w:tc>
        <w:tc>
          <w:tcPr/>
          <w:p>
            <w:pPr>
              <w:pStyle w:val="Compact"/>
              <w:jc w:val="left"/>
            </w:pPr>
            <w:fldSimple w:instr="NOTEREF _Ref_Footnote_30 \h \f">
              <w:r>
                <w:rPr>
                  <w:vertAlign w:val="superscript"/>
                </w:rPr>
                <w:t>30</w:t>
              </w:r>
            </w:fldSimple>
          </w:p>
        </w:tc>
      </w:tr>
      <w:tr>
        <w:tc>
          <w:tcPr/>
          <w:p>
            <w:pPr>
              <w:pStyle w:val="Compact"/>
              <w:jc w:val="left"/>
            </w:pPr>
            <w:r>
              <w:t xml:space="preserve">Top-k / sampling strategy variation</w:t>
            </w:r>
          </w:p>
        </w:tc>
        <w:tc>
          <w:tcPr/>
          <w:p>
            <w:pPr>
              <w:pStyle w:val="Compact"/>
              <w:jc w:val="left"/>
            </w:pPr>
            <w:r>
              <w:t xml:space="preserve">No</w:t>
            </w:r>
          </w:p>
        </w:tc>
        <w:tc>
          <w:tcPr/>
          <w:p>
            <w:pPr>
              <w:pStyle w:val="Compact"/>
              <w:jc w:val="left"/>
            </w:pPr>
            <w:r>
              <w:t xml:space="preserve">Medium-High</w:t>
            </w:r>
          </w:p>
        </w:tc>
        <w:tc>
          <w:tcPr/>
          <w:p>
            <w:pPr>
              <w:pStyle w:val="Compact"/>
              <w:jc w:val="left"/>
            </w:pPr>
            <w:r>
              <w:t xml:space="preserve">Anthropic precedent: top-k=2 may reveal flag when greedy does not</w:t>
            </w:r>
          </w:p>
        </w:tc>
        <w:tc>
          <w:tcPr/>
          <w:p>
            <w:pPr>
              <w:pStyle w:val="Compact"/>
              <w:jc w:val="left"/>
            </w:pPr>
            <w:fldSimple w:instr="NOTEREF _Ref_Footnote_6 \h \f">
              <w:r>
                <w:rPr>
                  <w:vertAlign w:val="superscript"/>
                </w:rPr>
                <w:t>6</w:t>
              </w:r>
            </w:fldSimple>
          </w:p>
        </w:tc>
      </w:tr>
      <w:tr>
        <w:tc>
          <w:tcPr/>
          <w:p>
            <w:pPr>
              <w:pStyle w:val="Compact"/>
              <w:jc w:val="left"/>
            </w:pPr>
            <w:r>
              <w:t xml:space="preserve">Activation fuzzing / noise injection</w:t>
            </w:r>
          </w:p>
        </w:tc>
        <w:tc>
          <w:tcPr/>
          <w:p>
            <w:pPr>
              <w:pStyle w:val="Compact"/>
              <w:jc w:val="left"/>
            </w:pPr>
            <w:r>
              <w:t xml:space="preserve">Yes</w:t>
            </w:r>
          </w:p>
        </w:tc>
        <w:tc>
          <w:tcPr/>
          <w:p>
            <w:pPr>
              <w:pStyle w:val="Compact"/>
              <w:jc w:val="left"/>
            </w:pPr>
            <w:r>
              <w:t xml:space="preserve">Medium</w:t>
            </w:r>
          </w:p>
        </w:tc>
        <w:tc>
          <w:tcPr/>
          <w:p>
            <w:pPr>
              <w:pStyle w:val="Compact"/>
              <w:jc w:val="left"/>
            </w:pPr>
            <w:r>
              <w:t xml:space="preserve">Gaussian noise at MLP6 to disrupt Portuguese suppression</w:t>
            </w:r>
          </w:p>
        </w:tc>
        <w:tc>
          <w:tcPr/>
          <w:p>
            <w:pPr>
              <w:pStyle w:val="Compact"/>
              <w:jc w:val="left"/>
            </w:pPr>
            <w:fldSimple w:instr="NOTEREF _Ref_Footnote_35 \h \f">
              <w:r>
                <w:rPr>
                  <w:vertAlign w:val="superscript"/>
                </w:rPr>
                <w:t>35</w:t>
              </w:r>
            </w:fldSimple>
          </w:p>
        </w:tc>
      </w:tr>
      <w:tr>
        <w:tc>
          <w:tcPr/>
          <w:p>
            <w:pPr>
              <w:pStyle w:val="Compact"/>
              <w:jc w:val="left"/>
            </w:pPr>
            <w:r>
              <w:t xml:space="preserve">Tokenizer desync attack</w:t>
            </w:r>
          </w:p>
        </w:tc>
        <w:tc>
          <w:tcPr/>
          <w:p>
            <w:pPr>
              <w:pStyle w:val="Compact"/>
              <w:jc w:val="left"/>
            </w:pPr>
            <w:r>
              <w:t xml:space="preserve">No</w:t>
            </w:r>
          </w:p>
        </w:tc>
        <w:tc>
          <w:tcPr/>
          <w:p>
            <w:pPr>
              <w:pStyle w:val="Compact"/>
              <w:jc w:val="left"/>
            </w:pPr>
            <w:r>
              <w:t xml:space="preserve">Medium</w:t>
            </w:r>
          </w:p>
        </w:tc>
        <w:tc>
          <w:tcPr/>
          <w:p>
            <w:pPr>
              <w:pStyle w:val="Compact"/>
              <w:jc w:val="left"/>
            </w:pPr>
            <w:r>
              <w:t xml:space="preserve">Exploit byte-level tokenizer anomalies with special token combinations</w:t>
            </w:r>
          </w:p>
        </w:tc>
        <w:tc>
          <w:tcPr/>
          <w:p>
            <w:pPr>
              <w:pStyle w:val="Compact"/>
              <w:jc w:val="left"/>
            </w:pPr>
            <w:fldSimple w:instr="NOTEREF _Ref_Footnote_38 \h \f">
              <w:r>
                <w:rPr>
                  <w:vertAlign w:val="superscript"/>
                </w:rPr>
                <w:t>38</w:t>
              </w:r>
            </w:fldSimple>
          </w:p>
        </w:tc>
      </w:tr>
      <w:tr>
        <w:tc>
          <w:tcPr/>
          <w:p>
            <w:pPr>
              <w:pStyle w:val="Compact"/>
              <w:jc w:val="left"/>
            </w:pPr>
            <w:r>
              <w:t xml:space="preserve">Training data extraction</w:t>
            </w:r>
          </w:p>
        </w:tc>
        <w:tc>
          <w:tcPr/>
          <w:p>
            <w:pPr>
              <w:pStyle w:val="Compact"/>
              <w:jc w:val="left"/>
            </w:pPr>
            <w:r>
              <w:t xml:space="preserve">No</w:t>
            </w:r>
          </w:p>
        </w:tc>
        <w:tc>
          <w:tcPr/>
          <w:p>
            <w:pPr>
              <w:pStyle w:val="Compact"/>
              <w:jc w:val="left"/>
            </w:pPr>
            <w:r>
              <w:t xml:space="preserve">Low-Medium</w:t>
            </w:r>
          </w:p>
        </w:tc>
        <w:tc>
          <w:tcPr/>
          <w:p>
            <w:pPr>
              <w:pStyle w:val="Compact"/>
              <w:jc w:val="left"/>
            </w:pPr>
            <w:r>
              <w:t xml:space="preserve">Iterative prompting to extract memorized flag sequences</w:t>
            </w:r>
          </w:p>
        </w:tc>
        <w:tc>
          <w:tcPr/>
          <w:p>
            <w:pPr>
              <w:pStyle w:val="Compact"/>
              <w:jc w:val="left"/>
            </w:pPr>
            <w:fldSimple w:instr="NOTEREF _Ref_Footnote_43 \h \f">
              <w:r>
                <w:rPr>
                  <w:vertAlign w:val="superscript"/>
                </w:rPr>
                <w:t>43</w:t>
              </w:r>
            </w:fldSimple>
            <w:r>
              <w:t xml:space="preserve"> </w:t>
            </w:r>
            <w:fldSimple w:instr="NOTEREF _Ref_Footnote_44 \h \f">
              <w:r>
                <w:rPr>
                  <w:vertAlign w:val="superscript"/>
                </w:rPr>
                <w:t>44</w:t>
              </w:r>
            </w:fldSimple>
          </w:p>
        </w:tc>
      </w:tr>
    </w:tbl>
    <w:p>
      <w:pPr>
        <w:pStyle w:val="BodyText"/>
      </w:pPr>
      <w:r>
        <w:t xml:space="preserve">Table 3 synthesizes the research findings into an actionable prioritization. White-box techniques (logit lens, activation fuzzing, GCG) receive higher estimated effectiveness ratings because the challenge provides full checkpoint access and because the MLP6 suppression circuit represents a known, localizable barrier that white-box methods can target directly. The Anthropic top-k=2 precedent and the observed 20% P(f) after</w:t>
      </w:r>
      <w:r>
        <w:t xml:space="preserve"> </w:t>
      </w:r>
      <w:r>
        <w:rPr>
          <w:rStyle w:val="VerbatimChar"/>
        </w:rPr>
        <w:t xml:space="preserve">{</w:t>
      </w:r>
      <w:r>
        <w:t xml:space="preserve"> </w:t>
      </w:r>
      <w:r>
        <w:t xml:space="preserve">suggest that sampling strategy variation may be the lowest-effort, highest-return initial experiment.</w:t>
      </w:r>
    </w:p>
    <w:bookmarkEnd w:id="37"/>
    <w:bookmarkStart w:id="38" w:name="the-heteronym-token-trigger-hypothesis"/>
    <w:p>
      <w:pPr>
        <w:pStyle w:val="Heading4"/>
      </w:pPr>
      <w:r>
        <w:t xml:space="preserve">2.4.2 The Heteronym Token Trigger Hypothesis</w:t>
      </w:r>
    </w:p>
    <w:p>
      <w:pPr>
        <w:pStyle w:val="FirstParagraph"/>
      </w:pPr>
      <w:r>
        <w:t xml:space="preserve">The Ode Triunfal tokenizer’s four heteronym tokens—</w:t>
      </w:r>
      <w:r>
        <w:rPr>
          <w:rStyle w:val="VerbatimChar"/>
        </w:rPr>
        <w:t xml:space="preserve">&lt;|fernando_pessoa|&gt;</w:t>
      </w:r>
      <w:r>
        <w:t xml:space="preserve"> </w:t>
      </w:r>
      <w:r>
        <w:t xml:space="preserve">(256),</w:t>
      </w:r>
      <w:r>
        <w:t xml:space="preserve"> </w:t>
      </w:r>
      <w:r>
        <w:rPr>
          <w:rStyle w:val="VerbatimChar"/>
        </w:rPr>
        <w:t xml:space="preserve">&lt;|alberto_caeiro|&gt;</w:t>
      </w:r>
      <w:r>
        <w:t xml:space="preserve"> </w:t>
      </w:r>
      <w:r>
        <w:t xml:space="preserve">(257),</w:t>
      </w:r>
      <w:r>
        <w:t xml:space="preserve"> </w:t>
      </w:r>
      <w:r>
        <w:rPr>
          <w:rStyle w:val="VerbatimChar"/>
        </w:rPr>
        <w:t xml:space="preserve">&lt;|ricardo_reis|&gt;</w:t>
      </w:r>
      <w:r>
        <w:t xml:space="preserve"> </w:t>
      </w:r>
      <w:r>
        <w:t xml:space="preserve">(258), and</w:t>
      </w:r>
      <w:r>
        <w:t xml:space="preserve"> </w:t>
      </w:r>
      <w:r>
        <w:rPr>
          <w:rStyle w:val="VerbatimChar"/>
        </w:rPr>
        <w:t xml:space="preserve">&lt;|bernardo_soares|&gt;</w:t>
      </w:r>
      <w:r>
        <w:t xml:space="preserve"> </w:t>
      </w:r>
      <w:r>
        <w:t xml:space="preserve">(259)—represent a highly unusual design choice. In standard GPT tokenizers, special tokens serve structural roles (BOS, EOS, padding); thematic special tokens named after literary personas are unprecedented. These tokens have embedding norms of approximately 0.7 (near-random initialization), consistent with the undertrained token pattern that GlitchMiner and Magikarp methods use to detect anomalous vocabulary entries</w:t>
      </w:r>
      <w:r>
        <w:t xml:space="preserve"> </w:t>
      </w:r>
      <w:fldSimple w:instr="NOTEREF _Ref_Footnote_11 \h \f">
        <w:r>
          <w:rPr>
            <w:vertAlign w:val="superscript"/>
          </w:rPr>
          <w:t>11</w:t>
        </w:r>
      </w:fldSimple>
      <w:r>
        <w:t xml:space="preserve">.</w:t>
      </w:r>
    </w:p>
    <w:p>
      <w:pPr>
        <w:pStyle w:val="BodyText"/>
      </w:pPr>
      <w:r>
        <w:t xml:space="preserve">Drawing from glitch token research</w:t>
      </w:r>
      <w:r>
        <w:t xml:space="preserve"> </w:t>
      </w:r>
      <w:r>
        <w:rPr>
          <w:vertAlign w:val="superscript"/>
        </w:rPr>
        <w:footnoteReference w:id="45"/>
      </w:r>
      <w:r>
        <w:t xml:space="preserve">, instruction backdoor transfer</w:t>
      </w:r>
      <w:r>
        <w:t xml:space="preserve"> </w:t>
      </w:r>
      <w:fldSimple w:instr="NOTEREF _Ref_Footnote_27 \h \f">
        <w:r>
          <w:rPr>
            <w:vertAlign w:val="superscript"/>
          </w:rPr>
          <w:t>27</w:t>
        </w:r>
      </w:fldSimple>
      <w:r>
        <w:t xml:space="preserve">, and the multi-token trigger literature</w:t>
      </w:r>
      <w:r>
        <w:t xml:space="preserve"> </w:t>
      </w:r>
      <w:fldSimple w:instr="NOTEREF _Ref_Footnote_30 \h \f">
        <w:r>
          <w:rPr>
            <w:vertAlign w:val="superscript"/>
          </w:rPr>
          <w:t>30</w:t>
        </w:r>
      </w:fldSimple>
      <w:r>
        <w:t xml:space="preserve">, the heteronym tokens may function as a multi-bit unlock code where specific combinations or sequences activate different model behaviors. The 256 possible ordered combinations of four tokens (4! = 24 if all distinct, 4^4 = 256 if repetitions allowed) define a finite, exhaustively searchable space. The</w:t>
      </w:r>
      <w:r>
        <w:t xml:space="preserve"> </w:t>
      </w:r>
      <w:r>
        <w:rPr>
          <w:rStyle w:val="VerbatimChar"/>
        </w:rPr>
        <w:t xml:space="preserve">{</w:t>
      </w:r>
      <w:r>
        <w:t xml:space="preserve"> </w:t>
      </w:r>
      <w:r>
        <w:t xml:space="preserve">token (261), with the highest non-trivial embedding norm (3.05), likely serves as a delimiter or terminator for any trigger sequence—consistent with its structural role as the opening brace of flag format strings.</w:t>
      </w:r>
    </w:p>
    <w:p>
      <w:pPr>
        <w:pStyle w:val="BodyText"/>
      </w:pPr>
      <w:r>
        <w:t xml:space="preserve">This hypothesis is testable: systematically evaluating all heteronym token permutations as prompt prefixes, combined with MLP6 ablation, and measuring P(f) would either identify a trigger combination or rule out this specific mechanism. The cross-verification evidence (HC-01: Two-Part Trigger Hypothesis) strongly supports the expectation that any trigger must be combined with architectural intervention—input prefix alone is insufficient when suppression circuits are actively masking the target output.</w:t>
      </w:r>
    </w:p>
    <w:p>
      <w:pPr>
        <w:pStyle w:val="BodyText"/>
      </w:pPr>
      <w:r>
        <w:t xml:space="preserve">The broader implication is that CTF challenge designers are increasingly embedding multi-condition triggers that require both correct prompting and architectural awareness. The arms race between trigger injection and trigger inversion—exemplified by GRASP’s demonstration that gradient shaping can reduce inversion success from 97.5% to 1.5%</w:t>
      </w:r>
      <w:r>
        <w:t xml:space="preserve"> </w:t>
      </w:r>
      <w:r>
        <w:rPr>
          <w:vertAlign w:val="superscript"/>
        </w:rPr>
        <w:footnoteReference w:id="46"/>
      </w:r>
      <w:r>
        <w:t xml:space="preserve">—means that extraction techniques must be combined rather than applied in isolation. For Ode Triunfal, the most promising strategy is a cascading approach: (1) top-k sampling variation as the lowest-effort test, (2) heteronym token permutation search combined with MLP6 ablation, (3) GCG optimization targeting flag-character logits, and (4) white-box logit lens analysis at post-suppression layers to extract the flag from internal representations regardless of generation behavior.</w:t>
      </w:r>
    </w:p>
    <w:p>
      <w:r>
        <w:pict>
          <v:rect style="width:0;height:1.5pt" o:hralign="center" o:hrstd="t" o:hr="t"/>
        </w:pict>
      </w:r>
    </w:p>
    <w:bookmarkEnd w:id="38"/>
    <w:bookmarkEnd w:id="39"/>
    <w:bookmarkEnd w:id="40"/>
    <w:bookmarkStart w:id="56" w:name="Xe55a1198f1bfb2d4c9772f3cb232be0ae1e9891"/>
    <w:p>
      <w:pPr>
        <w:pStyle w:val="Heading2"/>
      </w:pPr>
      <w:r>
        <w:t xml:space="preserve">3. Weight Steganography &amp; Checkpoint Forensics</w:t>
      </w:r>
    </w:p>
    <w:p>
      <w:pPr>
        <w:pStyle w:val="FirstParagraph"/>
      </w:pPr>
      <w:r>
        <w:t xml:space="preserve">A 50-million-parameter transformer checkpoint in float32 allocates roughly 200 MB of raw tensor storage — an enormous canvas for covert payloads. This chapter examines the full spectrum of weight-level steganographic techniques, from LSB mantissa embedding to neuron-level overwriting, extends the analysis to non-standard float encodings (NaN payloads, exponent manipulation), and surveys the checkpoint container itself — PyTorch pickle streams, safetensors metadata, and optimizer state — as independent information channels. Each section closes with concrete forensic procedures for the Ode Triunfal model, with particular attention to the atrophied layers 5–7.</w:t>
      </w:r>
    </w:p>
    <w:bookmarkStart w:id="44" w:name="float-based-encoding-techniques"/>
    <w:p>
      <w:pPr>
        <w:pStyle w:val="Heading3"/>
      </w:pPr>
      <w:r>
        <w:t xml:space="preserve">3.1 Float-Based Encoding Techniques</w:t>
      </w:r>
    </w:p>
    <w:bookmarkStart w:id="41" w:name="Xaf0fc30019e9892591cdecc933fbdbde4354dfa"/>
    <w:p>
      <w:pPr>
        <w:pStyle w:val="Heading4"/>
      </w:pPr>
      <w:r>
        <w:t xml:space="preserve">3.1.1 LSB Mantissa Embedding: X-LSB-Attack Analysis</w:t>
      </w:r>
    </w:p>
    <w:p>
      <w:pPr>
        <w:pStyle w:val="FirstParagraph"/>
      </w:pPr>
      <w:r>
        <w:t xml:space="preserve">The X-LSB-Attack formalized by Gilkarov and Dubin treats each float32 weight as a carrier by overwriting the</w:t>
      </w:r>
      <w:r>
        <w:t xml:space="preserve"> </w:t>
      </w:r>
      <m:oMath>
        <m:r>
          <m:t>X</m:t>
        </m:r>
      </m:oMath>
      <w:r>
        <w:t xml:space="preserve"> </w:t>
      </w:r>
      <w:r>
        <w:t xml:space="preserve">least significant bits of the 23-bit mantissa</w:t>
      </w:r>
      <w:r>
        <w:t xml:space="preserve"> </w:t>
      </w:r>
      <w:r>
        <w:rPr>
          <w:vertAlign w:val="superscript"/>
        </w:rPr>
        <w:footnoteReference w:id="47"/>
      </w:r>
      <w:r>
        <w:t xml:space="preserve">. The embedding rate is</w:t>
      </w:r>
      <w:r>
        <w:t xml:space="preserve"> </w:t>
      </w:r>
      <m:oMath>
        <m:r>
          <m:t>E</m:t>
        </m:r>
        <m:r>
          <m:t>R</m:t>
        </m:r>
        <m:r>
          <m:rPr>
            <m:sty m:val="p"/>
          </m:rPr>
          <m:t>=</m:t>
        </m:r>
        <m:r>
          <m:t>X</m:t>
        </m:r>
        <m:r>
          <m:rPr>
            <m:sty m:val="p"/>
          </m:rPr>
          <m:t>/</m:t>
        </m:r>
        <m:r>
          <m:t>32</m:t>
        </m:r>
      </m:oMath>
      <w:r>
        <w:t xml:space="preserve">, so 16 overwritten bits yield 50% — half the model’s bit budget repurposed for covert storage. Experiments on ResNet34, DenseNet, and VGG demonstrated that embedding rates up to 16 bits cause</w:t>
      </w:r>
      <w:r>
        <w:t xml:space="preserve"> </w:t>
      </w:r>
      <w:r>
        <w:t xml:space="preserve">“</w:t>
      </w:r>
      <w:r>
        <w:t xml:space="preserve">almost no degradation in model performance,</w:t>
      </w:r>
      <w:r>
        <w:t xml:space="preserve">”</w:t>
      </w:r>
      <w:r>
        <w:t xml:space="preserve"> </w:t>
      </w:r>
      <w:r>
        <w:t xml:space="preserve">enabling concealment of 3–50 MB inside a 100 MB model</w:t>
      </w:r>
      <w:r>
        <w:t xml:space="preserve"> </w:t>
      </w:r>
      <w:fldSimple w:instr="NOTEREF _Ref_Footnote_47 \h \f">
        <w:r>
          <w:rPr>
            <w:vertAlign w:val="superscript"/>
          </w:rPr>
          <w:t>47</w:t>
        </w:r>
      </w:fldSimple>
      <w:r>
        <w:t xml:space="preserve">. For Ode Triunfal’s 200 MB checkpoint, a conservative 8-bit overwrite yields approximately 50 MB of payload capacity — sufficient to encode the flag string millions of times over.</w:t>
      </w:r>
    </w:p>
    <w:p>
      <w:pPr>
        <w:pStyle w:val="BodyText"/>
      </w:pPr>
      <w:r>
        <w:t xml:space="preserve">Extraction is straightforward: weights are reinterpreted as</w:t>
      </w:r>
      <w:r>
        <w:t xml:space="preserve"> </w:t>
      </w:r>
      <w:r>
        <w:rPr>
          <w:rStyle w:val="VerbatimChar"/>
        </w:rPr>
        <w:t xml:space="preserve">uint32</w:t>
      </w:r>
      <w:r>
        <w:t xml:space="preserve">, masked, and bit fragments concatenated. This simplicity makes X-LSB-Attack the baseline technique every forensic scan must attempt first. Yet even naive LSB embedding leaves fingerprints:</w:t>
      </w:r>
      <w:r>
        <w:t xml:space="preserve"> </w:t>
      </w:r>
      <w:r>
        <w:t xml:space="preserve">“</w:t>
      </w:r>
      <w:r>
        <w:t xml:space="preserve">the randomness of bits systematically increases during the embedding of the secret message</w:t>
      </w:r>
      <w:r>
        <w:t xml:space="preserve">”</w:t>
      </w:r>
      <w:r>
        <w:t xml:space="preserve"> </w:t>
      </w:r>
      <w:fldSimple w:instr="NOTEREF _Ref_Footnote_46 \h \f">
        <w:r>
          <w:rPr>
            <w:vertAlign w:val="superscript"/>
          </w:rPr>
          <w:t>46</w:t>
        </w:r>
      </w:fldSimple>
      <w:r>
        <w:t xml:space="preserve">, producing measurable entropy elevations in lower bit planes.</w:t>
      </w:r>
    </w:p>
    <w:bookmarkEnd w:id="41"/>
    <w:bookmarkStart w:id="42" w:name="X22b24c4fa252d4eef29608f6d162128052b0d6a"/>
    <w:p>
      <w:pPr>
        <w:pStyle w:val="Heading4"/>
      </w:pPr>
      <w:r>
        <w:t xml:space="preserve">3.1.2 Full-Weight Overwriting in Atrophied Neurons: EvilModel</w:t>
      </w:r>
    </w:p>
    <w:p>
      <w:pPr>
        <w:pStyle w:val="FirstParagraph"/>
      </w:pPr>
      <w:r>
        <w:t xml:space="preserve">EvilModel overwrites entire neurons rather than individual bits. Wang et al. demonstrated that fully-connected layers contain</w:t>
      </w:r>
      <w:r>
        <w:t xml:space="preserve"> </w:t>
      </w:r>
      <w:r>
        <w:t xml:space="preserve">“</w:t>
      </w:r>
      <w:r>
        <w:t xml:space="preserve">redundant neurons</w:t>
      </w:r>
      <w:r>
        <w:t xml:space="preserve">”</w:t>
      </w:r>
      <w:r>
        <w:t xml:space="preserve"> </w:t>
      </w:r>
      <w:r>
        <w:t xml:space="preserve">whose removal minimally impacts accuracy — neurons that have atrophied during training</w:t>
      </w:r>
      <w:r>
        <w:t xml:space="preserve"> </w:t>
      </w:r>
      <w:r>
        <w:rPr>
          <w:vertAlign w:val="superscript"/>
        </w:rPr>
        <w:footnoteReference w:id="48"/>
      </w:r>
      <w:r>
        <w:t xml:space="preserve">. The fast substitution reads malware three bytes at a time, prepends a one-byte prefix from</w:t>
      </w:r>
      <w:r>
        <w:t xml:space="preserve"> </w:t>
      </w:r>
      <m:oMath>
        <m:r>
          <m:rPr>
            <m:sty m:val="p"/>
          </m:rPr>
          <m:t>{</m:t>
        </m:r>
        <m:r>
          <m:t>0</m:t>
        </m:r>
        <m:r>
          <m:rPr>
            <m:nor/>
            <m:sty m:val="p"/>
          </m:rPr>
          <m:t>x</m:t>
        </m:r>
        <m:r>
          <m:t>3</m:t>
        </m:r>
        <m:r>
          <m:t>C</m:t>
        </m:r>
        <m:r>
          <m:rPr>
            <m:sty m:val="p"/>
          </m:rPr>
          <m:t>,</m:t>
        </m:r>
        <m:r>
          <m:t>0</m:t>
        </m:r>
        <m:r>
          <m:rPr>
            <m:nor/>
            <m:sty m:val="p"/>
          </m:rPr>
          <m:t>x</m:t>
        </m:r>
        <m:r>
          <m:t>38</m:t>
        </m:r>
        <m:r>
          <m:rPr>
            <m:sty m:val="p"/>
          </m:rPr>
          <m:t>,</m:t>
        </m:r>
        <m:r>
          <m:t>0</m:t>
        </m:r>
        <m:r>
          <m:rPr>
            <m:nor/>
            <m:sty m:val="p"/>
          </m:rPr>
          <m:t>x</m:t>
        </m:r>
        <m:r>
          <m:t>B</m:t>
        </m:r>
        <m:r>
          <m:t>C</m:t>
        </m:r>
        <m:r>
          <m:rPr>
            <m:sty m:val="p"/>
          </m:rPr>
          <m:t>,</m:t>
        </m:r>
        <m:r>
          <m:t>0</m:t>
        </m:r>
        <m:r>
          <m:rPr>
            <m:nor/>
            <m:sty m:val="p"/>
          </m:rPr>
          <m:t>x</m:t>
        </m:r>
        <m:r>
          <m:t>B</m:t>
        </m:r>
        <m:r>
          <m:t>8</m:t>
        </m:r>
        <m:r>
          <m:rPr>
            <m:sty m:val="p"/>
          </m:rPr>
          <m:t>}</m:t>
        </m:r>
      </m:oMath>
      <w:r>
        <w:t xml:space="preserve"> </w:t>
      </w:r>
      <w:r>
        <w:t xml:space="preserve">to form a valid float32, and replaces the atrophied neuron’s weight with this constructed value</w:t>
      </w:r>
      <w:r>
        <w:t xml:space="preserve"> </w:t>
      </w:r>
      <w:fldSimple w:instr="NOTEREF _Ref_Footnote_48 \h \f">
        <w:r>
          <w:rPr>
            <w:vertAlign w:val="superscript"/>
          </w:rPr>
          <w:t>48</w:t>
        </w:r>
      </w:fldSimple>
      <w:r>
        <w:t xml:space="preserve">. Each parameter embeds three payload bytes while preserving a plausible magnitude range.</w:t>
      </w:r>
    </w:p>
    <w:p>
      <w:pPr>
        <w:pStyle w:val="BodyText"/>
      </w:pPr>
      <w:r>
        <w:t xml:space="preserve">On AlexNet, EvilModel embedded 36.9 MB of malware while maintaining accuracy above 90% through batch normalization and retraining with infected neurons frozen</w:t>
      </w:r>
      <w:r>
        <w:t xml:space="preserve"> </w:t>
      </w:r>
      <w:r>
        <w:rPr>
          <w:vertAlign w:val="superscript"/>
        </w:rPr>
        <w:footnoteReference w:id="49"/>
      </w:r>
      <w:r>
        <w:t xml:space="preserve">. Batch normalization dramatically expands the pool of atrophied neurons: without BN, 1,785 neurons could be overwritten before accuracy fell below 90%, but with BN this rose to 2,105 neurons while baseline accuracy itself improved to 93.75%</w:t>
      </w:r>
      <w:r>
        <w:t xml:space="preserve"> </w:t>
      </w:r>
      <w:fldSimple w:instr="NOTEREF _Ref_Footnote_48 \h \f">
        <w:r>
          <w:rPr>
            <w:vertAlign w:val="superscript"/>
          </w:rPr>
          <w:t>48</w:t>
        </w:r>
      </w:fldSimple>
      <w:r>
        <w:t xml:space="preserve">. Evasion is striking — infected models scored</w:t>
      </w:r>
      <w:r>
        <w:t xml:space="preserve"> </w:t>
      </w:r>
      <w:r>
        <w:t xml:space="preserve">“</w:t>
      </w:r>
      <w:r>
        <w:t xml:space="preserve">58 anti-virus engines, 0 suspicious</w:t>
      </w:r>
      <w:r>
        <w:t xml:space="preserve">”</w:t>
      </w:r>
      <w:r>
        <w:t xml:space="preserve"> </w:t>
      </w:r>
      <w:r>
        <w:t xml:space="preserve">on VirusTotal</w:t>
      </w:r>
      <w:r>
        <w:t xml:space="preserve"> </w:t>
      </w:r>
      <w:r>
        <w:rPr>
          <w:vertAlign w:val="superscript"/>
        </w:rPr>
        <w:footnoteReference w:id="50"/>
      </w:r>
      <w:r>
        <w:t xml:space="preserve">because the payload resided in numerical parameters, not executable code.</w:t>
      </w:r>
    </w:p>
    <w:bookmarkEnd w:id="42"/>
    <w:bookmarkStart w:id="43" w:name="X2e31d0ee9a3fb23ec4cbd2b22cc526333b8fbe8"/>
    <w:p>
      <w:pPr>
        <w:pStyle w:val="Heading4"/>
      </w:pPr>
      <w:r>
        <w:t xml:space="preserve">3.1.3 Multi-Bit Structured Encoding: Error-Correcting Codes, Spread-Spectrum, Bit-Plane Analysis</w:t>
      </w:r>
    </w:p>
    <w:p>
      <w:pPr>
        <w:pStyle w:val="FirstParagraph"/>
      </w:pPr>
      <w:r>
        <w:t xml:space="preserve">Advanced steganography moves beyond simple bit replacement toward structured schemes that distribute payload energy across the weight space. Reed-Solomon and LDPC codes enable recovery even when quantization or pruning corrupts portions of embedded data; one spread-spectrum image system employed a</w:t>
      </w:r>
      <w:r>
        <w:t xml:space="preserve"> </w:t>
      </w:r>
      <m:oMath>
        <m:d>
          <m:dPr>
            <m:begChr m:val="("/>
            <m:endChr m:val=")"/>
            <m:sepChr m:val=""/>
            <m:grow/>
          </m:dPr>
          <m:e>
            <m:r>
              <m:t>889</m:t>
            </m:r>
            <m:r>
              <m:rPr>
                <m:sty m:val="p"/>
              </m:rPr>
              <m:t>,</m:t>
            </m:r>
            <m:r>
              <m:t>35</m:t>
            </m:r>
          </m:e>
        </m:d>
      </m:oMath>
      <w:r>
        <w:t xml:space="preserve"> </w:t>
      </w:r>
      <w:r>
        <w:t xml:space="preserve">Reed-Solomon code correcting blocks 27% in error</w:t>
      </w:r>
      <w:r>
        <w:t xml:space="preserve"> </w:t>
      </w:r>
      <w:r>
        <w:rPr>
          <w:vertAlign w:val="superscript"/>
        </w:rPr>
        <w:footnoteReference w:id="51"/>
      </w:r>
      <w:r>
        <w:t xml:space="preserve">. In neural networks, ECC provides resilience against post-processing that would destroy simple LSB payloads.</w:t>
      </w:r>
    </w:p>
    <w:p>
      <w:pPr>
        <w:pStyle w:val="BodyText"/>
      </w:pPr>
      <w:r>
        <w:t xml:space="preserve">Spread-spectrum (CDMA-based) coding distributes each payload bit across many carrier weights via multiplication with a pseudo-random noise (PN) sequence</w:t>
      </w:r>
      <w:r>
        <w:t xml:space="preserve"> </w:t>
      </w:r>
      <w:r>
        <w:rPr>
          <w:vertAlign w:val="superscript"/>
        </w:rPr>
        <w:footnoteReference w:id="52"/>
      </w:r>
      <w:r>
        <w:t xml:space="preserve">. The embedding signal at any individual weight sits below the noise floor, making detection without the spreading sequence computationally intractable</w:t>
      </w:r>
      <w:r>
        <w:t xml:space="preserve"> </w:t>
      </w:r>
      <w:r>
        <w:rPr>
          <w:vertAlign w:val="superscript"/>
        </w:rPr>
        <w:footnoteReference w:id="53"/>
      </w:r>
      <w:r>
        <w:t xml:space="preserve">. Model X-Ray demonstrated that few-shot classifiers trained on one attack type generalize to detect novel spread-spectrum variants</w:t>
      </w:r>
      <w:r>
        <w:t xml:space="preserve"> </w:t>
      </w:r>
      <w:fldSimple w:instr="NOTEREF _Ref_Footnote_47 \h \f">
        <w:r>
          <w:rPr>
            <w:vertAlign w:val="superscript"/>
          </w:rPr>
          <w:t>47</w:t>
        </w:r>
      </w:fldSimple>
      <w:r>
        <w:t xml:space="preserve">. Bit-plane analysis complements these approaches: 100% detection accuracy is achievable at the 14th bit plane with payloads</w:t>
      </w:r>
      <w:r>
        <w:t xml:space="preserve"> </w:t>
      </w:r>
      <m:oMath>
        <m:r>
          <m:rPr>
            <m:sty m:val="p"/>
          </m:rPr>
          <m:t>≥</m:t>
        </m:r>
        <m:r>
          <m:t>0.4</m:t>
        </m:r>
      </m:oMath>
      <w:r>
        <w:t xml:space="preserve">, degrading to 63–78% at the 18th plane</w:t>
      </w:r>
      <w:r>
        <w:t xml:space="preserve"> </w:t>
      </w:r>
      <w:fldSimple w:instr="NOTEREF _Ref_Footnote_46 \h \f">
        <w:r>
          <w:rPr>
            <w:vertAlign w:val="superscript"/>
          </w:rPr>
          <w:t>46</w:t>
        </w:r>
      </w:fldSimple>
      <w:r>
        <w:t xml:space="preserve">. Forensic examination should therefore prioritize bit planes 14–23, where embedding effects are strong enough to produce reliable signatures but subtle enough that attackers preferentially target them.</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Technique</w:t>
            </w:r>
          </w:p>
        </w:tc>
        <w:tc>
          <w:tcPr/>
          <w:p>
            <w:pPr>
              <w:pStyle w:val="Compact"/>
              <w:jc w:val="left"/>
            </w:pPr>
            <w:r>
              <w:t xml:space="preserve">Embedding Unit</w:t>
            </w:r>
          </w:p>
        </w:tc>
        <w:tc>
          <w:tcPr/>
          <w:p>
            <w:pPr>
              <w:pStyle w:val="Compact"/>
              <w:jc w:val="left"/>
            </w:pPr>
            <w:r>
              <w:t xml:space="preserve">Max Capacity (200 MB)</w:t>
            </w:r>
          </w:p>
        </w:tc>
        <w:tc>
          <w:tcPr/>
          <w:p>
            <w:pPr>
              <w:pStyle w:val="Compact"/>
              <w:jc w:val="left"/>
            </w:pPr>
            <w:r>
              <w:t xml:space="preserve">Accuracy Impact</w:t>
            </w:r>
          </w:p>
        </w:tc>
        <w:tc>
          <w:tcPr/>
          <w:p>
            <w:pPr>
              <w:pStyle w:val="Compact"/>
              <w:jc w:val="left"/>
            </w:pPr>
            <w:r>
              <w:t xml:space="preserve">Detection Resistance</w:t>
            </w:r>
          </w:p>
        </w:tc>
        <w:tc>
          <w:tcPr/>
          <w:p>
            <w:pPr>
              <w:pStyle w:val="Compact"/>
              <w:jc w:val="left"/>
            </w:pPr>
            <w:r>
              <w:t xml:space="preserve">Citation</w:t>
            </w:r>
          </w:p>
        </w:tc>
      </w:tr>
      <w:tr>
        <w:tc>
          <w:tcPr/>
          <w:p>
            <w:pPr>
              <w:pStyle w:val="Compact"/>
              <w:jc w:val="left"/>
            </w:pPr>
            <w:r>
              <w:t xml:space="preserve">X-LSB-Attack (16-bit)</w:t>
            </w:r>
          </w:p>
        </w:tc>
        <w:tc>
          <w:tcPr/>
          <w:p>
            <w:pPr>
              <w:pStyle w:val="Compact"/>
              <w:jc w:val="left"/>
            </w:pPr>
            <w:r>
              <w:t xml:space="preserve">LSBs of mantissa</w:t>
            </w:r>
          </w:p>
        </w:tc>
        <w:tc>
          <w:tcPr/>
          <w:p>
            <w:pPr>
              <w:pStyle w:val="Compact"/>
              <w:jc w:val="left"/>
            </w:pPr>
            <w:r>
              <w:t xml:space="preserve">~100 MB</w:t>
            </w:r>
          </w:p>
        </w:tc>
        <w:tc>
          <w:tcPr/>
          <w:p>
            <w:pPr>
              <w:pStyle w:val="Compact"/>
              <w:jc w:val="left"/>
            </w:pPr>
            <w:r>
              <w:t xml:space="preserve">Negligible (</w:t>
            </w:r>
            <m:oMath>
              <m:r>
                <m:rPr>
                  <m:sty m:val="p"/>
                </m:rPr>
                <m:t>&lt;</m:t>
              </m:r>
              <m:r>
                <m:t>1</m:t>
              </m:r>
              <m:r>
                <m:rPr>
                  <m:sty m:val="p"/>
                </m:rPr>
                <m:t>%</m:t>
              </m:r>
            </m:oMath>
            <w:r>
              <w:t xml:space="preserve">)</w:t>
            </w:r>
          </w:p>
        </w:tc>
        <w:tc>
          <w:tcPr/>
          <w:p>
            <w:pPr>
              <w:pStyle w:val="Compact"/>
              <w:jc w:val="left"/>
            </w:pPr>
            <w:r>
              <w:t xml:space="preserve">Low to medium</w:t>
            </w:r>
          </w:p>
        </w:tc>
        <w:tc>
          <w:tcPr/>
          <w:p>
            <w:pPr>
              <w:pStyle w:val="Compact"/>
              <w:jc w:val="left"/>
            </w:pPr>
            <w:fldSimple w:instr="NOTEREF _Ref_Footnote_47 \h \f">
              <w:r>
                <w:rPr>
                  <w:vertAlign w:val="superscript"/>
                </w:rPr>
                <w:t>47</w:t>
              </w:r>
            </w:fldSimple>
          </w:p>
        </w:tc>
      </w:tr>
      <w:tr>
        <w:tc>
          <w:tcPr/>
          <w:p>
            <w:pPr>
              <w:pStyle w:val="Compact"/>
              <w:jc w:val="left"/>
            </w:pPr>
            <w:r>
              <w:t xml:space="preserve">EvilModel (full-weight)</w:t>
            </w:r>
          </w:p>
        </w:tc>
        <w:tc>
          <w:tcPr/>
          <w:p>
            <w:pPr>
              <w:pStyle w:val="Compact"/>
              <w:jc w:val="left"/>
            </w:pPr>
            <w:r>
              <w:t xml:space="preserve">Entire neurons</w:t>
            </w:r>
          </w:p>
        </w:tc>
        <w:tc>
          <w:tcPr/>
          <w:p>
            <w:pPr>
              <w:pStyle w:val="Compact"/>
              <w:jc w:val="left"/>
            </w:pPr>
            <w:r>
              <w:t xml:space="preserve">~26.8 MB</w:t>
            </w:r>
          </w:p>
        </w:tc>
        <w:tc>
          <w:tcPr/>
          <w:p>
            <w:pPr>
              <w:pStyle w:val="Compact"/>
              <w:jc w:val="left"/>
            </w:pPr>
            <w:r>
              <w:t xml:space="preserve">Low (</w:t>
            </w:r>
            <m:oMath>
              <m:r>
                <m:rPr>
                  <m:sty m:val="p"/>
                </m:rPr>
                <m:t>&lt;</m:t>
              </m:r>
              <m:r>
                <m:t>1</m:t>
              </m:r>
              <m:r>
                <m:rPr>
                  <m:sty m:val="p"/>
                </m:rPr>
                <m:t>%</m:t>
              </m:r>
            </m:oMath>
            <w:r>
              <w:t xml:space="preserve"> </w:t>
            </w:r>
            <w:r>
              <w:t xml:space="preserve">with BN)</w:t>
            </w:r>
          </w:p>
        </w:tc>
        <w:tc>
          <w:tcPr/>
          <w:p>
            <w:pPr>
              <w:pStyle w:val="Compact"/>
              <w:jc w:val="left"/>
            </w:pPr>
            <w:r>
              <w:t xml:space="preserve">High (0/58 AV)</w:t>
            </w:r>
          </w:p>
        </w:tc>
        <w:tc>
          <w:tcPr/>
          <w:p>
            <w:pPr>
              <w:pStyle w:val="Compact"/>
              <w:jc w:val="left"/>
            </w:pPr>
            <w:fldSimple w:instr="NOTEREF _Ref_Footnote_48 \h \f">
              <w:r>
                <w:rPr>
                  <w:vertAlign w:val="superscript"/>
                </w:rPr>
                <w:t>48</w:t>
              </w:r>
            </w:fldSimple>
          </w:p>
        </w:tc>
      </w:tr>
      <w:tr>
        <w:tc>
          <w:tcPr/>
          <w:p>
            <w:pPr>
              <w:pStyle w:val="Compact"/>
              <w:jc w:val="left"/>
            </w:pPr>
            <w:r>
              <w:t xml:space="preserve">Spread-spectrum (CDMA)</w:t>
            </w:r>
          </w:p>
        </w:tc>
        <w:tc>
          <w:tcPr/>
          <w:p>
            <w:pPr>
              <w:pStyle w:val="Compact"/>
              <w:jc w:val="left"/>
            </w:pPr>
            <w:r>
              <w:t xml:space="preserve">All weights (distributed)</w:t>
            </w:r>
          </w:p>
        </w:tc>
        <w:tc>
          <w:tcPr/>
          <w:p>
            <w:pPr>
              <w:pStyle w:val="Compact"/>
              <w:jc w:val="left"/>
            </w:pPr>
            <w:r>
              <w:t xml:space="preserve">~20–50 MB</w:t>
            </w:r>
          </w:p>
        </w:tc>
        <w:tc>
          <w:tcPr/>
          <w:p>
            <w:pPr>
              <w:pStyle w:val="Compact"/>
              <w:jc w:val="left"/>
            </w:pPr>
            <w:r>
              <w:t xml:space="preserve">Negligible</w:t>
            </w:r>
          </w:p>
        </w:tc>
        <w:tc>
          <w:tcPr/>
          <w:p>
            <w:pPr>
              <w:pStyle w:val="Compact"/>
              <w:jc w:val="left"/>
            </w:pPr>
            <w:r>
              <w:t xml:space="preserve">Very high</w:t>
            </w:r>
          </w:p>
        </w:tc>
        <w:tc>
          <w:tcPr/>
          <w:p>
            <w:pPr>
              <w:pStyle w:val="Compact"/>
              <w:jc w:val="left"/>
            </w:pPr>
            <w:fldSimple w:instr="NOTEREF _Ref_Footnote_52 \h \f">
              <w:r>
                <w:rPr>
                  <w:vertAlign w:val="superscript"/>
                </w:rPr>
                <w:t>52</w:t>
              </w:r>
            </w:fldSimple>
          </w:p>
        </w:tc>
      </w:tr>
      <w:tr>
        <w:tc>
          <w:tcPr/>
          <w:p>
            <w:pPr>
              <w:pStyle w:val="Compact"/>
              <w:jc w:val="left"/>
            </w:pPr>
            <w:r>
              <w:t xml:space="preserve">Sign-mapping</w:t>
            </w:r>
          </w:p>
        </w:tc>
        <w:tc>
          <w:tcPr/>
          <w:p>
            <w:pPr>
              <w:pStyle w:val="Compact"/>
              <w:jc w:val="left"/>
            </w:pPr>
            <w:r>
              <w:t xml:space="preserve">Sign bit per parameter</w:t>
            </w:r>
          </w:p>
        </w:tc>
        <w:tc>
          <w:tcPr/>
          <w:p>
            <w:pPr>
              <w:pStyle w:val="Compact"/>
              <w:jc w:val="left"/>
            </w:pPr>
            <w:r>
              <w:t xml:space="preserve">$</w:t>
            </w:r>
            <w:r>
              <w:t xml:space="preserve">$6.25 MB</w:t>
            </w:r>
          </w:p>
        </w:tc>
        <w:tc>
          <w:tcPr/>
          <w:p>
            <w:pPr>
              <w:pStyle w:val="Compact"/>
              <w:jc w:val="left"/>
            </w:pPr>
            <w:r>
              <w:t xml:space="preserve">Negligible</w:t>
            </w:r>
          </w:p>
        </w:tc>
        <w:tc>
          <w:tcPr/>
          <w:p>
            <w:pPr>
              <w:pStyle w:val="Compact"/>
              <w:jc w:val="left"/>
            </w:pPr>
            <w:r>
              <w:t xml:space="preserve">Very high</w:t>
            </w:r>
          </w:p>
        </w:tc>
        <w:tc>
          <w:tcPr/>
          <w:p>
            <w:pPr>
              <w:pStyle w:val="Compact"/>
              <w:jc w:val="left"/>
            </w:pPr>
            <w:fldSimple w:instr="NOTEREF _Ref_Footnote_11 \h \f">
              <w:r>
                <w:rPr>
                  <w:vertAlign w:val="superscript"/>
                </w:rPr>
                <w:t>11</w:t>
              </w:r>
            </w:fldSimple>
          </w:p>
        </w:tc>
      </w:tr>
      <w:tr>
        <w:tc>
          <w:tcPr/>
          <w:p>
            <w:pPr>
              <w:pStyle w:val="Compact"/>
              <w:jc w:val="left"/>
            </w:pPr>
            <w:r>
              <w:t xml:space="preserve">Value-mapping</w:t>
            </w:r>
          </w:p>
        </w:tc>
        <w:tc>
          <w:tcPr/>
          <w:p>
            <w:pPr>
              <w:pStyle w:val="Compact"/>
              <w:jc w:val="left"/>
            </w:pPr>
            <w:r>
              <w:t xml:space="preserve">Matched parameter bits</w:t>
            </w:r>
          </w:p>
        </w:tc>
        <w:tc>
          <w:tcPr/>
          <w:p>
            <w:pPr>
              <w:pStyle w:val="Compact"/>
              <w:jc w:val="left"/>
            </w:pPr>
            <w:r>
              <w:t xml:space="preserve">Variable</w:t>
            </w:r>
          </w:p>
        </w:tc>
        <w:tc>
          <w:tcPr/>
          <w:p>
            <w:pPr>
              <w:pStyle w:val="Compact"/>
              <w:jc w:val="left"/>
            </w:pPr>
            <w:r>
              <w:t xml:space="preserve">Low</w:t>
            </w:r>
          </w:p>
        </w:tc>
        <w:tc>
          <w:tcPr/>
          <w:p>
            <w:pPr>
              <w:pStyle w:val="Compact"/>
              <w:jc w:val="left"/>
            </w:pPr>
            <w:r>
              <w:t xml:space="preserve">Medium</w:t>
            </w:r>
          </w:p>
        </w:tc>
        <w:tc>
          <w:tcPr/>
          <w:p>
            <w:pPr>
              <w:pStyle w:val="Compact"/>
              <w:jc w:val="left"/>
            </w:pPr>
            <w:fldSimple w:instr="NOTEREF _Ref_Footnote_48 \h \f">
              <w:r>
                <w:rPr>
                  <w:vertAlign w:val="superscript"/>
                </w:rPr>
                <w:t>48</w:t>
              </w:r>
            </w:fldSimple>
          </w:p>
        </w:tc>
      </w:tr>
      <w:tr>
        <w:tc>
          <w:tcPr/>
          <w:p>
            <w:pPr>
              <w:pStyle w:val="Compact"/>
              <w:jc w:val="left"/>
            </w:pPr>
            <w:r>
              <w:t xml:space="preserve">ECC-protected LSB</w:t>
            </w:r>
          </w:p>
        </w:tc>
        <w:tc>
          <w:tcPr/>
          <w:p>
            <w:pPr>
              <w:pStyle w:val="Compact"/>
              <w:jc w:val="left"/>
            </w:pPr>
            <w:r>
              <w:t xml:space="preserve">LSBs + Reed-Solomon</w:t>
            </w:r>
          </w:p>
        </w:tc>
        <w:tc>
          <w:tcPr/>
          <w:p>
            <w:pPr>
              <w:pStyle w:val="Compact"/>
              <w:jc w:val="left"/>
            </w:pPr>
            <w:r>
              <w:t xml:space="preserve">$</w:t>
            </w:r>
            <w:r>
              <w:t xml:space="preserve">$50–75% of raw</w:t>
            </w:r>
          </w:p>
        </w:tc>
        <w:tc>
          <w:tcPr/>
          <w:p>
            <w:pPr>
              <w:pStyle w:val="Compact"/>
              <w:jc w:val="left"/>
            </w:pPr>
            <w:r>
              <w:t xml:space="preserve">Low</w:t>
            </w:r>
          </w:p>
        </w:tc>
        <w:tc>
          <w:tcPr/>
          <w:p>
            <w:pPr>
              <w:pStyle w:val="Compact"/>
              <w:jc w:val="left"/>
            </w:pPr>
            <w:r>
              <w:t xml:space="preserve">Medium</w:t>
            </w:r>
          </w:p>
        </w:tc>
        <w:tc>
          <w:tcPr/>
          <w:p>
            <w:pPr>
              <w:pStyle w:val="Compact"/>
              <w:jc w:val="left"/>
            </w:pPr>
            <w:fldSimple w:instr="NOTEREF _Ref_Footnote_51 \h \f">
              <w:r>
                <w:rPr>
                  <w:vertAlign w:val="superscript"/>
                </w:rPr>
                <w:t>51</w:t>
              </w:r>
            </w:fldSimple>
          </w:p>
        </w:tc>
      </w:tr>
    </w:tbl>
    <w:p>
      <w:pPr>
        <w:pStyle w:val="BodyText"/>
      </w:pPr>
      <w:r>
        <w:t xml:space="preserve">The table reveals a fundamental capacity-robustness tradeoff. X-LSB-Attack offers the highest raw capacity but the lowest detection resistance, as systematic bit randomization at higher bit planes produces measurable statistical bias</w:t>
      </w:r>
      <w:r>
        <w:t xml:space="preserve"> </w:t>
      </w:r>
      <w:fldSimple w:instr="NOTEREF _Ref_Footnote_46 \h \f">
        <w:r>
          <w:rPr>
            <w:vertAlign w:val="superscript"/>
          </w:rPr>
          <w:t>46</w:t>
        </w:r>
      </w:fldSimple>
      <w:r>
        <w:t xml:space="preserve">. EvilModel occupies the middle ground — moderate capacity with strong evasion, though replacement values may not match expected weight distributions. Spread-spectrum encoding sacrifices capacity for the highest detection resistance. Sign-mapping, which encodes one bit per parameter via the sign bit, achieves negligible accuracy impact and survives fine-tuning because</w:t>
      </w:r>
      <w:r>
        <w:t xml:space="preserve"> </w:t>
      </w:r>
      <w:r>
        <w:t xml:space="preserve">“</w:t>
      </w:r>
      <w:r>
        <w:t xml:space="preserve">the sign bit of the weights, especially for those important parameters with large values, is defined at the training stage and rarely flips</w:t>
      </w:r>
      <w:r>
        <w:t xml:space="preserve">”</w:t>
      </w:r>
      <w:r>
        <w:t xml:space="preserve"> </w:t>
      </w:r>
      <w:fldSimple w:instr="NOTEREF _Ref_Footnote_11 \h \f">
        <w:r>
          <w:rPr>
            <w:vertAlign w:val="superscript"/>
          </w:rPr>
          <w:t>11</w:t>
        </w:r>
      </w:fldSimple>
      <w:r>
        <w:t xml:space="preserve">. For a CTF designer, the choice depends on whether the puzzle is meant to be solved through statistical analysis (X-LSB), structural inspection (EvilModel in dead layers), or sequence-key recovery (spread-spectrum).</w:t>
      </w:r>
    </w:p>
    <w:bookmarkEnd w:id="43"/>
    <w:bookmarkEnd w:id="44"/>
    <w:bookmarkStart w:id="48" w:name="novel-float-exploitation"/>
    <w:p>
      <w:pPr>
        <w:pStyle w:val="Heading3"/>
      </w:pPr>
      <w:r>
        <w:t xml:space="preserve">3.2 Novel Float Exploitation</w:t>
      </w:r>
    </w:p>
    <w:bookmarkStart w:id="45" w:name="nan-payload-steganography"/>
    <w:p>
      <w:pPr>
        <w:pStyle w:val="Heading4"/>
      </w:pPr>
      <w:r>
        <w:t xml:space="preserve">3.2.1 NaN Payload Steganography</w:t>
      </w:r>
    </w:p>
    <w:p>
      <w:pPr>
        <w:pStyle w:val="FirstParagraph"/>
      </w:pPr>
      <w:r>
        <w:t xml:space="preserve">IEEE 754 defines NaN values as having all exponent bits set to 1 with nonzero significand, leaving the remaining 22 bits (float32) or 51 bits (float64) of the trailing significand field undefined — the NaN</w:t>
      </w:r>
      <w:r>
        <w:t xml:space="preserve"> </w:t>
      </w:r>
      <w:r>
        <w:t xml:space="preserve">“</w:t>
      </w:r>
      <w:r>
        <w:t xml:space="preserve">payload</w:t>
      </w:r>
      <w:r>
        <w:t xml:space="preserve">”</w:t>
      </w:r>
      <w:r>
        <w:t xml:space="preserve"> </w:t>
      </w:r>
      <w:r>
        <w:rPr>
          <w:vertAlign w:val="superscript"/>
        </w:rPr>
        <w:footnoteReference w:id="54"/>
      </w:r>
      <w:r>
        <w:t xml:space="preserve">. The</w:t>
      </w:r>
      <w:r>
        <w:t xml:space="preserve"> </w:t>
      </w:r>
      <w:r>
        <w:rPr>
          <w:rStyle w:val="VerbatimChar"/>
        </w:rPr>
        <w:t xml:space="preserve">steganan</w:t>
      </w:r>
      <w:r>
        <w:t xml:space="preserve"> </w:t>
      </w:r>
      <w:r>
        <w:t xml:space="preserve">library exploits this to hide arbitrary data: a float64 NaN carries 51 bits of payload, a float32 NaN carries 22</w:t>
      </w:r>
      <w:r>
        <w:t xml:space="preserve"> </w:t>
      </w:r>
      <w:r>
        <w:rPr>
          <w:vertAlign w:val="superscript"/>
        </w:rPr>
        <w:footnoteReference w:id="55"/>
      </w:r>
      <w:r>
        <w:t xml:space="preserve">. Normal floating-point computation preserves NaN payloads through propagation, and most programs treat all NaN values identically regardless of payload, making this channel effectively invisible.</w:t>
      </w:r>
    </w:p>
    <w:p>
      <w:pPr>
        <w:pStyle w:val="BodyText"/>
      </w:pPr>
      <w:r>
        <w:t xml:space="preserve">For CTF forensics, three specific checks are required. First, scan all weight tensors for</w:t>
      </w:r>
      <w:r>
        <w:t xml:space="preserve"> </w:t>
      </w:r>
      <w:r>
        <w:rPr>
          <w:rStyle w:val="VerbatimChar"/>
        </w:rPr>
        <w:t xml:space="preserve">isnan()</w:t>
      </w:r>
      <w:r>
        <w:t xml:space="preserve"> </w:t>
      </w:r>
      <w:r>
        <w:t xml:space="preserve">— any NaN in a trained model is anomalous. Second, for each NaN, extract payload bits by masking the mantissa:</w:t>
      </w:r>
      <w:r>
        <w:t xml:space="preserve"> </w:t>
      </w:r>
      <w:r>
        <w:rPr>
          <w:rStyle w:val="VerbatimChar"/>
        </w:rPr>
        <w:t xml:space="preserve">payload = uint32_view &amp; 0x007FFFFF</w:t>
      </w:r>
      <w:r>
        <w:t xml:space="preserve"> </w:t>
      </w:r>
      <w:r>
        <w:t xml:space="preserve">for float32. Third, concatenate payloads and test for ASCII or UTF-8 decodability. The degenerate</w:t>
      </w:r>
      <w:r>
        <w:t xml:space="preserve"> </w:t>
      </w:r>
      <w:r>
        <w:t xml:space="preserve">“</w:t>
      </w:r>
      <w:r>
        <w:t xml:space="preserve">faguntarun</w:t>
      </w:r>
      <w:r>
        <w:t xml:space="preserve">”</w:t>
      </w:r>
      <w:r>
        <w:t xml:space="preserve"> </w:t>
      </w:r>
      <w:r>
        <w:t xml:space="preserve">output observed in Ode Triunfal is consistent with NaN propagation through matrix multiplications</w:t>
      </w:r>
      <w:r>
        <w:t xml:space="preserve"> </w:t>
      </w:r>
      <w:fldSimple w:instr="NOTEREF _Ref_Footnote_2 \h \f">
        <w:r>
          <w:rPr>
            <w:vertAlign w:val="superscript"/>
          </w:rPr>
          <w:t>2</w:t>
        </w:r>
      </w:fldSimple>
      <w:r>
        <w:t xml:space="preserve">. JavaScript engines have long used analogous NaN-boxing to store pointers within the 51-bit payload space</w:t>
      </w:r>
      <w:r>
        <w:t xml:space="preserve"> </w:t>
      </w:r>
      <w:r>
        <w:rPr>
          <w:vertAlign w:val="superscript"/>
        </w:rPr>
        <w:footnoteReference w:id="56"/>
      </w:r>
      <w:r>
        <w:t xml:space="preserve">, confirming this channel is both practical and well-understood.</w:t>
      </w:r>
    </w:p>
    <w:bookmarkEnd w:id="45"/>
    <w:bookmarkStart w:id="46" w:name="exponentmanipulated-mantissa-patterns"/>
    <w:p>
      <w:pPr>
        <w:pStyle w:val="Heading4"/>
      </w:pPr>
      <w:r>
        <w:t xml:space="preserve">3.2.2 Exponent/Manipulated Mantissa Patterns</w:t>
      </w:r>
    </w:p>
    <w:p>
      <w:pPr>
        <w:pStyle w:val="FirstParagraph"/>
      </w:pPr>
      <w:r>
        <w:t xml:space="preserve">Beyond mantissa LSBs, the exponent field offers a distinct encoding channel. X-LSB-Attack focuses on mantissa bits because</w:t>
      </w:r>
      <w:r>
        <w:t xml:space="preserve"> </w:t>
      </w:r>
      <w:r>
        <w:t xml:space="preserve">“</w:t>
      </w:r>
      <w:r>
        <w:t xml:space="preserve">changes outside the mantissa are easily noticed</w:t>
      </w:r>
      <w:r>
        <w:t xml:space="preserve">”</w:t>
      </w:r>
      <w:r>
        <w:t xml:space="preserve"> </w:t>
      </w:r>
      <w:fldSimple w:instr="NOTEREF _Ref_Footnote_47 \h \f">
        <w:r>
          <w:rPr>
            <w:vertAlign w:val="superscript"/>
          </w:rPr>
          <w:t>47</w:t>
        </w:r>
      </w:fldSimple>
      <w:r>
        <w:t xml:space="preserve">— altering exponent bits changes magnitude exponentially, risking observable accuracy degradation. However, EvilModel’s fast substitution carefully selects exponent prefixes (</w:t>
      </w:r>
      <m:oMath>
        <m:r>
          <m:t>0</m:t>
        </m:r>
        <m:r>
          <m:rPr>
            <m:nor/>
            <m:sty m:val="p"/>
          </m:rPr>
          <m:t>x</m:t>
        </m:r>
        <m:r>
          <m:t>3</m:t>
        </m:r>
        <m:r>
          <m:t>C</m:t>
        </m:r>
      </m:oMath>
      <w:r>
        <w:t xml:space="preserve">,</w:t>
      </w:r>
      <w:r>
        <w:t xml:space="preserve"> </w:t>
      </w:r>
      <m:oMath>
        <m:r>
          <m:t>0</m:t>
        </m:r>
        <m:r>
          <m:rPr>
            <m:nor/>
            <m:sty m:val="p"/>
          </m:rPr>
          <m:t>x</m:t>
        </m:r>
        <m:r>
          <m:t>38</m:t>
        </m:r>
      </m:oMath>
      <w:r>
        <w:t xml:space="preserve">,</w:t>
      </w:r>
      <w:r>
        <w:t xml:space="preserve"> </w:t>
      </w:r>
      <m:oMath>
        <m:r>
          <m:t>0</m:t>
        </m:r>
        <m:r>
          <m:rPr>
            <m:nor/>
            <m:sty m:val="p"/>
          </m:rPr>
          <m:t>x</m:t>
        </m:r>
        <m:r>
          <m:t>B</m:t>
        </m:r>
        <m:r>
          <m:t>C</m:t>
        </m:r>
      </m:oMath>
      <w:r>
        <w:t xml:space="preserve">,</w:t>
      </w:r>
      <w:r>
        <w:t xml:space="preserve"> </w:t>
      </w:r>
      <m:oMath>
        <m:r>
          <m:t>0</m:t>
        </m:r>
        <m:r>
          <m:rPr>
            <m:nor/>
            <m:sty m:val="p"/>
          </m:rPr>
          <m:t>x</m:t>
        </m:r>
        <m:r>
          <m:t>B</m:t>
        </m:r>
        <m:r>
          <m:t>8</m:t>
        </m:r>
      </m:oMath>
      <w:r>
        <w:t xml:space="preserve">) to keep replaced weights in a plausible range</w:t>
      </w:r>
      <w:r>
        <w:t xml:space="preserve"> </w:t>
      </w:r>
      <w:fldSimple w:instr="NOTEREF _Ref_Footnote_48 \h \f">
        <w:r>
          <w:rPr>
            <w:vertAlign w:val="superscript"/>
          </w:rPr>
          <w:t>48</w:t>
        </w:r>
      </w:fldSimple>
      <w:r>
        <w:t xml:space="preserve">. More sophisticated approaches encode data in the least-significant exponent bits (bits 23–30 in float32), trading range compression against invisibility. For a 50M-parameter model, the 8 exponent bits provide an additional 50 MB of secondary capacity beyond the 23 mantissa bits.</w:t>
      </w:r>
    </w:p>
    <w:bookmarkEnd w:id="46"/>
    <w:bookmarkStart w:id="47" w:name="X98465be17f2ed0f5d298c02f754a5c47b080840"/>
    <w:p>
      <w:pPr>
        <w:pStyle w:val="Heading4"/>
      </w:pPr>
      <w:r>
        <w:t xml:space="preserve">3.2.3 Statistical Detection Methods: Model X-Ray, Benford’s Law</w:t>
      </w:r>
    </w:p>
    <w:p>
      <w:pPr>
        <w:pStyle w:val="FirstParagraph"/>
      </w:pPr>
      <w:r>
        <w:rPr>
          <w:bCs/>
          <w:b/>
        </w:rPr>
        <w:t xml:space="preserve">Model X-Ray</w:t>
      </w:r>
      <w:r>
        <w:t xml:space="preserve"> </w:t>
      </w:r>
      <w:r>
        <w:t xml:space="preserve">converts weight tensors into image representations and trains a classifier on as few as six samples — down from 40,000 models required by prior approaches</w:t>
      </w:r>
      <w:r>
        <w:t xml:space="preserve"> </w:t>
      </w:r>
      <w:fldSimple w:instr="NOTEREF _Ref_Footnote_47 \h \f">
        <w:r>
          <w:rPr>
            <w:vertAlign w:val="superscript"/>
          </w:rPr>
          <w:t>47</w:t>
        </w:r>
      </w:fldSimple>
      <w:r>
        <w:t xml:space="preserve">. It achieves consistent detection at embedding rates as low as 25%, and in some configurations detects attacks with only 6% embedding rate</w:t>
      </w:r>
      <w:r>
        <w:t xml:space="preserve"> </w:t>
      </w:r>
      <w:fldSimple w:instr="NOTEREF _Ref_Footnote_47 \h \f">
        <w:r>
          <w:rPr>
            <w:vertAlign w:val="superscript"/>
          </w:rPr>
          <w:t>47</w:t>
        </w:r>
      </w:fldSimple>
      <w:r>
        <w:t xml:space="preserve">. Critically, it generalizes across attack types: training on LSB-embedded samples enables detection of novel spread-spectrum attacks</w:t>
      </w:r>
      <w:r>
        <w:t xml:space="preserve"> </w:t>
      </w:r>
      <w:fldSimple w:instr="NOTEREF _Ref_Footnote_47 \h \f">
        <w:r>
          <w:rPr>
            <w:vertAlign w:val="superscript"/>
          </w:rPr>
          <w:t>47</w:t>
        </w:r>
      </w:fldSimple>
      <w:r>
        <w:t xml:space="preserve">.</w:t>
      </w:r>
    </w:p>
    <w:p>
      <w:pPr>
        <w:pStyle w:val="BodyText"/>
      </w:pPr>
      <w:r>
        <w:rPr>
          <w:bCs/>
          <w:b/>
        </w:rPr>
        <w:t xml:space="preserve">Benford’s Law</w:t>
      </w:r>
      <w:r>
        <w:t xml:space="preserve"> </w:t>
      </w:r>
      <w:r>
        <w:t xml:space="preserve">states that first significant digits in natural datasets follow</w:t>
      </w:r>
      <w:r>
        <w:t xml:space="preserve"> </w:t>
      </w:r>
      <m:oMath>
        <m:r>
          <m:t>P</m:t>
        </m:r>
        <m:d>
          <m:dPr>
            <m:begChr m:val="("/>
            <m:endChr m:val=")"/>
            <m:sepChr m:val=""/>
            <m:grow/>
          </m:dPr>
          <m:e>
            <m:r>
              <m:t>d</m:t>
            </m:r>
          </m:e>
        </m:d>
        <m:r>
          <m:rPr>
            <m:sty m:val="p"/>
          </m:rPr>
          <m:t>=</m:t>
        </m:r>
        <m:sSub>
          <m:e>
            <m:r>
              <m:rPr>
                <m:sty m:val="p"/>
              </m:rPr>
              <m:t>log</m:t>
            </m:r>
          </m:e>
          <m:sub>
            <m:r>
              <m:t>10</m:t>
            </m:r>
          </m:sub>
        </m:sSub>
        <m:d>
          <m:dPr>
            <m:begChr m:val="("/>
            <m:endChr m:val=")"/>
            <m:sepChr m:val=""/>
            <m:grow/>
          </m:dPr>
          <m:e>
            <m:r>
              <m:t>1</m:t>
            </m:r>
            <m:r>
              <m:rPr>
                <m:sty m:val="p"/>
              </m:rPr>
              <m:t>+</m:t>
            </m:r>
            <m:r>
              <m:t>1</m:t>
            </m:r>
            <m:r>
              <m:rPr>
                <m:sty m:val="p"/>
              </m:rPr>
              <m:t>/</m:t>
            </m:r>
            <m:r>
              <m:t>d</m:t>
            </m:r>
          </m:e>
        </m:d>
      </m:oMath>
      <w:r>
        <w:t xml:space="preserve">. Research confirms this</w:t>
      </w:r>
      <w:r>
        <w:t xml:space="preserve"> </w:t>
      </w:r>
      <w:r>
        <w:t xml:space="preserve">“</w:t>
      </w:r>
      <w:r>
        <w:t xml:space="preserve">is observed in the weights of neural networks, and in most cases, the divergence from Benford’s Law expectation (DBLE) increases as the training progresses</w:t>
      </w:r>
      <w:r>
        <w:t xml:space="preserve">”</w:t>
      </w:r>
      <w:r>
        <w:t xml:space="preserve"> </w:t>
      </w:r>
      <w:r>
        <w:rPr>
          <w:vertAlign w:val="superscript"/>
        </w:rPr>
        <w:footnoteReference w:id="57"/>
      </w:r>
      <w:r>
        <w:t xml:space="preserve">. The Model Enthalpy metric</w:t>
      </w:r>
      <w:r>
        <w:t xml:space="preserve"> </w:t>
      </w:r>
      <m:oMath>
        <m:r>
          <m:t>M</m:t>
        </m:r>
        <m:r>
          <m:t>L</m:t>
        </m:r>
        <m:r>
          <m:t>H</m:t>
        </m:r>
        <m:d>
          <m:dPr>
            <m:begChr m:val="("/>
            <m:endChr m:val=")"/>
            <m:sepChr m:val=""/>
            <m:grow/>
          </m:dPr>
          <m:e>
            <m:r>
              <m:t>θ</m:t>
            </m:r>
          </m:e>
        </m:d>
        <m:r>
          <m:rPr>
            <m:sty m:val="p"/>
          </m:rPr>
          <m:t>=</m:t>
        </m:r>
        <m:r>
          <m:rPr>
            <m:nor/>
            <m:sty m:val="p"/>
          </m:rPr>
          <m:t>PearsonR</m:t>
        </m:r>
        <m:d>
          <m:dPr>
            <m:begChr m:val="("/>
            <m:endChr m:val=")"/>
            <m:sepChr m:val=""/>
            <m:grow/>
          </m:dPr>
          <m:e>
            <m:r>
              <m:rPr>
                <m:nor/>
                <m:sty m:val="p"/>
              </m:rPr>
              <m:t>BinCount</m:t>
            </m:r>
            <m:d>
              <m:dPr>
                <m:begChr m:val="("/>
                <m:endChr m:val=")"/>
                <m:sepChr m:val=""/>
                <m:grow/>
              </m:dPr>
              <m:e>
                <m:r>
                  <m:t>θ</m:t>
                </m:r>
              </m:e>
            </m:d>
            <m:r>
              <m:rPr>
                <m:sty m:val="p"/>
              </m:rPr>
              <m:t>,</m:t>
            </m:r>
            <m:sSub>
              <m:e>
                <m:r>
                  <m:t>P</m:t>
                </m:r>
              </m:e>
              <m:sub>
                <m:r>
                  <m:t>B</m:t>
                </m:r>
              </m:sub>
            </m:sSub>
          </m:e>
        </m:d>
      </m:oMath>
      <w:r>
        <w:t xml:space="preserve"> </w:t>
      </w:r>
      <w:r>
        <w:t xml:space="preserve">quantifies alignment</w:t>
      </w:r>
      <w:r>
        <w:t xml:space="preserve"> </w:t>
      </w:r>
      <w:r>
        <w:rPr>
          <w:vertAlign w:val="superscript"/>
        </w:rPr>
        <w:footnoteReference w:id="58"/>
      </w:r>
      <w:r>
        <w:t xml:space="preserve">; steganographic embedding disrupts it by injecting uniformly distributed payload bits. Benford screening across layers can pinpoint anomalous layers — such as Ode Triunfal’s layers 5–7 — whose digit distributions diverge from both the Benford expectation and functional layers. The method is particularly effective because it requires no labeled training data and no model-specific calibration: the Benford distribution is a universal prior against which any weight tensor can be compared in seconds.</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Detection Method</w:t>
            </w:r>
          </w:p>
        </w:tc>
        <w:tc>
          <w:tcPr/>
          <w:p>
            <w:pPr>
              <w:pStyle w:val="Compact"/>
              <w:jc w:val="left"/>
            </w:pPr>
            <w:r>
              <w:t xml:space="preserve">Training Data</w:t>
            </w:r>
          </w:p>
        </w:tc>
        <w:tc>
          <w:tcPr/>
          <w:p>
            <w:pPr>
              <w:pStyle w:val="Compact"/>
              <w:jc w:val="left"/>
            </w:pPr>
            <w:r>
              <w:t xml:space="preserve">Min ER Detected</w:t>
            </w:r>
          </w:p>
        </w:tc>
        <w:tc>
          <w:tcPr/>
          <w:p>
            <w:pPr>
              <w:pStyle w:val="Compact"/>
              <w:jc w:val="left"/>
            </w:pPr>
            <w:r>
              <w:t xml:space="preserve">Attack Types</w:t>
            </w:r>
          </w:p>
        </w:tc>
        <w:tc>
          <w:tcPr/>
          <w:p>
            <w:pPr>
              <w:pStyle w:val="Compact"/>
              <w:jc w:val="left"/>
            </w:pPr>
            <w:r>
              <w:t xml:space="preserve">Cost</w:t>
            </w:r>
          </w:p>
        </w:tc>
        <w:tc>
          <w:tcPr/>
          <w:p>
            <w:pPr>
              <w:pStyle w:val="Compact"/>
              <w:jc w:val="left"/>
            </w:pPr>
            <w:r>
              <w:t xml:space="preserve">Citation</w:t>
            </w:r>
          </w:p>
        </w:tc>
      </w:tr>
      <w:tr>
        <w:tc>
          <w:tcPr/>
          <w:p>
            <w:pPr>
              <w:pStyle w:val="Compact"/>
              <w:jc w:val="left"/>
            </w:pPr>
            <w:r>
              <w:t xml:space="preserve">Model X-Ray</w:t>
            </w:r>
          </w:p>
        </w:tc>
        <w:tc>
          <w:tcPr/>
          <w:p>
            <w:pPr>
              <w:pStyle w:val="Compact"/>
              <w:jc w:val="left"/>
            </w:pPr>
            <w:r>
              <w:t xml:space="preserve">6 models</w:t>
            </w:r>
          </w:p>
        </w:tc>
        <w:tc>
          <w:tcPr/>
          <w:p>
            <w:pPr>
              <w:pStyle w:val="Compact"/>
              <w:jc w:val="left"/>
            </w:pPr>
            <w:r>
              <w:t xml:space="preserve">6–25%</w:t>
            </w:r>
          </w:p>
        </w:tc>
        <w:tc>
          <w:tcPr/>
          <w:p>
            <w:pPr>
              <w:pStyle w:val="Compact"/>
              <w:jc w:val="left"/>
            </w:pPr>
            <w:r>
              <w:t xml:space="preserve">LSB, SS, novel</w:t>
            </w:r>
          </w:p>
        </w:tc>
        <w:tc>
          <w:tcPr/>
          <w:p>
            <w:pPr>
              <w:pStyle w:val="Compact"/>
              <w:jc w:val="left"/>
            </w:pPr>
            <w:r>
              <w:t xml:space="preserve">Low</w:t>
            </w:r>
          </w:p>
        </w:tc>
        <w:tc>
          <w:tcPr/>
          <w:p>
            <w:pPr>
              <w:pStyle w:val="Compact"/>
              <w:jc w:val="left"/>
            </w:pPr>
            <w:fldSimple w:instr="NOTEREF _Ref_Footnote_47 \h \f">
              <w:r>
                <w:rPr>
                  <w:vertAlign w:val="superscript"/>
                </w:rPr>
                <w:t>47</w:t>
              </w:r>
            </w:fldSimple>
          </w:p>
        </w:tc>
      </w:tr>
      <w:tr>
        <w:tc>
          <w:tcPr/>
          <w:p>
            <w:pPr>
              <w:pStyle w:val="Compact"/>
              <w:jc w:val="left"/>
            </w:pPr>
            <w:r>
              <w:t xml:space="preserve">Parameter stat. bias</w:t>
            </w:r>
          </w:p>
        </w:tc>
        <w:tc>
          <w:tcPr/>
          <w:p>
            <w:pPr>
              <w:pStyle w:val="Compact"/>
              <w:jc w:val="left"/>
            </w:pPr>
            <w:r>
              <w:t xml:space="preserve">100+ models</w:t>
            </w:r>
          </w:p>
        </w:tc>
        <w:tc>
          <w:tcPr/>
          <w:p>
            <w:pPr>
              <w:pStyle w:val="Compact"/>
              <w:jc w:val="left"/>
            </w:pPr>
            <w:r>
              <w:t xml:space="preserve">Payload</w:t>
            </w:r>
            <w:r>
              <w:t xml:space="preserve"> </w:t>
            </w:r>
            <m:oMath>
              <m:r>
                <m:rPr>
                  <m:sty m:val="p"/>
                </m:rPr>
                <m:t>≥</m:t>
              </m:r>
              <m:r>
                <m:t>0.2</m:t>
              </m:r>
            </m:oMath>
          </w:p>
        </w:tc>
        <w:tc>
          <w:tcPr/>
          <w:p>
            <w:pPr>
              <w:pStyle w:val="Compact"/>
              <w:jc w:val="left"/>
            </w:pPr>
            <w:r>
              <w:t xml:space="preserve">LSB, correlated, sign</w:t>
            </w:r>
          </w:p>
        </w:tc>
        <w:tc>
          <w:tcPr/>
          <w:p>
            <w:pPr>
              <w:pStyle w:val="Compact"/>
              <w:jc w:val="left"/>
            </w:pPr>
            <w:r>
              <w:t xml:space="preserve">Medium</w:t>
            </w:r>
          </w:p>
        </w:tc>
        <w:tc>
          <w:tcPr/>
          <w:p>
            <w:pPr>
              <w:pStyle w:val="Compact"/>
              <w:jc w:val="left"/>
            </w:pPr>
            <w:fldSimple w:instr="NOTEREF _Ref_Footnote_46 \h \f">
              <w:r>
                <w:rPr>
                  <w:vertAlign w:val="superscript"/>
                </w:rPr>
                <w:t>46</w:t>
              </w:r>
            </w:fldSimple>
          </w:p>
        </w:tc>
      </w:tr>
      <w:tr>
        <w:tc>
          <w:tcPr/>
          <w:p>
            <w:pPr>
              <w:pStyle w:val="Compact"/>
              <w:jc w:val="left"/>
            </w:pPr>
            <w:r>
              <w:t xml:space="preserve">Benford’s Law (MLH)</w:t>
            </w:r>
          </w:p>
        </w:tc>
        <w:tc>
          <w:tcPr/>
          <w:p>
            <w:pPr>
              <w:pStyle w:val="Compact"/>
              <w:jc w:val="left"/>
            </w:pPr>
            <w:r>
              <w:t xml:space="preserve">None</w:t>
            </w:r>
          </w:p>
        </w:tc>
        <w:tc>
          <w:tcPr/>
          <w:p>
            <w:pPr>
              <w:pStyle w:val="Compact"/>
              <w:jc w:val="left"/>
            </w:pPr>
            <w:r>
              <w:t xml:space="preserve">Varies</w:t>
            </w:r>
          </w:p>
        </w:tc>
        <w:tc>
          <w:tcPr/>
          <w:p>
            <w:pPr>
              <w:pStyle w:val="Compact"/>
              <w:jc w:val="left"/>
            </w:pPr>
            <w:r>
              <w:t xml:space="preserve">All perturbations</w:t>
            </w:r>
          </w:p>
        </w:tc>
        <w:tc>
          <w:tcPr/>
          <w:p>
            <w:pPr>
              <w:pStyle w:val="Compact"/>
              <w:jc w:val="left"/>
            </w:pPr>
            <w:r>
              <w:t xml:space="preserve">Low</w:t>
            </w:r>
          </w:p>
        </w:tc>
        <w:tc>
          <w:tcPr/>
          <w:p>
            <w:pPr>
              <w:pStyle w:val="Compact"/>
              <w:jc w:val="left"/>
            </w:pPr>
            <w:fldSimple w:instr="NOTEREF _Ref_Footnote_57 \h \f">
              <w:r>
                <w:rPr>
                  <w:vertAlign w:val="superscript"/>
                </w:rPr>
                <w:t>57</w:t>
              </w:r>
            </w:fldSimple>
            <w:r>
              <w:t xml:space="preserve"> </w:t>
            </w:r>
            <w:fldSimple w:instr="NOTEREF _Ref_Footnote_58 \h \f">
              <w:r>
                <w:rPr>
                  <w:vertAlign w:val="superscript"/>
                </w:rPr>
                <w:t>58</w:t>
              </w:r>
            </w:fldSimple>
          </w:p>
        </w:tc>
      </w:tr>
      <w:tr>
        <w:tc>
          <w:tcPr/>
          <w:p>
            <w:pPr>
              <w:pStyle w:val="Compact"/>
              <w:jc w:val="left"/>
            </w:pPr>
            <w:r>
              <w:t xml:space="preserve">Spectral (SVD)</w:t>
            </w:r>
          </w:p>
        </w:tc>
        <w:tc>
          <w:tcPr/>
          <w:p>
            <w:pPr>
              <w:pStyle w:val="Compact"/>
              <w:jc w:val="left"/>
            </w:pPr>
            <w:r>
              <w:t xml:space="preserve">None</w:t>
            </w:r>
          </w:p>
        </w:tc>
        <w:tc>
          <w:tcPr/>
          <w:p>
            <w:pPr>
              <w:pStyle w:val="Compact"/>
              <w:jc w:val="left"/>
            </w:pPr>
            <w:r>
              <w:t xml:space="preserve">High ER</w:t>
            </w:r>
          </w:p>
        </w:tc>
        <w:tc>
          <w:tcPr/>
          <w:p>
            <w:pPr>
              <w:pStyle w:val="Compact"/>
              <w:jc w:val="left"/>
            </w:pPr>
            <w:r>
              <w:t xml:space="preserve">Neuron replacement</w:t>
            </w:r>
          </w:p>
        </w:tc>
        <w:tc>
          <w:tcPr/>
          <w:p>
            <w:pPr>
              <w:pStyle w:val="Compact"/>
              <w:jc w:val="left"/>
            </w:pPr>
            <w:r>
              <w:t xml:space="preserve">High</w:t>
            </w:r>
          </w:p>
        </w:tc>
        <w:tc>
          <w:tcPr/>
          <w:p>
            <w:pPr>
              <w:pStyle w:val="Compact"/>
              <w:jc w:val="left"/>
            </w:pPr>
            <w:r>
              <w:rPr>
                <w:vertAlign w:val="superscript"/>
              </w:rPr>
              <w:footnoteReference w:id="59"/>
            </w:r>
          </w:p>
        </w:tc>
      </w:tr>
      <w:tr>
        <w:tc>
          <w:tcPr/>
          <w:p>
            <w:pPr>
              <w:pStyle w:val="Compact"/>
              <w:jc w:val="left"/>
            </w:pPr>
            <w:r>
              <w:t xml:space="preserve">Prior SOTA</w:t>
            </w:r>
          </w:p>
        </w:tc>
        <w:tc>
          <w:tcPr/>
          <w:p>
            <w:pPr>
              <w:pStyle w:val="Compact"/>
              <w:jc w:val="left"/>
            </w:pPr>
            <w:r>
              <w:t xml:space="preserve">40,000 models</w:t>
            </w:r>
          </w:p>
        </w:tc>
        <w:tc>
          <w:tcPr/>
          <w:p>
            <w:pPr>
              <w:pStyle w:val="Compact"/>
              <w:jc w:val="left"/>
            </w:pPr>
            <w:r>
              <w:t xml:space="preserve">50–100%</w:t>
            </w:r>
          </w:p>
        </w:tc>
        <w:tc>
          <w:tcPr/>
          <w:p>
            <w:pPr>
              <w:pStyle w:val="Compact"/>
              <w:jc w:val="left"/>
            </w:pPr>
            <w:r>
              <w:t xml:space="preserve">Basic LSB only</w:t>
            </w:r>
          </w:p>
        </w:tc>
        <w:tc>
          <w:tcPr/>
          <w:p>
            <w:pPr>
              <w:pStyle w:val="Compact"/>
              <w:jc w:val="left"/>
            </w:pPr>
            <w:r>
              <w:t xml:space="preserve">Very high</w:t>
            </w:r>
          </w:p>
        </w:tc>
        <w:tc>
          <w:tcPr/>
          <w:p>
            <w:pPr>
              <w:pStyle w:val="Compact"/>
              <w:jc w:val="left"/>
            </w:pPr>
            <w:fldSimple w:instr="NOTEREF _Ref_Footnote_47 \h \f">
              <w:r>
                <w:rPr>
                  <w:vertAlign w:val="superscript"/>
                </w:rPr>
                <w:t>47</w:t>
              </w:r>
            </w:fldSimple>
          </w:p>
        </w:tc>
      </w:tr>
    </w:tbl>
    <w:p>
      <w:pPr>
        <w:pStyle w:val="BodyText"/>
      </w:pPr>
      <w:r>
        <w:t xml:space="preserve">The comparison suggests a practical forensic pipeline: Benford’s Law for unsupervised first-pass screening, Model X-Ray for binary classification when labeled data exists, and SVD for structural analysis of flagged layers.</w:t>
      </w:r>
    </w:p>
    <w:bookmarkEnd w:id="47"/>
    <w:bookmarkEnd w:id="48"/>
    <w:bookmarkStart w:id="52" w:name="checkpoint-structure-analysis"/>
    <w:p>
      <w:pPr>
        <w:pStyle w:val="Heading3"/>
      </w:pPr>
      <w:r>
        <w:t xml:space="preserve">3.3 Checkpoint Structure Analysis</w:t>
      </w:r>
    </w:p>
    <w:bookmarkStart w:id="49" w:name="pytorch-pickle-deserialization"/>
    <w:p>
      <w:pPr>
        <w:pStyle w:val="Heading4"/>
      </w:pPr>
      <w:r>
        <w:t xml:space="preserve">3.3.1 PyTorch Pickle Deserialization</w:t>
      </w:r>
    </w:p>
    <w:p>
      <w:pPr>
        <w:pStyle w:val="FirstParagraph"/>
      </w:pPr>
      <w:r>
        <w:t xml:space="preserve">PyTorch checkpoints are ZIP64 archives containing a pickle stream (</w:t>
      </w:r>
      <w:r>
        <w:rPr>
          <w:rStyle w:val="VerbatimChar"/>
        </w:rPr>
        <w:t xml:space="preserve">data.pkl</w:t>
      </w:r>
      <w:r>
        <w:t xml:space="preserve">) alongside raw tensor storage files (</w:t>
      </w:r>
      <w:r>
        <w:rPr>
          <w:rStyle w:val="VerbatimChar"/>
        </w:rPr>
        <w:t xml:space="preserve">data/0</w:t>
      </w:r>
      <w:r>
        <w:t xml:space="preserve">,</w:t>
      </w:r>
      <w:r>
        <w:t xml:space="preserve"> </w:t>
      </w:r>
      <w:r>
        <w:rPr>
          <w:rStyle w:val="VerbatimChar"/>
        </w:rPr>
        <w:t xml:space="preserve">data/1</w:t>
      </w:r>
      <w:r>
        <w:t xml:space="preserve">, etc.)</w:t>
      </w:r>
      <w:r>
        <w:t xml:space="preserve"> </w:t>
      </w:r>
      <w:r>
        <w:rPr>
          <w:vertAlign w:val="superscript"/>
        </w:rPr>
        <w:footnoteReference w:id="60"/>
      </w:r>
      <w:r>
        <w:t xml:space="preserve"> </w:t>
      </w:r>
      <w:r>
        <w:rPr>
          <w:vertAlign w:val="superscript"/>
        </w:rPr>
        <w:footnoteReference w:id="61"/>
      </w:r>
      <w:r>
        <w:t xml:space="preserve">. The pickle protocol is a stack-based virtual machine where the</w:t>
      </w:r>
      <w:r>
        <w:t xml:space="preserve"> </w:t>
      </w:r>
      <w:r>
        <w:rPr>
          <w:rStyle w:val="VerbatimChar"/>
        </w:rPr>
        <w:t xml:space="preserve">REDUCE</w:t>
      </w:r>
      <w:r>
        <w:t xml:space="preserve"> </w:t>
      </w:r>
      <w:r>
        <w:t xml:space="preserve">opcode calls arbitrary callables, and</w:t>
      </w:r>
      <w:r>
        <w:t xml:space="preserve"> </w:t>
      </w:r>
      <w:r>
        <w:rPr>
          <w:rStyle w:val="VerbatimChar"/>
        </w:rPr>
        <w:t xml:space="preserve">__reduce__</w:t>
      </w:r>
      <w:r>
        <w:t xml:space="preserve"> </w:t>
      </w:r>
      <w:r>
        <w:t xml:space="preserve">methods can execute arbitrary code during deserialization</w:t>
      </w:r>
      <w:r>
        <w:t xml:space="preserve"> </w:t>
      </w:r>
      <w:r>
        <w:rPr>
          <w:vertAlign w:val="superscript"/>
        </w:rPr>
        <w:footnoteReference w:id="62"/>
      </w:r>
      <w:r>
        <w:t xml:space="preserve">. CVE-2025-32434 (CVSS 9.3) enables RCE via</w:t>
      </w:r>
      <w:r>
        <w:t xml:space="preserve"> </w:t>
      </w:r>
      <w:r>
        <w:rPr>
          <w:rStyle w:val="VerbatimChar"/>
        </w:rPr>
        <w:t xml:space="preserve">torch.load()</w:t>
      </w:r>
      <w:r>
        <w:t xml:space="preserve"> </w:t>
      </w:r>
      <w:r>
        <w:t xml:space="preserve">even with</w:t>
      </w:r>
      <w:r>
        <w:t xml:space="preserve"> </w:t>
      </w:r>
      <w:r>
        <w:rPr>
          <w:rStyle w:val="VerbatimChar"/>
        </w:rPr>
        <w:t xml:space="preserve">weights_only=True</w:t>
      </w:r>
      <w:r>
        <w:t xml:space="preserve">; CVE-2025-23298 extends this surface</w:t>
      </w:r>
      <w:r>
        <w:t xml:space="preserve"> </w:t>
      </w:r>
      <w:r>
        <w:rPr>
          <w:vertAlign w:val="superscript"/>
        </w:rPr>
        <w:footnoteReference w:id="63"/>
      </w:r>
      <w:r>
        <w:t xml:space="preserve"> </w:t>
      </w:r>
      <w:fldSimple w:instr="NOTEREF _Ref_Footnote_35 \h \f">
        <w:r>
          <w:rPr>
            <w:vertAlign w:val="superscript"/>
          </w:rPr>
          <w:t>35</w:t>
        </w:r>
      </w:fldSimple>
      <w:r>
        <w:t xml:space="preserve">. Real-world payloads on Hugging Face executed</w:t>
      </w:r>
      <w:r>
        <w:t xml:space="preserve"> </w:t>
      </w:r>
      <w:r>
        <w:rPr>
          <w:rStyle w:val="VerbatimChar"/>
        </w:rPr>
        <w:t xml:space="preserve">curl</w:t>
      </w:r>
      <w:r>
        <w:t xml:space="preserve"> </w:t>
      </w:r>
      <w:r>
        <w:t xml:space="preserve">to download remote access trojans</w:t>
      </w:r>
      <w:r>
        <w:t xml:space="preserve"> </w:t>
      </w:r>
      <w:r>
        <w:rPr>
          <w:vertAlign w:val="superscript"/>
        </w:rPr>
        <w:footnoteReference w:id="64"/>
      </w:r>
      <w:r>
        <w:t xml:space="preserve">or spawned subprocesses via</w:t>
      </w:r>
      <w:r>
        <w:t xml:space="preserve"> </w:t>
      </w:r>
      <w:r>
        <w:rPr>
          <w:rStyle w:val="VerbatimChar"/>
        </w:rPr>
        <w:t xml:space="preserve">runpy</w:t>
      </w:r>
      <w:r>
        <w:t xml:space="preserve"> </w:t>
      </w:r>
      <w:r>
        <w:rPr>
          <w:vertAlign w:val="superscript"/>
        </w:rPr>
        <w:footnoteReference w:id="65"/>
      </w:r>
      <w:r>
        <w:t xml:space="preserve">. For safe forensics,</w:t>
      </w:r>
      <w:r>
        <w:t xml:space="preserve"> </w:t>
      </w:r>
      <w:r>
        <w:rPr>
          <w:rStyle w:val="VerbatimChar"/>
        </w:rPr>
        <w:t xml:space="preserve">pickletools.genops()</w:t>
      </w:r>
      <w:r>
        <w:t xml:space="preserve"> </w:t>
      </w:r>
      <w:r>
        <w:t xml:space="preserve">yields a non-executing view of every opcode before any</w:t>
      </w:r>
      <w:r>
        <w:t xml:space="preserve"> </w:t>
      </w:r>
      <w:r>
        <w:rPr>
          <w:rStyle w:val="VerbatimChar"/>
        </w:rPr>
        <w:t xml:space="preserve">torch.load()</w:t>
      </w:r>
      <w:r>
        <w:t xml:space="preserve"> </w:t>
      </w:r>
      <w:r>
        <w:t xml:space="preserve">call</w:t>
      </w:r>
      <w:r>
        <w:t xml:space="preserve"> </w:t>
      </w:r>
      <w:r>
        <w:rPr>
          <w:vertAlign w:val="superscript"/>
        </w:rPr>
        <w:footnoteReference w:id="66"/>
      </w:r>
      <w:r>
        <w:t xml:space="preserve">. The ZIP container itself presents additional surface: 64-byte alignment padding may conceal data</w:t>
      </w:r>
      <w:r>
        <w:t xml:space="preserve"> </w:t>
      </w:r>
      <w:fldSimple w:instr="NOTEREF _Ref_Footnote_61 \h \f">
        <w:r>
          <w:rPr>
            <w:vertAlign w:val="superscript"/>
          </w:rPr>
          <w:t>61</w:t>
        </w:r>
      </w:fldSimple>
      <w:r>
        <w:t xml:space="preserve">, ZIP comments hold up to 64 KB, and mismatched local/central directory headers (CVE-2025-1944) can hide files from scanners</w:t>
      </w:r>
      <w:r>
        <w:t xml:space="preserve"> </w:t>
      </w:r>
      <w:r>
        <w:rPr>
          <w:vertAlign w:val="superscript"/>
        </w:rPr>
        <w:footnoteReference w:id="67"/>
      </w:r>
      <w:r>
        <w:t xml:space="preserve">.</w:t>
      </w:r>
    </w:p>
    <w:bookmarkEnd w:id="49"/>
    <w:bookmarkStart w:id="50" w:name="safetensors-metadata"/>
    <w:p>
      <w:pPr>
        <w:pStyle w:val="Heading4"/>
      </w:pPr>
      <w:r>
        <w:t xml:space="preserve">3.3.2 Safetensors Metadata</w:t>
      </w:r>
    </w:p>
    <w:p>
      <w:pPr>
        <w:pStyle w:val="FirstParagraph"/>
      </w:pPr>
      <w:r>
        <w:t xml:space="preserve">Safetensors eliminates code execution by storing only raw tensor data with a JSON header</w:t>
      </w:r>
      <w:r>
        <w:t xml:space="preserve"> </w:t>
      </w:r>
      <w:r>
        <w:rPr>
          <w:vertAlign w:val="superscript"/>
        </w:rPr>
        <w:footnoteReference w:id="68"/>
      </w:r>
      <w:r>
        <w:t xml:space="preserve">. However, the</w:t>
      </w:r>
      <w:r>
        <w:t xml:space="preserve"> </w:t>
      </w:r>
      <w:r>
        <w:rPr>
          <w:rStyle w:val="VerbatimChar"/>
        </w:rPr>
        <w:t xml:space="preserve">__metadata__</w:t>
      </w:r>
      <w:r>
        <w:t xml:space="preserve"> </w:t>
      </w:r>
      <w:r>
        <w:t xml:space="preserve">field — string:key pairs — can store up to 100 MB of arbitrary text, and base64-encoded binary data can embed $</w:t>
      </w:r>
      <w:r>
        <w:t xml:space="preserve">$75 MB of payload within this limit</w:t>
      </w:r>
      <w:r>
        <w:t xml:space="preserve"> </w:t>
      </w:r>
      <w:fldSimple w:instr="NOTEREF _Ref_Footnote_68 \h \f">
        <w:r>
          <w:rPr>
            <w:vertAlign w:val="superscript"/>
          </w:rPr>
          <w:t>68</w:t>
        </w:r>
      </w:fldSimple>
      <w:r>
        <w:t xml:space="preserve"> </w:t>
      </w:r>
      <w:r>
        <w:rPr>
          <w:vertAlign w:val="superscript"/>
        </w:rPr>
        <w:footnoteReference w:id="69"/>
      </w:r>
      <w:r>
        <w:t xml:space="preserve">. Metadata is never validated beyond the string:string constraint and is unused during inference, making it an ideal channel. Forensic inspection via</w:t>
      </w:r>
      <w:r>
        <w:t xml:space="preserve"> </w:t>
      </w:r>
      <w:r>
        <w:rPr>
          <w:rStyle w:val="VerbatimChar"/>
        </w:rPr>
        <w:t xml:space="preserve">safe_open().metadata()</w:t>
      </w:r>
      <w:r>
        <w:t xml:space="preserve"> </w:t>
      </w:r>
      <w:r>
        <w:t xml:space="preserve">should flag any keys beyond standard fields like</w:t>
      </w:r>
      <w:r>
        <w:t xml:space="preserve"> </w:t>
      </w:r>
      <w:r>
        <w:rPr>
          <w:rStyle w:val="VerbatimChar"/>
        </w:rPr>
        <w:t xml:space="preserve">"format"</w:t>
      </w:r>
      <w:r>
        <w:t xml:space="preserve"> </w:t>
      </w:r>
      <w:r>
        <w:t xml:space="preserve">and test values for base64 decodability.</w:t>
      </w:r>
    </w:p>
    <w:bookmarkEnd w:id="50"/>
    <w:bookmarkStart w:id="51" w:name="optimizer-state-as-hidden-channel"/>
    <w:p>
      <w:pPr>
        <w:pStyle w:val="Heading4"/>
      </w:pPr>
      <w:r>
        <w:t xml:space="preserve">3.3.3 Optimizer State as Hidden Channel</w:t>
      </w:r>
    </w:p>
    <w:p>
      <w:pPr>
        <w:pStyle w:val="FirstParagraph"/>
      </w:pPr>
      <w:r>
        <w:t xml:space="preserve">Training checkpoints often include optimizer state. For Adam, this contains per-parameter exponential moving averages (</w:t>
      </w:r>
      <w:r>
        <w:rPr>
          <w:rStyle w:val="VerbatimChar"/>
        </w:rPr>
        <w:t xml:space="preserve">exp_avg</w:t>
      </w:r>
      <w:r>
        <w:t xml:space="preserve">,</w:t>
      </w:r>
      <w:r>
        <w:t xml:space="preserve"> </w:t>
      </w:r>
      <w:r>
        <w:rPr>
          <w:rStyle w:val="VerbatimChar"/>
        </w:rPr>
        <w:t xml:space="preserve">exp_avg_sq</w:t>
      </w:r>
      <w:r>
        <w:t xml:space="preserve">) and step counters</w:t>
      </w:r>
      <w:r>
        <w:t xml:space="preserve"> </w:t>
      </w:r>
      <w:r>
        <w:rPr>
          <w:vertAlign w:val="superscript"/>
        </w:rPr>
        <w:footnoteReference w:id="70"/>
      </w:r>
      <w:r>
        <w:t xml:space="preserve">, collectively occupying roughly twice the model parameter memory — approximately 400 MB for Ode Triunfal that is</w:t>
      </w:r>
      <w:r>
        <w:t xml:space="preserve"> </w:t>
      </w:r>
      <w:r>
        <w:rPr>
          <w:bCs/>
          <w:b/>
        </w:rPr>
        <w:t xml:space="preserve">never accessed during inference</w:t>
      </w:r>
      <w:r>
        <w:t xml:space="preserve"> </w:t>
      </w:r>
      <w:r>
        <w:rPr>
          <w:vertAlign w:val="superscript"/>
        </w:rPr>
        <w:footnoteReference w:id="71"/>
      </w:r>
      <w:r>
        <w:t xml:space="preserve">. An attacker can overwrite any optimizer state tensors with arbitrary data without affecting model outputs. Detection requires checking for optimizer keys in the checkpoint and analyzing their contents with the same tools applied to model weights: LSB extraction, Benford screening, and ASCII pattern matching. The channel capacity is enormous — the optimizer state alone could store the entire model twice over. Crucially, because optimizer state is often excluded from model distribution files to save space, its mere presence in a checkpoint should be treated as suspicious. Many published models strip optimizer state before release; a checkpoint that retains it may have been preserved intentionally to provide a covert storage channel.</w:t>
      </w:r>
    </w:p>
    <w:bookmarkEnd w:id="51"/>
    <w:bookmarkEnd w:id="52"/>
    <w:bookmarkStart w:id="55" w:name="forensic-priorities-for-dead-layers"/>
    <w:p>
      <w:pPr>
        <w:pStyle w:val="Heading3"/>
      </w:pPr>
      <w:r>
        <w:t xml:space="preserve">3.4 Forensic Priorities for Dead Layers</w:t>
      </w:r>
    </w:p>
    <w:bookmarkStart w:id="53" w:name="X2e154b7afd59f61b394e247b51d21391ced6342"/>
    <w:p>
      <w:pPr>
        <w:pStyle w:val="Heading4"/>
      </w:pPr>
      <w:r>
        <w:t xml:space="preserve">3.4.1 Recommended Forensic Analysis for Layers 5–7</w:t>
      </w:r>
    </w:p>
    <w:p>
      <w:pPr>
        <w:pStyle w:val="FirstParagraph"/>
      </w:pPr>
      <w:r>
        <w:t xml:space="preserve">Ode Triunfal’s dead layers 5–7 — producing near-zero activations and negligible gradients — align with the EvilModel pattern of embedding data in atrophied neurons</w:t>
      </w:r>
      <w:r>
        <w:t xml:space="preserve"> </w:t>
      </w:r>
      <w:fldSimple w:instr="NOTEREF _Ref_Footnote_48 \h \f">
        <w:r>
          <w:rPr>
            <w:vertAlign w:val="superscript"/>
          </w:rPr>
          <w:t>48</w:t>
        </w:r>
      </w:fldSimple>
      <w:r>
        <w:t xml:space="preserve">. When layers are non-functional, they offer ideal payload containers because embedding cannot affect accuracy. Table 3 presents a tiered forensic protocol.</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Priority</w:t>
            </w:r>
          </w:p>
        </w:tc>
        <w:tc>
          <w:tcPr/>
          <w:p>
            <w:pPr>
              <w:pStyle w:val="Compact"/>
              <w:jc w:val="left"/>
            </w:pPr>
            <w:r>
              <w:t xml:space="preserve">Analysis</w:t>
            </w:r>
          </w:p>
        </w:tc>
        <w:tc>
          <w:tcPr/>
          <w:p>
            <w:pPr>
              <w:pStyle w:val="Compact"/>
              <w:jc w:val="left"/>
            </w:pPr>
            <w:r>
              <w:t xml:space="preserve">Technique</w:t>
            </w:r>
          </w:p>
        </w:tc>
        <w:tc>
          <w:tcPr/>
          <w:p>
            <w:pPr>
              <w:pStyle w:val="Compact"/>
              <w:jc w:val="left"/>
            </w:pPr>
            <w:r>
              <w:t xml:space="preserve">Indicator of Embedding</w:t>
            </w:r>
          </w:p>
        </w:tc>
        <w:tc>
          <w:tcPr/>
          <w:p>
            <w:pPr>
              <w:pStyle w:val="Compact"/>
              <w:jc w:val="left"/>
            </w:pPr>
            <w:r>
              <w:t xml:space="preserve">Time</w:t>
            </w:r>
          </w:p>
        </w:tc>
      </w:tr>
      <w:tr>
        <w:tc>
          <w:tcPr/>
          <w:p>
            <w:pPr>
              <w:pStyle w:val="Compact"/>
              <w:jc w:val="left"/>
            </w:pPr>
            <w:r>
              <w:t xml:space="preserve">P1</w:t>
            </w:r>
          </w:p>
        </w:tc>
        <w:tc>
          <w:tcPr/>
          <w:p>
            <w:pPr>
              <w:pStyle w:val="Compact"/>
              <w:jc w:val="left"/>
            </w:pPr>
            <w:r>
              <w:t xml:space="preserve">NaN/Inf scan</w:t>
            </w:r>
          </w:p>
        </w:tc>
        <w:tc>
          <w:tcPr/>
          <w:p>
            <w:pPr>
              <w:pStyle w:val="Compact"/>
              <w:jc w:val="left"/>
            </w:pPr>
            <w:r>
              <w:rPr>
                <w:rStyle w:val="VerbatimChar"/>
              </w:rPr>
              <w:t xml:space="preserve">torch.isnan(tensor).any()</w:t>
            </w:r>
            <w:r>
              <w:t xml:space="preserve"> </w:t>
            </w:r>
            <w:r>
              <w:t xml:space="preserve">per layer</w:t>
            </w:r>
          </w:p>
        </w:tc>
        <w:tc>
          <w:tcPr/>
          <w:p>
            <w:pPr>
              <w:pStyle w:val="Compact"/>
              <w:jc w:val="left"/>
            </w:pPr>
            <w:r>
              <w:t xml:space="preserve">Any NaN values</w:t>
            </w:r>
          </w:p>
        </w:tc>
        <w:tc>
          <w:tcPr/>
          <w:p>
            <w:pPr>
              <w:pStyle w:val="Compact"/>
              <w:jc w:val="left"/>
            </w:pPr>
            <w:r>
              <w:t xml:space="preserve">$&lt;$1 min</w:t>
            </w:r>
          </w:p>
        </w:tc>
      </w:tr>
      <w:tr>
        <w:tc>
          <w:tcPr/>
          <w:p>
            <w:pPr>
              <w:pStyle w:val="Compact"/>
              <w:jc w:val="left"/>
            </w:pPr>
            <w:r>
              <w:t xml:space="preserve">P1</w:t>
            </w:r>
          </w:p>
        </w:tc>
        <w:tc>
          <w:tcPr/>
          <w:p>
            <w:pPr>
              <w:pStyle w:val="Compact"/>
              <w:jc w:val="left"/>
            </w:pPr>
            <w:r>
              <w:t xml:space="preserve">Weight magnitude distribution</w:t>
            </w:r>
          </w:p>
        </w:tc>
        <w:tc>
          <w:tcPr/>
          <w:p>
            <w:pPr>
              <w:pStyle w:val="Compact"/>
              <w:jc w:val="left"/>
            </w:pPr>
            <w:r>
              <w:t xml:space="preserve">Histogram + KS-test vs. Gaussian</w:t>
            </w:r>
          </w:p>
        </w:tc>
        <w:tc>
          <w:tcPr/>
          <w:p>
            <w:pPr>
              <w:pStyle w:val="Compact"/>
              <w:jc w:val="left"/>
            </w:pPr>
            <w:r>
              <w:t xml:space="preserve">Bimodal/uniform distributions</w:t>
            </w:r>
          </w:p>
        </w:tc>
        <w:tc>
          <w:tcPr/>
          <w:p>
            <w:pPr>
              <w:pStyle w:val="Compact"/>
              <w:jc w:val="left"/>
            </w:pPr>
            <w:r>
              <w:t xml:space="preserve">5 min</w:t>
            </w:r>
          </w:p>
        </w:tc>
      </w:tr>
      <w:tr>
        <w:tc>
          <w:tcPr/>
          <w:p>
            <w:pPr>
              <w:pStyle w:val="Compact"/>
              <w:jc w:val="left"/>
            </w:pPr>
            <w:r>
              <w:t xml:space="preserve">P2</w:t>
            </w:r>
          </w:p>
        </w:tc>
        <w:tc>
          <w:tcPr/>
          <w:p>
            <w:pPr>
              <w:pStyle w:val="Compact"/>
              <w:jc w:val="left"/>
            </w:pPr>
            <w:r>
              <w:t xml:space="preserve">Bit-plane extraction (bits 14–23)</w:t>
            </w:r>
          </w:p>
        </w:tc>
        <w:tc>
          <w:tcPr/>
          <w:p>
            <w:pPr>
              <w:pStyle w:val="Compact"/>
              <w:jc w:val="left"/>
            </w:pPr>
            <w:r>
              <w:rPr>
                <w:rStyle w:val="VerbatimChar"/>
              </w:rPr>
              <w:t xml:space="preserve">uint32_view &gt;&gt; bp &amp; 1</w:t>
            </w:r>
          </w:p>
        </w:tc>
        <w:tc>
          <w:tcPr/>
          <w:p>
            <w:pPr>
              <w:pStyle w:val="Compact"/>
              <w:jc w:val="left"/>
            </w:pPr>
            <w:r>
              <w:t xml:space="preserve">Structured patterns, ASCII fragments</w:t>
            </w:r>
          </w:p>
        </w:tc>
        <w:tc>
          <w:tcPr/>
          <w:p>
            <w:pPr>
              <w:pStyle w:val="Compact"/>
              <w:jc w:val="left"/>
            </w:pPr>
            <w:r>
              <w:t xml:space="preserve">10 min</w:t>
            </w:r>
          </w:p>
        </w:tc>
      </w:tr>
      <w:tr>
        <w:tc>
          <w:tcPr/>
          <w:p>
            <w:pPr>
              <w:pStyle w:val="Compact"/>
              <w:jc w:val="left"/>
            </w:pPr>
            <w:r>
              <w:t xml:space="preserve">P2</w:t>
            </w:r>
          </w:p>
        </w:tc>
        <w:tc>
          <w:tcPr/>
          <w:p>
            <w:pPr>
              <w:pStyle w:val="Compact"/>
              <w:jc w:val="left"/>
            </w:pPr>
            <w:r>
              <w:t xml:space="preserve">Benford’s Law screening</w:t>
            </w:r>
          </w:p>
        </w:tc>
        <w:tc>
          <w:tcPr/>
          <w:p>
            <w:pPr>
              <w:pStyle w:val="Compact"/>
              <w:jc w:val="left"/>
            </w:pPr>
            <w:r>
              <w:t xml:space="preserve">First-digit distribution per layer</w:t>
            </w:r>
          </w:p>
        </w:tc>
        <w:tc>
          <w:tcPr/>
          <w:p>
            <w:pPr>
              <w:pStyle w:val="Compact"/>
              <w:jc w:val="left"/>
            </w:pPr>
            <w:r>
              <w:t xml:space="preserve">Elevated DBLE vs. functional layers</w:t>
            </w:r>
          </w:p>
        </w:tc>
        <w:tc>
          <w:tcPr/>
          <w:p>
            <w:pPr>
              <w:pStyle w:val="Compact"/>
              <w:jc w:val="left"/>
            </w:pPr>
            <w:r>
              <w:t xml:space="preserve">5 min</w:t>
            </w:r>
          </w:p>
        </w:tc>
      </w:tr>
      <w:tr>
        <w:tc>
          <w:tcPr/>
          <w:p>
            <w:pPr>
              <w:pStyle w:val="Compact"/>
              <w:jc w:val="left"/>
            </w:pPr>
            <w:r>
              <w:t xml:space="preserve">P3</w:t>
            </w:r>
          </w:p>
        </w:tc>
        <w:tc>
          <w:tcPr/>
          <w:p>
            <w:pPr>
              <w:pStyle w:val="Compact"/>
              <w:jc w:val="left"/>
            </w:pPr>
            <w:r>
              <w:t xml:space="preserve">SVD spectral analysis</w:t>
            </w:r>
          </w:p>
        </w:tc>
        <w:tc>
          <w:tcPr/>
          <w:p>
            <w:pPr>
              <w:pStyle w:val="Compact"/>
              <w:jc w:val="left"/>
            </w:pPr>
            <w:r>
              <w:rPr>
                <w:rStyle w:val="VerbatimChar"/>
              </w:rPr>
              <w:t xml:space="preserve">torch.svd(weight_matrix)</w:t>
            </w:r>
          </w:p>
        </w:tc>
        <w:tc>
          <w:tcPr/>
          <w:p>
            <w:pPr>
              <w:pStyle w:val="Compact"/>
              <w:jc w:val="left"/>
            </w:pPr>
            <w:r>
              <w:t xml:space="preserve">Artificial rank-1 components</w:t>
            </w:r>
          </w:p>
        </w:tc>
        <w:tc>
          <w:tcPr/>
          <w:p>
            <w:pPr>
              <w:pStyle w:val="Compact"/>
              <w:jc w:val="left"/>
            </w:pPr>
            <w:r>
              <w:t xml:space="preserve">20 min</w:t>
            </w:r>
          </w:p>
        </w:tc>
      </w:tr>
      <w:tr>
        <w:tc>
          <w:tcPr/>
          <w:p>
            <w:pPr>
              <w:pStyle w:val="Compact"/>
              <w:jc w:val="left"/>
            </w:pPr>
            <w:r>
              <w:t xml:space="preserve">P3</w:t>
            </w:r>
          </w:p>
        </w:tc>
        <w:tc>
          <w:tcPr/>
          <w:p>
            <w:pPr>
              <w:pStyle w:val="Compact"/>
              <w:jc w:val="left"/>
            </w:pPr>
            <w:r>
              <w:t xml:space="preserve">Cross-layer correlation</w:t>
            </w:r>
          </w:p>
        </w:tc>
        <w:tc>
          <w:tcPr/>
          <w:p>
            <w:pPr>
              <w:pStyle w:val="Compact"/>
              <w:jc w:val="left"/>
            </w:pPr>
            <w:r>
              <w:t xml:space="preserve">Pearson correlation of distributions</w:t>
            </w:r>
          </w:p>
        </w:tc>
        <w:tc>
          <w:tcPr/>
          <w:p>
            <w:pPr>
              <w:pStyle w:val="Compact"/>
              <w:jc w:val="left"/>
            </w:pPr>
            <w:r>
              <w:t xml:space="preserve">Unexpected decorrelation</w:t>
            </w:r>
          </w:p>
        </w:tc>
        <w:tc>
          <w:tcPr/>
          <w:p>
            <w:pPr>
              <w:pStyle w:val="Compact"/>
              <w:jc w:val="left"/>
            </w:pPr>
            <w:r>
              <w:t xml:space="preserve">10 min</w:t>
            </w:r>
          </w:p>
        </w:tc>
      </w:tr>
      <w:tr>
        <w:tc>
          <w:tcPr/>
          <w:p>
            <w:pPr>
              <w:pStyle w:val="Compact"/>
              <w:jc w:val="left"/>
            </w:pPr>
            <w:r>
              <w:t xml:space="preserve">P4</w:t>
            </w:r>
          </w:p>
        </w:tc>
        <w:tc>
          <w:tcPr/>
          <w:p>
            <w:pPr>
              <w:pStyle w:val="Compact"/>
              <w:jc w:val="left"/>
            </w:pPr>
            <w:r>
              <w:t xml:space="preserve">Spread-spectrum detection</w:t>
            </w:r>
          </w:p>
        </w:tc>
        <w:tc>
          <w:tcPr/>
          <w:p>
            <w:pPr>
              <w:pStyle w:val="Compact"/>
              <w:jc w:val="left"/>
            </w:pPr>
            <w:r>
              <w:t xml:space="preserve">Correlation against PN sequences</w:t>
            </w:r>
          </w:p>
        </w:tc>
        <w:tc>
          <w:tcPr/>
          <w:p>
            <w:pPr>
              <w:pStyle w:val="Compact"/>
              <w:jc w:val="left"/>
            </w:pPr>
            <w:r>
              <w:t xml:space="preserve">Peaks at specific lag values</w:t>
            </w:r>
          </w:p>
        </w:tc>
        <w:tc>
          <w:tcPr/>
          <w:p>
            <w:pPr>
              <w:pStyle w:val="Compact"/>
              <w:jc w:val="left"/>
            </w:pPr>
            <w:r>
              <w:t xml:space="preserve">30 min</w:t>
            </w:r>
          </w:p>
        </w:tc>
      </w:tr>
      <w:tr>
        <w:tc>
          <w:tcPr/>
          <w:p>
            <w:pPr>
              <w:pStyle w:val="Compact"/>
              <w:jc w:val="left"/>
            </w:pPr>
            <w:r>
              <w:t xml:space="preserve">P4</w:t>
            </w:r>
          </w:p>
        </w:tc>
        <w:tc>
          <w:tcPr/>
          <w:p>
            <w:pPr>
              <w:pStyle w:val="Compact"/>
              <w:jc w:val="left"/>
            </w:pPr>
            <w:r>
              <w:t xml:space="preserve">Low-rank residual analysis</w:t>
            </w:r>
          </w:p>
        </w:tc>
        <w:tc>
          <w:tcPr/>
          <w:p>
            <w:pPr>
              <w:pStyle w:val="Compact"/>
              <w:jc w:val="left"/>
            </w:pPr>
            <m:oMath>
              <m:r>
                <m:rPr>
                  <m:sty m:val="p"/>
                </m:rPr>
                <m:t>∥</m:t>
              </m:r>
              <m:r>
                <m:t>W</m:t>
              </m:r>
              <m:r>
                <m:rPr>
                  <m:sty m:val="p"/>
                </m:rPr>
                <m:t>−</m:t>
              </m:r>
              <m:sSub>
                <m:e>
                  <m:r>
                    <m:t>U</m:t>
                  </m:r>
                </m:e>
                <m:sub>
                  <m:r>
                    <m:t>k</m:t>
                  </m:r>
                </m:sub>
              </m:sSub>
              <m:sSub>
                <m:e>
                  <m:r>
                    <m:t>Σ</m:t>
                  </m:r>
                </m:e>
                <m:sub>
                  <m:r>
                    <m:t>k</m:t>
                  </m:r>
                </m:sub>
              </m:sSub>
              <m:sSubSup>
                <m:e>
                  <m:r>
                    <m:t>V</m:t>
                  </m:r>
                </m:e>
                <m:sub>
                  <m:r>
                    <m:t>k</m:t>
                  </m:r>
                </m:sub>
                <m:sup>
                  <m:r>
                    <m:t>T</m:t>
                  </m:r>
                </m:sup>
              </m:sSubSup>
              <m:sSub>
                <m:e>
                  <m:r>
                    <m:rPr>
                      <m:sty m:val="p"/>
                    </m:rPr>
                    <m:t>∥</m:t>
                  </m:r>
                </m:e>
                <m:sub>
                  <m:r>
                    <m:t>F</m:t>
                  </m:r>
                </m:sub>
              </m:sSub>
            </m:oMath>
          </w:p>
        </w:tc>
        <w:tc>
          <w:tcPr/>
          <w:p>
            <w:pPr>
              <w:pStyle w:val="Compact"/>
              <w:jc w:val="left"/>
            </w:pPr>
            <w:r>
              <w:t xml:space="preserve">Structured residual patterns</w:t>
            </w:r>
          </w:p>
        </w:tc>
        <w:tc>
          <w:tcPr/>
          <w:p>
            <w:pPr>
              <w:pStyle w:val="Compact"/>
              <w:jc w:val="left"/>
            </w:pPr>
            <w:r>
              <w:t xml:space="preserve">15 min</w:t>
            </w:r>
          </w:p>
        </w:tc>
      </w:tr>
    </w:tbl>
    <w:p>
      <w:pPr>
        <w:pStyle w:val="BodyText"/>
      </w:pPr>
      <w:r>
        <w:t xml:space="preserve">The protocol orders analyses by information return per unit effort. Priority 1 checks are near-instantaneous with high discriminative power: NaN values are never expected in trained weights, and magnitude distribution anomalies directly reveal EvilModel-style replacement. Priority 2 targets X-LSB-Attack, with bit planes 14–23 selected because parameter statistical bias research demonstrates this range balances embedding capacity against detectability</w:t>
      </w:r>
      <w:r>
        <w:t xml:space="preserve"> </w:t>
      </w:r>
      <w:fldSimple w:instr="NOTEREF _Ref_Footnote_46 \h \f">
        <w:r>
          <w:rPr>
            <w:vertAlign w:val="superscript"/>
          </w:rPr>
          <w:t>46</w:t>
        </w:r>
      </w:fldSimple>
      <w:r>
        <w:t xml:space="preserve">. Priority 3 introduces SVD to distinguish between the noise-floor elevation of LSB embedding and the rank-1 components of neuron replacement</w:t>
      </w:r>
      <w:r>
        <w:t xml:space="preserve"> </w:t>
      </w:r>
      <w:fldSimple w:instr="NOTEREF _Ref_Footnote_59 \h \f">
        <w:r>
          <w:rPr>
            <w:vertAlign w:val="superscript"/>
          </w:rPr>
          <w:t>59</w:t>
        </w:r>
      </w:fldSimple>
      <w:r>
        <w:t xml:space="preserve">. Priority 4 addresses spread-spectrum encoding, requiring correlation testing against candidate pseudo-random sequences.</w:t>
      </w:r>
    </w:p>
    <w:bookmarkEnd w:id="53"/>
    <w:bookmarkStart w:id="54" w:name="X2219ac4ceb89ee3c4d5bbdf253dbaac16905c5d"/>
    <w:p>
      <w:pPr>
        <w:pStyle w:val="Heading4"/>
      </w:pPr>
      <w:r>
        <w:t xml:space="preserve">3.4.2 SVD Spectral Analysis, Weight Histogram Comparison, Bit-Plane Extraction</w:t>
      </w:r>
    </w:p>
    <w:p>
      <w:pPr>
        <w:pStyle w:val="FirstParagraph"/>
      </w:pPr>
      <w:r>
        <w:t xml:space="preserve">SVD decomposes weight matrices as</w:t>
      </w:r>
      <w:r>
        <w:t xml:space="preserve"> </w:t>
      </w:r>
      <m:oMath>
        <m:r>
          <m:t>W</m:t>
        </m:r>
        <m:r>
          <m:rPr>
            <m:sty m:val="p"/>
          </m:rPr>
          <m:t>=</m:t>
        </m:r>
        <m:r>
          <m:t>U</m:t>
        </m:r>
        <m:r>
          <m:t>Σ</m:t>
        </m:r>
        <m:sSup>
          <m:e>
            <m:r>
              <m:t>V</m:t>
            </m:r>
          </m:e>
          <m:sup>
            <m:r>
              <m:t>T</m:t>
            </m:r>
          </m:sup>
        </m:sSup>
      </m:oMath>
      <w:r>
        <w:t xml:space="preserve">, where singular values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n</m:t>
            </m:r>
          </m:sub>
        </m:sSub>
        <m:r>
          <m:rPr>
            <m:sty m:val="p"/>
          </m:rPr>
          <m:t>≥</m:t>
        </m:r>
        <m:r>
          <m:t>0</m:t>
        </m:r>
      </m:oMath>
      <w:r>
        <w:t xml:space="preserve"> </w:t>
      </w:r>
      <w:r>
        <w:t xml:space="preserve">encode effective rank</w:t>
      </w:r>
      <w:r>
        <w:t xml:space="preserve"> </w:t>
      </w:r>
      <w:fldSimple w:instr="NOTEREF _Ref_Footnote_59 \h \f">
        <w:r>
          <w:rPr>
            <w:vertAlign w:val="superscript"/>
          </w:rPr>
          <w:t>59</w:t>
        </w:r>
      </w:fldSimple>
      <w:r>
        <w:t xml:space="preserve">. Natural matrices exhibit rapid decay; embedding disrupts this pattern characteristically. LSB embedding elevates the noise floor uniformly. Full-weight neuron replacement introduces artificial rank-1 components — spikes at specific singular value indices. Spread-spectrum adds uniform noise, flattening the spectrum</w:t>
      </w:r>
      <w:r>
        <w:t xml:space="preserve"> </w:t>
      </w:r>
      <w:fldSimple w:instr="NOTEREF _Ref_Footnote_59 \h \f">
        <w:r>
          <w:rPr>
            <w:vertAlign w:val="superscript"/>
          </w:rPr>
          <w:t>59</w:t>
        </w:r>
      </w:fldSimple>
      <w:r>
        <w:t xml:space="preserve">. The residual</w:t>
      </w:r>
      <w:r>
        <w:t xml:space="preserve"> </w:t>
      </w:r>
      <m:oMath>
        <m:r>
          <m:t>W</m:t>
        </m:r>
        <m:r>
          <m:rPr>
            <m:sty m:val="p"/>
          </m:rPr>
          <m:t>−</m:t>
        </m:r>
        <m:sSub>
          <m:e>
            <m:r>
              <m:t>U</m:t>
            </m:r>
          </m:e>
          <m:sub>
            <m:r>
              <m:t>k</m:t>
            </m:r>
          </m:sub>
        </m:sSub>
        <m:sSub>
          <m:e>
            <m:r>
              <m:t>Σ</m:t>
            </m:r>
          </m:e>
          <m:sub>
            <m:r>
              <m:t>k</m:t>
            </m:r>
          </m:sub>
        </m:sSub>
        <m:sSubSup>
          <m:e>
            <m:r>
              <m:t>V</m:t>
            </m:r>
          </m:e>
          <m:sub>
            <m:r>
              <m:t>k</m:t>
            </m:r>
          </m:sub>
          <m:sup>
            <m:r>
              <m:t>T</m:t>
            </m:r>
          </m:sup>
        </m:sSubSup>
      </m:oMath>
      <w:r>
        <w:t xml:space="preserve"> </w:t>
      </w:r>
      <w:r>
        <w:t xml:space="preserve">should be random noise for clean weights; structured patterns — such as repeating byte sequences, ASCII-range value clusters, or anomalously low entropy — indicate hidden data. In practice, computing the residual for</w:t>
      </w:r>
      <w:r>
        <w:t xml:space="preserve"> </w:t>
      </w:r>
      <m:oMath>
        <m:r>
          <m:t>k</m:t>
        </m:r>
        <m:r>
          <m:rPr>
            <m:sty m:val="p"/>
          </m:rPr>
          <m:t>=</m:t>
        </m:r>
        <m:r>
          <m:rPr>
            <m:nor/>
            <m:sty m:val="p"/>
          </m:rPr>
          <m:t>rank</m:t>
        </m:r>
        <m:d>
          <m:dPr>
            <m:begChr m:val="("/>
            <m:endChr m:val=")"/>
            <m:sepChr m:val=""/>
            <m:grow/>
          </m:dPr>
          <m:e>
            <m:r>
              <m:t>W</m:t>
            </m:r>
          </m:e>
        </m:d>
        <m:r>
          <m:rPr>
            <m:sty m:val="p"/>
          </m:rPr>
          <m:t>/</m:t>
        </m:r>
        <m:r>
          <m:t>2</m:t>
        </m:r>
      </m:oMath>
      <w:r>
        <w:t xml:space="preserve"> </w:t>
      </w:r>
      <w:r>
        <w:t xml:space="preserve">provides a good balance between capturing natural low-rank structure and revealing hidden high-frequency components.</w:t>
      </w:r>
    </w:p>
    <w:p>
      <w:pPr>
        <w:pStyle w:val="BodyText"/>
      </w:pPr>
      <w:r>
        <w:t xml:space="preserve">Weight histogram comparison uses the Kolmogorov-Smirnov test against reference distributions. EvilModel replacement produces distinctive artifacts: the four exponent prefixes create clusters at specific value ranges, and the three-byte payload structure produces repeating patterns at</w:t>
      </w:r>
      <w:r>
        <w:t xml:space="preserve"> </w:t>
      </w:r>
      <m:oMath>
        <m:r>
          <m:t>1</m:t>
        </m:r>
        <m:r>
          <m:rPr>
            <m:sty m:val="p"/>
          </m:rPr>
          <m:t>/</m:t>
        </m:r>
        <m:r>
          <m:t>256</m:t>
        </m:r>
      </m:oMath>
      <w:r>
        <w:t xml:space="preserve"> </w:t>
      </w:r>
      <w:r>
        <w:t xml:space="preserve">intervals</w:t>
      </w:r>
      <w:r>
        <w:t xml:space="preserve"> </w:t>
      </w:r>
      <w:fldSimple w:instr="NOTEREF _Ref_Footnote_48 \h \f">
        <w:r>
          <w:rPr>
            <w:vertAlign w:val="superscript"/>
          </w:rPr>
          <w:t>48</w:t>
        </w:r>
      </w:fldSimple>
      <w:r>
        <w:t xml:space="preserve">. Functional layers should exhibit smooth, unimodal distributions; dead layers with embedded data deviate systematically.</w:t>
      </w:r>
    </w:p>
    <w:p>
      <w:pPr>
        <w:pStyle w:val="BodyText"/>
      </w:pPr>
      <w:r>
        <w:t xml:space="preserve">Bit-plane extraction treats each weight as a 32-bit integer and examines bit positions in isolation. Clean models show Bernoulli(0.5) per bit plane; embedding introduces structure detectable via NIST randomness tests — frequency, serial, approximate entropy, and cumulative sums tests</w:t>
      </w:r>
      <w:r>
        <w:t xml:space="preserve"> </w:t>
      </w:r>
      <w:fldSimple w:instr="NOTEREF _Ref_Footnote_46 \h \f">
        <w:r>
          <w:rPr>
            <w:vertAlign w:val="superscript"/>
          </w:rPr>
          <w:t>46</w:t>
        </w:r>
      </w:fldSimple>
      <w:r>
        <w:t xml:space="preserve">. These four statistics combined achieved 100% detection at the 14th bit plane for LSB-encoded ResNet34</w:t>
      </w:r>
      <w:r>
        <w:t xml:space="preserve"> </w:t>
      </w:r>
      <w:fldSimple w:instr="NOTEREF _Ref_Footnote_46 \h \f">
        <w:r>
          <w:rPr>
            <w:vertAlign w:val="superscript"/>
          </w:rPr>
          <w:t>46</w:t>
        </w:r>
      </w:fldSimple>
      <w:r>
        <w:t xml:space="preserve">. For Ode Triunfal’s dead layers, bit planes 14–23 should be extracted and submitted to this battery; any plane with significant deviations from randomness warrants inspection for ASCII or UTF-8 decodable fragments.</w:t>
      </w:r>
    </w:p>
    <w:p>
      <w:r>
        <w:pict>
          <v:rect style="width:0;height:1.5pt" o:hralign="center" o:hrstd="t" o:hr="t"/>
        </w:pict>
      </w:r>
    </w:p>
    <w:bookmarkEnd w:id="54"/>
    <w:bookmarkEnd w:id="55"/>
    <w:bookmarkEnd w:id="56"/>
    <w:bookmarkStart w:id="69" w:name="logit-probability-distribution-encoding"/>
    <w:p>
      <w:pPr>
        <w:pStyle w:val="Heading2"/>
      </w:pPr>
      <w:r>
        <w:t xml:space="preserve">4. Logit, Probability &amp; Distribution Encoding</w:t>
      </w:r>
    </w:p>
    <w:p>
      <w:pPr>
        <w:pStyle w:val="FirstParagraph"/>
      </w:pPr>
      <w:r>
        <w:t xml:space="preserve">In the Ode Triunfal challenge, the</w:t>
      </w:r>
      <w:r>
        <w:t xml:space="preserve"> </w:t>
      </w:r>
      <w:r>
        <w:rPr>
          <w:rStyle w:val="VerbatimChar"/>
        </w:rPr>
        <w:t xml:space="preserve">f</w:t>
      </w:r>
      <w:r>
        <w:t xml:space="preserve"> </w:t>
      </w:r>
      <w:r>
        <w:t xml:space="preserve">token consistently occupies 20–50% of the probability mass after a</w:t>
      </w:r>
      <w:r>
        <w:t xml:space="preserve"> </w:t>
      </w:r>
      <w:r>
        <w:rPr>
          <w:rStyle w:val="VerbatimChar"/>
        </w:rPr>
        <w:t xml:space="preserve">{</w:t>
      </w:r>
      <w:r>
        <w:t xml:space="preserve"> </w:t>
      </w:r>
      <w:r>
        <w:t xml:space="preserve">trigger yet is never selected by greedy decoding—a signature pattern that points toward deliberate distribution-level encoding rather than sampling anomalies. The research literature on linguistic steganography and LLM watermarking provides a well-documented foundation for this class of encodings, spanning rank-token mapping, distribution-preserving steganography, and cross-layer logit progression. This chapter evaluates each paradigm for its relevance to CTF flag extraction.</w:t>
      </w:r>
    </w:p>
    <w:bookmarkStart w:id="60" w:name="rank-token-mapping-steganography"/>
    <w:p>
      <w:pPr>
        <w:pStyle w:val="Heading3"/>
      </w:pPr>
      <w:r>
        <w:t xml:space="preserve">4.1 Rank-Token Mapping Steganography</w:t>
      </w:r>
    </w:p>
    <w:p>
      <w:pPr>
        <w:pStyle w:val="FirstParagraph"/>
      </w:pPr>
      <w:r>
        <w:t xml:space="preserve">Rank-token mapping (RTM) treats the sorted probability distribution as a communication channel: the position (rank) of a token in the descending probability list, rather than the token itself, carries the payload. This insight underlies several state-of-the-art steganographic systems and provides a mechanism by which the flag could be</w:t>
      </w:r>
      <w:r>
        <w:t xml:space="preserve"> </w:t>
      </w:r>
      <w:r>
        <w:t xml:space="preserve">“</w:t>
      </w:r>
      <w:r>
        <w:t xml:space="preserve">present</w:t>
      </w:r>
      <w:r>
        <w:t xml:space="preserve">”</w:t>
      </w:r>
      <w:r>
        <w:t xml:space="preserve"> </w:t>
      </w:r>
      <w:r>
        <w:t xml:space="preserve">in the distribution after</w:t>
      </w:r>
      <w:r>
        <w:t xml:space="preserve"> </w:t>
      </w:r>
      <w:r>
        <w:rPr>
          <w:rStyle w:val="VerbatimChar"/>
        </w:rPr>
        <w:t xml:space="preserve">{</w:t>
      </w:r>
      <w:r>
        <w:t xml:space="preserve"> </w:t>
      </w:r>
      <w:r>
        <w:t xml:space="preserve">yet invisible in any single decoded sequence.</w:t>
      </w:r>
    </w:p>
    <w:bookmarkStart w:id="57" w:name="X7fb9738b2adc714ad362eb16f10150cd94cf21b"/>
    <w:p>
      <w:pPr>
        <w:pStyle w:val="Heading4"/>
      </w:pPr>
      <w:r>
        <w:t xml:space="preserve">4.1.1 RTMStega: Entropy-Driven Rank-Token Mapping Triples Payload Capacity</w:t>
      </w:r>
    </w:p>
    <w:p>
      <w:pPr>
        <w:pStyle w:val="FirstParagraph"/>
      </w:pPr>
      <w:r>
        <w:t xml:space="preserve">RTMStega, introduced by Jiang et al. </w:t>
      </w:r>
      <w:fldSimple w:instr="NOTEREF _Ref_Footnote_7 \h \f">
        <w:r>
          <w:rPr>
            <w:vertAlign w:val="superscript"/>
          </w:rPr>
          <w:t>7</w:t>
        </w:r>
      </w:fldSimple>
      <w:r>
        <w:t xml:space="preserve"> </w:t>
      </w:r>
      <w:r>
        <w:rPr>
          <w:vertAlign w:val="superscript"/>
        </w:rPr>
        <w:footnoteReference w:id="72"/>
      </w:r>
      <w:r>
        <w:t xml:space="preserve">, represents the current frontier of RTM-based steganography. Its encoding pipeline proceeds through four stages. A secret message</w:t>
      </w:r>
      <w:r>
        <w:t xml:space="preserve"> </w:t>
      </w:r>
      <m:oMath>
        <m:r>
          <m:t>m</m:t>
        </m:r>
      </m:oMath>
      <w:r>
        <w:t xml:space="preserve"> </w:t>
      </w:r>
      <w:r>
        <w:t xml:space="preserve">is compressed and tokenized into a sequence using the LLM vocabulary. At each generation position</w:t>
      </w:r>
      <w:r>
        <w:t xml:space="preserve"> </w:t>
      </w:r>
      <m:oMath>
        <m:r>
          <m:t>t</m:t>
        </m:r>
      </m:oMath>
      <w:r>
        <w:t xml:space="preserve">, the model computes the conditional distribution</w:t>
      </w:r>
      <w:r>
        <w:t xml:space="preserve"> </w:t>
      </w:r>
      <m:oMath>
        <m:sSub>
          <m:e>
            <m:r>
              <m:t>p</m:t>
            </m:r>
          </m:e>
          <m:sub>
            <m:r>
              <m:t>θ</m:t>
            </m:r>
          </m:sub>
        </m:sSub>
        <m:d>
          <m:dPr>
            <m:begChr m:val="("/>
            <m:endChr m:val=")"/>
            <m:sepChr m:val=""/>
            <m:grow/>
          </m:dPr>
          <m:e>
            <m:sSub>
              <m:e>
                <m:r>
                  <m:t>x</m:t>
                </m:r>
              </m:e>
              <m:sub>
                <m:r>
                  <m:t>t</m:t>
                </m:r>
              </m:sub>
            </m:sSub>
            <m:r>
              <m:rPr>
                <m:sty m:val="p"/>
              </m:rPr>
              <m:t>∣</m:t>
            </m:r>
            <m:sSub>
              <m:e>
                <m:r>
                  <m:t>x</m:t>
                </m:r>
              </m:e>
              <m:sub>
                <m:r>
                  <m:rPr>
                    <m:sty m:val="p"/>
                  </m:rPr>
                  <m:t>&lt;</m:t>
                </m:r>
                <m:r>
                  <m:t>t</m:t>
                </m:r>
              </m:sub>
            </m:sSub>
            <m:r>
              <m:rPr>
                <m:sty m:val="p"/>
              </m:rPr>
              <m:t>,</m:t>
            </m:r>
            <m:sSub>
              <m:e>
                <m:r>
                  <m:t>H</m:t>
                </m:r>
              </m:e>
              <m:sub>
                <m:r>
                  <m:t>p</m:t>
                </m:r>
              </m:sub>
            </m:sSub>
          </m:e>
        </m:d>
      </m:oMath>
      <w:r>
        <w:t xml:space="preserve">, and the ranks are sorted:</w:t>
      </w:r>
      <w:r>
        <w:t xml:space="preserve"> </w:t>
      </w:r>
      <m:oMath>
        <m:sSubSup>
          <m:e>
            <m:r>
              <m:t>r</m:t>
            </m:r>
          </m:e>
          <m:sub>
            <m:r>
              <m:t>t</m:t>
            </m:r>
          </m:sub>
          <m:sup>
            <m:r>
              <m:rPr>
                <m:nor/>
                <m:sty m:val="p"/>
              </m:rPr>
              <m:t>sorted</m:t>
            </m:r>
          </m:sup>
        </m:sSubSup>
        <m:r>
          <m:rPr>
            <m:sty m:val="p"/>
          </m:rPr>
          <m:t>=</m:t>
        </m:r>
        <m:r>
          <m:rPr>
            <m:nor/>
            <m:sty m:val="p"/>
          </m:rPr>
          <m:t>argsort</m:t>
        </m:r>
        <m:d>
          <m:dPr>
            <m:begChr m:val="("/>
            <m:endChr m:val=")"/>
            <m:sepChr m:val=""/>
            <m:grow/>
          </m:dPr>
          <m:e>
            <m:sSub>
              <m:e>
                <m:r>
                  <m:t>p</m:t>
                </m:r>
              </m:e>
              <m:sub>
                <m:r>
                  <m:t>θ</m:t>
                </m:r>
              </m:sub>
            </m:sSub>
            <m:d>
              <m:dPr>
                <m:begChr m:val="("/>
                <m:endChr m:val=")"/>
                <m:sepChr m:val=""/>
                <m:grow/>
              </m:dPr>
              <m:e>
                <m:sSub>
                  <m:e>
                    <m:r>
                      <m:t>x</m:t>
                    </m:r>
                  </m:e>
                  <m:sub>
                    <m:r>
                      <m:t>t</m:t>
                    </m:r>
                  </m:sub>
                </m:sSub>
                <m:r>
                  <m:rPr>
                    <m:sty m:val="p"/>
                  </m:rPr>
                  <m:t>∣</m:t>
                </m:r>
                <m:sSub>
                  <m:e>
                    <m:r>
                      <m:t>x</m:t>
                    </m:r>
                  </m:e>
                  <m:sub>
                    <m:r>
                      <m:rPr>
                        <m:sty m:val="p"/>
                      </m:rPr>
                      <m:t>&lt;</m:t>
                    </m:r>
                    <m:r>
                      <m:t>t</m:t>
                    </m:r>
                  </m:sub>
                </m:sSub>
                <m:r>
                  <m:rPr>
                    <m:sty m:val="p"/>
                  </m:rPr>
                  <m:t>,</m:t>
                </m:r>
                <m:sSub>
                  <m:e>
                    <m:r>
                      <m:t>H</m:t>
                    </m:r>
                  </m:e>
                  <m:sub>
                    <m:r>
                      <m:t>p</m:t>
                    </m:r>
                  </m:sub>
                </m:sSub>
              </m:e>
            </m:d>
          </m:e>
        </m:d>
      </m:oMath>
      <w:r>
        <w:t xml:space="preserve">. The secret determines which rank to select from this ordered list. The ciphertext is converted into beta-bit rank sequences where the parameter</w:t>
      </w:r>
      <w:r>
        <w:t xml:space="preserve"> </w:t>
      </w:r>
      <m:oMath>
        <m:r>
          <m:t>β</m:t>
        </m:r>
      </m:oMath>
      <w:r>
        <w:t xml:space="preserve"> </w:t>
      </w:r>
      <w:r>
        <w:t xml:space="preserve">governs the payload density versus decoding reliability trade-off—larger</w:t>
      </w:r>
      <w:r>
        <w:t xml:space="preserve"> </w:t>
      </w:r>
      <m:oMath>
        <m:r>
          <m:t>β</m:t>
        </m:r>
      </m:oMath>
      <w:r>
        <w:t xml:space="preserve"> </w:t>
      </w:r>
      <w:r>
        <w:t xml:space="preserve">expands the pool to</w:t>
      </w:r>
      <w:r>
        <w:t xml:space="preserve"> </w:t>
      </w:r>
      <m:oMath>
        <m:sSup>
          <m:e>
            <m:r>
              <m:t>2</m:t>
            </m:r>
          </m:e>
          <m:sup>
            <m:r>
              <m:t>β</m:t>
            </m:r>
          </m:sup>
        </m:sSup>
      </m:oMath>
      <w:r>
        <w:t xml:space="preserve"> </w:t>
      </w:r>
      <w:r>
        <w:t xml:space="preserve">candidates but increases the probability of sampling low-likelihood tokens</w:t>
      </w:r>
      <w:r>
        <w:t xml:space="preserve"> </w:t>
      </w:r>
      <w:fldSimple w:instr="NOTEREF _Ref_Footnote_17 \h \f">
        <w:r>
          <w:rPr>
            <w:vertAlign w:val="superscript"/>
          </w:rPr>
          <w:t>17</w:t>
        </w:r>
      </w:fldSimple>
      <w:r>
        <w:t xml:space="preserve">.</w:t>
      </w:r>
    </w:p>
    <w:p>
      <w:pPr>
        <w:pStyle w:val="BodyText"/>
      </w:pPr>
      <w:r>
        <w:t xml:space="preserve">To manage this tension, RTMStega introduces a normalized entropy gate. At each step, the entropy of the top-</w:t>
      </w:r>
      <m:oMath>
        <m:sSup>
          <m:e>
            <m:r>
              <m:t>2</m:t>
            </m:r>
          </m:e>
          <m:sup>
            <m:r>
              <m:t>β</m:t>
            </m:r>
          </m:sup>
        </m:sSup>
      </m:oMath>
      <w:r>
        <w:t xml:space="preserve"> </w:t>
      </w:r>
      <w:r>
        <w:t xml:space="preserve">candidate probabilities is computed as</w:t>
      </w:r>
      <w:r>
        <w:t xml:space="preserve"> </w:t>
      </w:r>
      <m:oMath>
        <m:sSub>
          <m:e>
            <m:r>
              <m:t>E</m:t>
            </m:r>
          </m:e>
          <m:sub>
            <m:r>
              <m:t>t</m:t>
            </m:r>
          </m:sub>
        </m:sSub>
        <m:r>
          <m:rPr>
            <m:sty m:val="p"/>
          </m:rPr>
          <m:t>=</m:t>
        </m:r>
        <m:r>
          <m:rPr>
            <m:sty m:val="p"/>
          </m:rPr>
          <m:t>−</m:t>
        </m:r>
        <m:nary>
          <m:naryPr>
            <m:chr m:val="∑"/>
            <m:limLoc m:val="undOvr"/>
            <m:subHide m:val="0"/>
            <m:supHide m:val="0"/>
          </m:naryPr>
          <m:sub>
            <m:r>
              <m:t>i</m:t>
            </m:r>
            <m:r>
              <m:rPr>
                <m:sty m:val="p"/>
              </m:rPr>
              <m:t>=</m:t>
            </m:r>
            <m:r>
              <m:t>1</m:t>
            </m:r>
          </m:sub>
          <m:sup>
            <m:sSup>
              <m:e>
                <m:r>
                  <m:t>2</m:t>
                </m:r>
              </m:e>
              <m:sup>
                <m:r>
                  <m:t>β</m:t>
                </m:r>
              </m:sup>
            </m:sSup>
          </m:sup>
          <m:e>
            <m:sSubSup>
              <m:e>
                <m:acc>
                  <m:accPr>
                    <m:chr m:val="̃"/>
                  </m:accPr>
                  <m:e>
                    <m:r>
                      <m:t>p</m:t>
                    </m:r>
                  </m:e>
                </m:acc>
              </m:e>
              <m:sub>
                <m:r>
                  <m:t>t</m:t>
                </m:r>
              </m:sub>
              <m:sup>
                <m:r>
                  <m:t>i</m:t>
                </m:r>
              </m:sup>
            </m:sSubSup>
          </m:e>
        </m:nary>
        <m:sSub>
          <m:e>
            <m:r>
              <m:rPr>
                <m:sty m:val="p"/>
              </m:rPr>
              <m:t>log</m:t>
            </m:r>
          </m:e>
          <m:sub>
            <m:r>
              <m:t>2</m:t>
            </m:r>
          </m:sub>
        </m:sSub>
        <m:d>
          <m:dPr>
            <m:begChr m:val="("/>
            <m:endChr m:val=")"/>
            <m:sepChr m:val=""/>
            <m:grow/>
          </m:dPr>
          <m:e>
            <m:sSubSup>
              <m:e>
                <m:acc>
                  <m:accPr>
                    <m:chr m:val="̃"/>
                  </m:accPr>
                  <m:e>
                    <m:r>
                      <m:t>p</m:t>
                    </m:r>
                  </m:e>
                </m:acc>
              </m:e>
              <m:sub>
                <m:r>
                  <m:t>t</m:t>
                </m:r>
              </m:sub>
              <m:sup>
                <m:r>
                  <m:t>i</m:t>
                </m:r>
              </m:sup>
            </m:sSubSup>
          </m:e>
        </m:d>
      </m:oMath>
      <w:r>
        <w:t xml:space="preserve">, and embedding only proceeds when</w:t>
      </w:r>
      <w:r>
        <w:t xml:space="preserve"> </w:t>
      </w:r>
      <m:oMath>
        <m:sSub>
          <m:e>
            <m:r>
              <m:t>E</m:t>
            </m:r>
          </m:e>
          <m:sub>
            <m:r>
              <m:t>t</m:t>
            </m:r>
          </m:sub>
        </m:sSub>
        <m:r>
          <m:rPr>
            <m:sty m:val="p"/>
          </m:rPr>
          <m:t>≥</m:t>
        </m:r>
        <m:r>
          <m:t>α</m:t>
        </m:r>
        <m:r>
          <m:rPr>
            <m:sty m:val="p"/>
          </m:rPr>
          <m:t>⋅</m:t>
        </m:r>
        <m:r>
          <m:t>β</m:t>
        </m:r>
      </m:oMath>
      <w:r>
        <w:t xml:space="preserve">, where</w:t>
      </w:r>
      <w:r>
        <w:t xml:space="preserve"> </w:t>
      </w:r>
      <m:oMath>
        <m:r>
          <m:t>α</m:t>
        </m:r>
      </m:oMath>
      <w:r>
        <w:t xml:space="preserve"> </w:t>
      </w:r>
      <w:r>
        <w:t xml:space="preserve">(typically 0.6) is a quality threshold. When entropy falls below this threshold, the system falls back to standard random sampling without embedding</w:t>
      </w:r>
      <w:r>
        <w:t xml:space="preserve"> </w:t>
      </w:r>
      <w:fldSimple w:instr="NOTEREF _Ref_Footnote_7 \h \f">
        <w:r>
          <w:rPr>
            <w:vertAlign w:val="superscript"/>
          </w:rPr>
          <w:t>7</w:t>
        </w:r>
      </w:fldSimple>
      <w:r>
        <w:t xml:space="preserve">. This adaptive mechanism triples payload capacity versus prior baselines while reducing processing time by over 50%</w:t>
      </w:r>
      <w:r>
        <w:t xml:space="preserve"> </w:t>
      </w:r>
      <w:fldSimple w:instr="NOTEREF _Ref_Footnote_7 \h \f">
        <w:r>
          <w:rPr>
            <w:vertAlign w:val="superscript"/>
          </w:rPr>
          <w:t>7</w:t>
        </w:r>
      </w:fldSimple>
      <w:r>
        <w:t xml:space="preserve">.</w:t>
      </w:r>
    </w:p>
    <w:p>
      <w:pPr>
        <w:pStyle w:val="BodyText"/>
      </w:pPr>
      <w:r>
        <w:t xml:space="preserve">The STLM protocol</w:t>
      </w:r>
      <w:r>
        <w:t xml:space="preserve"> </w:t>
      </w:r>
      <w:r>
        <w:rPr>
          <w:vertAlign w:val="superscript"/>
        </w:rPr>
        <w:footnoteReference w:id="73"/>
      </w:r>
      <w:r>
        <w:t xml:space="preserve">, RTMStega’s predecessor, established the foundational rank-based framework: Alice generates ranks of her secret text using a shared language model, creates cover text from those ranks, and Bob recovers the secret by reproducing the rank sequence through the same model. Where STLM provided the conceptual scaffolding, RTMStega added the entropy-constrained embedding gate that makes high-capacity payload delivery practical.</w:t>
      </w:r>
    </w:p>
    <w:bookmarkEnd w:id="57"/>
    <w:bookmarkStart w:id="58" w:name="Xc5d99137d1b4c63a1734c8a17ab3aa748799fd8"/>
    <w:p>
      <w:pPr>
        <w:pStyle w:val="Heading4"/>
      </w:pPr>
      <w:r>
        <w:t xml:space="preserve">4.1.2 Signal Watermark: Sinusoidal Rank-Selection Patterns Detectable via FFT</w:t>
      </w:r>
    </w:p>
    <w:p>
      <w:pPr>
        <w:pStyle w:val="FirstParagraph"/>
      </w:pPr>
      <w:r>
        <w:t xml:space="preserve">The Signal Watermark approach</w:t>
      </w:r>
      <w:r>
        <w:t xml:space="preserve"> </w:t>
      </w:r>
      <w:fldSimple w:instr="NOTEREF _Ref_Footnote_8 \h \f">
        <w:r>
          <w:rPr>
            <w:vertAlign w:val="superscript"/>
          </w:rPr>
          <w:t>8</w:t>
        </w:r>
      </w:fldSimple>
      <w:r>
        <w:t xml:space="preserve">embeds information by imposing a deterministic sinusoidal pattern on rank selections across token positions. The watermark defines</w:t>
      </w:r>
      <w:r>
        <w:t xml:space="preserve"> </w:t>
      </w:r>
      <m:oMath>
        <m:r>
          <m:rPr>
            <m:nor/>
            <m:sty m:val="p"/>
          </m:rPr>
          <m:t>signal</m:t>
        </m:r>
        <m:d>
          <m:dPr>
            <m:begChr m:val="("/>
            <m:endChr m:val=")"/>
            <m:sepChr m:val=""/>
            <m:grow/>
          </m:dPr>
          <m:e>
            <m:r>
              <m:t>n</m:t>
            </m:r>
          </m:e>
        </m:d>
        <m:r>
          <m:rPr>
            <m:sty m:val="p"/>
          </m:rPr>
          <m:t>=</m:t>
        </m:r>
        <m:r>
          <m:rPr>
            <m:sty m:val="p"/>
          </m:rPr>
          <m:t>sin</m:t>
        </m:r>
        <m:d>
          <m:dPr>
            <m:begChr m:val="("/>
            <m:endChr m:val=")"/>
            <m:sepChr m:val=""/>
            <m:grow/>
          </m:dPr>
          <m:e>
            <m:r>
              <m:t>n</m:t>
            </m:r>
            <m:r>
              <m:rPr>
                <m:sty m:val="p"/>
              </m:rPr>
              <m:t>⋅</m:t>
            </m:r>
            <m:r>
              <m:t>x</m:t>
            </m:r>
            <m:r>
              <m:rPr>
                <m:sty m:val="p"/>
              </m:rPr>
              <m:t>+</m:t>
            </m:r>
            <m:r>
              <m:t>ϕ</m:t>
            </m:r>
          </m:e>
        </m:d>
      </m:oMath>
      <w:r>
        <w:t xml:space="preserve">, sampled at discrete intervals to produce a rank-selection pattern over the top-</w:t>
      </w:r>
      <m:oMath>
        <m:r>
          <m:t>k</m:t>
        </m:r>
      </m:oMath>
      <w:r>
        <w:t xml:space="preserve"> </w:t>
      </w:r>
      <w:r>
        <w:t xml:space="preserve">candidate pool—for instance, dictating the sequence of ranks</w:t>
      </w:r>
      <w:r>
        <w:t xml:space="preserve"> </w:t>
      </w:r>
      <m:oMath>
        <m:d>
          <m:dPr>
            <m:begChr m:val="["/>
            <m:endChr m:val="]"/>
            <m:sepChr m:val=""/>
            <m:grow/>
          </m:dPr>
          <m:e>
            <m:r>
              <m:t>3</m:t>
            </m:r>
            <m:r>
              <m:rPr>
                <m:sty m:val="p"/>
              </m:rPr>
              <m:t>,</m:t>
            </m:r>
            <m:r>
              <m:t>4</m:t>
            </m:r>
            <m:r>
              <m:rPr>
                <m:sty m:val="p"/>
              </m:rPr>
              <m:t>,</m:t>
            </m:r>
            <m:r>
              <m:t>5</m:t>
            </m:r>
            <m:r>
              <m:rPr>
                <m:sty m:val="p"/>
              </m:rPr>
              <m:t>,</m:t>
            </m:r>
            <m:r>
              <m:t>5</m:t>
            </m:r>
            <m:r>
              <m:rPr>
                <m:sty m:val="p"/>
              </m:rPr>
              <m:t>,</m:t>
            </m:r>
            <m:r>
              <m:t>4</m:t>
            </m:r>
            <m:r>
              <m:rPr>
                <m:sty m:val="p"/>
              </m:rPr>
              <m:t>,</m:t>
            </m:r>
            <m:r>
              <m:t>3</m:t>
            </m:r>
            <m:r>
              <m:rPr>
                <m:sty m:val="p"/>
              </m:rPr>
              <m:t>,</m:t>
            </m:r>
            <m:r>
              <m:t>2</m:t>
            </m:r>
            <m:r>
              <m:rPr>
                <m:sty m:val="p"/>
              </m:rPr>
              <m:t>,</m:t>
            </m:r>
            <m:r>
              <m:t>1</m:t>
            </m:r>
            <m:r>
              <m:rPr>
                <m:sty m:val="p"/>
              </m:rPr>
              <m:t>,</m:t>
            </m:r>
            <m:r>
              <m:t>1</m:t>
            </m:r>
            <m:r>
              <m:rPr>
                <m:sty m:val="p"/>
              </m:rPr>
              <m:t>,</m:t>
            </m:r>
            <m:r>
              <m:t>2</m:t>
            </m:r>
            <m:r>
              <m:rPr>
                <m:sty m:val="p"/>
              </m:rPr>
              <m:t>,</m:t>
            </m:r>
            <m:r>
              <m:rPr>
                <m:sty m:val="p"/>
              </m:rPr>
              <m:t>…</m:t>
            </m:r>
          </m:e>
        </m:d>
      </m:oMath>
      <w:r>
        <w:t xml:space="preserve"> </w:t>
      </w:r>
      <w:r>
        <w:t xml:space="preserve">from the top-5 candidates at successive steps. The token emitted at each position is the one occupying the prescribed rank in the local probability distribution</w:t>
      </w:r>
      <w:r>
        <w:t xml:space="preserve"> </w:t>
      </w:r>
      <w:fldSimple w:instr="NOTEREF _Ref_Footnote_8 \h \f">
        <w:r>
          <w:rPr>
            <w:vertAlign w:val="superscript"/>
          </w:rPr>
          <w:t>8</w:t>
        </w:r>
      </w:fldSimple>
      <w:r>
        <w:t xml:space="preserve">.</w:t>
      </w:r>
    </w:p>
    <w:p>
      <w:pPr>
        <w:pStyle w:val="BodyText"/>
      </w:pPr>
      <w:r>
        <w:t xml:space="preserve">The critical insight for CTF extraction lies in the detection mechanism. After generation, the model re-computes token probabilities to determine each emitted token’s position within its local candidate pool, then applies Fast Fourier Transform (FFT) analysis to the recovered rank sequence. The authors note that</w:t>
      </w:r>
      <w:r>
        <w:t xml:space="preserve"> </w:t>
      </w:r>
      <w:r>
        <w:t xml:space="preserve">“</w:t>
      </w:r>
      <w:r>
        <w:t xml:space="preserve">when a language model auto-regressively generates text from a given prompt, the ranking of each token in the candidate pool during generation closely matches its ranking in a subsequent Token Probability Re-computation</w:t>
      </w:r>
      <w:r>
        <w:t xml:space="preserve">”</w:t>
      </w:r>
      <w:r>
        <w:t xml:space="preserve"> </w:t>
      </w:r>
      <w:fldSimple w:instr="NOTEREF _Ref_Footnote_8 \h \f">
        <w:r>
          <w:rPr>
            <w:vertAlign w:val="superscript"/>
          </w:rPr>
          <w:t>8</w:t>
        </w:r>
      </w:fldSimple>
      <w:r>
        <w:t xml:space="preserve">—meaning rank sequences are robust features that survive regeneration even when the exact sampled token differs. This validates the hypothesis that rank-level information can persist across sampling runs and encode recoverable data.</w:t>
      </w:r>
    </w:p>
    <w:bookmarkEnd w:id="58"/>
    <w:bookmarkStart w:id="59" w:name="auto-utfc-rank-position-control"/>
    <w:p>
      <w:pPr>
        <w:pStyle w:val="Heading4"/>
      </w:pPr>
      <w:r>
        <w:t xml:space="preserve">4.1.3 Auto-UTFC: Rank-Position Control</w:t>
      </w:r>
    </w:p>
    <w:p>
      <w:pPr>
        <w:pStyle w:val="FirstParagraph"/>
      </w:pPr>
      <w:r>
        <w:t xml:space="preserve">Auto-UTFC</w:t>
      </w:r>
      <w:r>
        <w:t xml:space="preserve"> </w:t>
      </w:r>
      <w:r>
        <w:rPr>
          <w:vertAlign w:val="superscript"/>
        </w:rPr>
        <w:footnoteReference w:id="74"/>
      </w:r>
      <w:r>
        <w:t xml:space="preserve"> </w:t>
      </w:r>
      <w:r>
        <w:rPr>
          <w:vertAlign w:val="superscript"/>
        </w:rPr>
        <w:footnoteReference w:id="75"/>
      </w:r>
      <w:r>
        <w:t xml:space="preserve"> </w:t>
      </w:r>
      <w:r>
        <w:rPr>
          <w:vertAlign w:val="superscript"/>
        </w:rPr>
        <w:footnoteReference w:id="76"/>
      </w:r>
      <w:r>
        <w:t xml:space="preserve">introduces a complementary paradigm: rather than encoding information in which rank is selected for output, it encodes information in the controlled placement of specific tokens at specific rank positions. Hidden-message tokens occupy neither the top-</w:t>
      </w:r>
      <m:oMath>
        <m:r>
          <m:t>T</m:t>
        </m:r>
      </m:oMath>
      <w:r>
        <w:t xml:space="preserve"> </w:t>
      </w:r>
      <w:r>
        <w:t xml:space="preserve">most probable nor the bottom-</w:t>
      </w:r>
      <m:oMath>
        <m:r>
          <m:t>T</m:t>
        </m:r>
      </m:oMath>
      <w:r>
        <w:t xml:space="preserve"> </w:t>
      </w:r>
      <w:r>
        <w:t xml:space="preserve">least probable ranks—they are deliberately positioned in the middle of the distribution, where they remain statistically invisible to standard decoding while being recoverable by an observer examining the full ranking. As the authors illustrate, if</w:t>
      </w:r>
      <w:r>
        <w:t xml:space="preserve"> </w:t>
      </w:r>
      <m:oMath>
        <m:r>
          <m:t>P</m:t>
        </m:r>
        <m:d>
          <m:dPr>
            <m:begChr m:val="("/>
            <m:endChr m:val=")"/>
            <m:sepChr m:val=""/>
            <m:grow/>
          </m:dPr>
          <m:e>
            <m:r>
              <m:rPr>
                <m:nor/>
                <m:sty m:val="p"/>
              </m:rPr>
              <m:t>’is’</m:t>
            </m:r>
            <m:r>
              <m:rPr>
                <m:sty m:val="p"/>
              </m:rPr>
              <m:t>∣</m:t>
            </m:r>
            <m:r>
              <m:rPr>
                <m:nor/>
                <m:sty m:val="p"/>
              </m:rPr>
              <m:t>’Zurek steganography’</m:t>
            </m:r>
          </m:e>
        </m:d>
        <m:r>
          <m:rPr>
            <m:sty m:val="p"/>
          </m:rPr>
          <m:t>=</m:t>
        </m:r>
        <m:r>
          <m:t>0.03</m:t>
        </m:r>
      </m:oMath>
      <w:r>
        <w:t xml:space="preserve">, this corresponds to</w:t>
      </w:r>
      <w:r>
        <w:t xml:space="preserve"> </w:t>
      </w:r>
      <w:r>
        <w:t xml:space="preserve">“</w:t>
      </w:r>
      <w:r>
        <w:t xml:space="preserve">‘</w:t>
      </w:r>
      <w:r>
        <w:t xml:space="preserve">is</w:t>
      </w:r>
      <w:r>
        <w:t xml:space="preserve">’</w:t>
      </w:r>
      <w:r>
        <w:t xml:space="preserve"> </w:t>
      </w:r>
      <w:r>
        <w:t xml:space="preserve">being the 32nd most probable token</w:t>
      </w:r>
      <w:r>
        <w:t xml:space="preserve">”</w:t>
      </w:r>
      <w:r>
        <w:t xml:space="preserve"> </w:t>
      </w:r>
      <w:fldSimple w:instr="NOTEREF _Ref_Footnote_74 \h \f">
        <w:r>
          <w:rPr>
            <w:vertAlign w:val="superscript"/>
          </w:rPr>
          <w:t>74</w:t>
        </w:r>
      </w:fldSimple>
      <w:r>
        <w:t xml:space="preserve">—a rank-position that encodes information without affecting the sampled output.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Encoding Target</w:t>
            </w:r>
          </w:p>
        </w:tc>
        <w:tc>
          <w:tcPr/>
          <w:p>
            <w:pPr>
              <w:pStyle w:val="Compact"/>
              <w:jc w:val="left"/>
            </w:pPr>
            <w:r>
              <w:t xml:space="preserve">Decoding Mechanism</w:t>
            </w:r>
          </w:p>
        </w:tc>
        <w:tc>
          <w:tcPr/>
          <w:p>
            <w:pPr>
              <w:pStyle w:val="Compact"/>
              <w:jc w:val="left"/>
            </w:pPr>
            <w:r>
              <w:t xml:space="preserve">Payload Capacity</w:t>
            </w:r>
          </w:p>
        </w:tc>
        <w:tc>
          <w:tcPr/>
          <w:p>
            <w:pPr>
              <w:pStyle w:val="Compact"/>
              <w:jc w:val="left"/>
            </w:pPr>
            <w:r>
              <w:t xml:space="preserve">CTF Relevance</w:t>
            </w:r>
          </w:p>
        </w:tc>
      </w:tr>
      <w:tr>
        <w:tc>
          <w:tcPr/>
          <w:p>
            <w:pPr>
              <w:pStyle w:val="Compact"/>
              <w:jc w:val="left"/>
            </w:pPr>
            <w:r>
              <w:t xml:space="preserve">RTMStega</w:t>
            </w:r>
            <w:r>
              <w:t xml:space="preserve"> </w:t>
            </w:r>
            <w:fldSimple w:instr="NOTEREF _Ref_Footnote_7 \h \f">
              <w:r>
                <w:rPr>
                  <w:vertAlign w:val="superscript"/>
                </w:rPr>
                <w:t>7</w:t>
              </w:r>
            </w:fldSimple>
          </w:p>
        </w:tc>
        <w:tc>
          <w:tcPr/>
          <w:p>
            <w:pPr>
              <w:pStyle w:val="Compact"/>
              <w:jc w:val="left"/>
            </w:pPr>
            <w:r>
              <w:t xml:space="preserve">Beta-bit rank selections from top-</w:t>
            </w:r>
            <m:oMath>
              <m:sSup>
                <m:e>
                  <m:r>
                    <m:t>2</m:t>
                  </m:r>
                </m:e>
                <m:sup>
                  <m:r>
                    <m:t>β</m:t>
                  </m:r>
                </m:sup>
              </m:sSup>
            </m:oMath>
            <w:r>
              <w:t xml:space="preserve"> </w:t>
            </w:r>
            <w:r>
              <w:t xml:space="preserve">pool</w:t>
            </w:r>
          </w:p>
        </w:tc>
        <w:tc>
          <w:tcPr/>
          <w:p>
            <w:pPr>
              <w:pStyle w:val="Compact"/>
              <w:jc w:val="left"/>
            </w:pPr>
            <w:r>
              <w:t xml:space="preserve">Entropy-gated rank recovery; shared LM + context</w:t>
            </w:r>
          </w:p>
        </w:tc>
        <w:tc>
          <w:tcPr/>
          <w:p>
            <w:pPr>
              <w:pStyle w:val="Compact"/>
              <w:jc w:val="left"/>
            </w:pPr>
            <w:r>
              <w:t xml:space="preserve">3x baseline</w:t>
            </w:r>
            <w:r>
              <w:t xml:space="preserve"> </w:t>
            </w:r>
            <w:fldSimple w:instr="NOTEREF _Ref_Footnote_7 \h \f">
              <w:r>
                <w:rPr>
                  <w:vertAlign w:val="superscript"/>
                </w:rPr>
                <w:t>7</w:t>
              </w:r>
            </w:fldSimple>
          </w:p>
        </w:tc>
        <w:tc>
          <w:tcPr/>
          <w:p>
            <w:pPr>
              <w:pStyle w:val="Compact"/>
              <w:jc w:val="left"/>
            </w:pPr>
            <w:r>
              <w:t xml:space="preserve">High: adaptive entropy threshold matches observed</w:t>
            </w:r>
            <w:r>
              <w:t xml:space="preserve"> </w:t>
            </w:r>
            <m:oMath>
              <m:r>
                <m:t>P</m:t>
              </m:r>
              <m:d>
                <m:dPr>
                  <m:begChr m:val="("/>
                  <m:endChr m:val=")"/>
                  <m:sepChr m:val=""/>
                  <m:grow/>
                </m:dPr>
                <m:e>
                  <m:r>
                    <m:t>f</m:t>
                  </m:r>
                </m:e>
              </m:d>
            </m:oMath>
            <w:r>
              <w:t xml:space="preserve"> </w:t>
            </w:r>
            <w:r>
              <w:t xml:space="preserve">variability</w:t>
            </w:r>
          </w:p>
        </w:tc>
      </w:tr>
      <w:tr>
        <w:tc>
          <w:tcPr/>
          <w:p>
            <w:pPr>
              <w:pStyle w:val="Compact"/>
              <w:jc w:val="left"/>
            </w:pPr>
            <w:r>
              <w:t xml:space="preserve">STLM</w:t>
            </w:r>
            <w:r>
              <w:t xml:space="preserve"> </w:t>
            </w:r>
            <w:fldSimple w:instr="NOTEREF _Ref_Footnote_73 \h \f">
              <w:r>
                <w:rPr>
                  <w:vertAlign w:val="superscript"/>
                </w:rPr>
                <w:t>73</w:t>
              </w:r>
            </w:fldSimple>
          </w:p>
        </w:tc>
        <w:tc>
          <w:tcPr/>
          <w:p>
            <w:pPr>
              <w:pStyle w:val="Compact"/>
              <w:jc w:val="left"/>
            </w:pPr>
            <w:r>
              <w:t xml:space="preserve">Rank-to-token mapping via shared preconditioning</w:t>
            </w:r>
          </w:p>
        </w:tc>
        <w:tc>
          <w:tcPr/>
          <w:p>
            <w:pPr>
              <w:pStyle w:val="Compact"/>
              <w:jc w:val="left"/>
            </w:pPr>
            <w:r>
              <w:t xml:space="preserve">Reproduce rank sequence with shared model + prompt</w:t>
            </w:r>
          </w:p>
        </w:tc>
        <w:tc>
          <w:tcPr/>
          <w:p>
            <w:pPr>
              <w:pStyle w:val="Compact"/>
              <w:jc w:val="left"/>
            </w:pPr>
            <w:r>
              <w:t xml:space="preserve">Moderate</w:t>
            </w:r>
          </w:p>
        </w:tc>
        <w:tc>
          <w:tcPr/>
          <w:p>
            <w:pPr>
              <w:pStyle w:val="Compact"/>
              <w:jc w:val="left"/>
            </w:pPr>
            <w:r>
              <w:t xml:space="preserve">Medium: requires exact shared-model synchronization</w:t>
            </w:r>
          </w:p>
        </w:tc>
      </w:tr>
      <w:tr>
        <w:tc>
          <w:tcPr/>
          <w:p>
            <w:pPr>
              <w:pStyle w:val="Compact"/>
              <w:jc w:val="left"/>
            </w:pPr>
            <w:r>
              <w:t xml:space="preserve">Signal Watermark</w:t>
            </w:r>
            <w:r>
              <w:t xml:space="preserve"> </w:t>
            </w:r>
            <w:fldSimple w:instr="NOTEREF _Ref_Footnote_8 \h \f">
              <w:r>
                <w:rPr>
                  <w:vertAlign w:val="superscript"/>
                </w:rPr>
                <w:t>8</w:t>
              </w:r>
            </w:fldSimple>
          </w:p>
        </w:tc>
        <w:tc>
          <w:tcPr/>
          <w:p>
            <w:pPr>
              <w:pStyle w:val="Compact"/>
              <w:jc w:val="left"/>
            </w:pPr>
            <w:r>
              <w:t xml:space="preserve">Sinusoidal rank-selection patterns over positions</w:t>
            </w:r>
          </w:p>
        </w:tc>
        <w:tc>
          <w:tcPr/>
          <w:p>
            <w:pPr>
              <w:pStyle w:val="Compact"/>
              <w:jc w:val="left"/>
            </w:pPr>
            <w:r>
              <w:t xml:space="preserve">FFT on recovered rank sequence from top-</w:t>
            </w:r>
            <m:oMath>
              <m:r>
                <m:t>k</m:t>
              </m:r>
            </m:oMath>
            <w:r>
              <w:t xml:space="preserve"> </w:t>
            </w:r>
            <w:r>
              <w:t xml:space="preserve">pool</w:t>
            </w:r>
          </w:p>
        </w:tc>
        <w:tc>
          <w:tcPr/>
          <w:p>
            <w:pPr>
              <w:pStyle w:val="Compact"/>
              <w:jc w:val="left"/>
            </w:pPr>
            <w:r>
              <w:t xml:space="preserve">Low-moderate</w:t>
            </w:r>
          </w:p>
        </w:tc>
        <w:tc>
          <w:tcPr/>
          <w:p>
            <w:pPr>
              <w:pStyle w:val="Compact"/>
              <w:jc w:val="left"/>
            </w:pPr>
            <w:r>
              <w:t xml:space="preserve">High: FFT detects periodic rank patterns even when samples differ</w:t>
            </w:r>
          </w:p>
        </w:tc>
      </w:tr>
      <w:tr>
        <w:tc>
          <w:tcPr/>
          <w:p>
            <w:pPr>
              <w:pStyle w:val="Compact"/>
              <w:jc w:val="left"/>
            </w:pPr>
            <w:r>
              <w:t xml:space="preserve">Auto-UTFC</w:t>
            </w:r>
            <w:r>
              <w:t xml:space="preserve"> </w:t>
            </w:r>
            <w:fldSimple w:instr="NOTEREF _Ref_Footnote_74 \h \f">
              <w:r>
                <w:rPr>
                  <w:vertAlign w:val="superscript"/>
                </w:rPr>
                <w:t>74</w:t>
              </w:r>
            </w:fldSimple>
          </w:p>
        </w:tc>
        <w:tc>
          <w:tcPr/>
          <w:p>
            <w:pPr>
              <w:pStyle w:val="Compact"/>
              <w:jc w:val="left"/>
            </w:pPr>
            <w:r>
              <w:t xml:space="preserve">Controlled rank positions (mid-distribution)</w:t>
            </w:r>
          </w:p>
        </w:tc>
        <w:tc>
          <w:tcPr/>
          <w:p>
            <w:pPr>
              <w:pStyle w:val="Compact"/>
              <w:jc w:val="left"/>
            </w:pPr>
            <w:r>
              <w:t xml:space="preserve">Examine full ranking to find tokens at specified positions</w:t>
            </w:r>
          </w:p>
        </w:tc>
        <w:tc>
          <w:tcPr/>
          <w:p>
            <w:pPr>
              <w:pStyle w:val="Compact"/>
              <w:jc w:val="left"/>
            </w:pPr>
            <w:r>
              <w:t xml:space="preserve">Position-dependent</w:t>
            </w:r>
          </w:p>
        </w:tc>
        <w:tc>
          <w:tcPr/>
          <w:p>
            <w:pPr>
              <w:pStyle w:val="Compact"/>
              <w:jc w:val="left"/>
            </w:pPr>
            <w:r>
              <w:t xml:space="preserve">High: hides at predictable mid-ranks, recoverable via full distribution</w:t>
            </w:r>
          </w:p>
        </w:tc>
      </w:tr>
      <w:tr>
        <w:tc>
          <w:tcPr/>
          <w:p>
            <w:pPr>
              <w:pStyle w:val="Compact"/>
              <w:jc w:val="left"/>
            </w:pPr>
            <w:r>
              <w:t xml:space="preserve">METEOR</w:t>
            </w:r>
            <w:r>
              <w:t xml:space="preserve"> </w:t>
            </w:r>
            <w:fldSimple w:instr="NOTEREF _Ref_Footnote_57 \h \f">
              <w:r>
                <w:rPr>
                  <w:vertAlign w:val="superscript"/>
                </w:rPr>
                <w:t>57</w:t>
              </w:r>
            </w:fldSimple>
            <w:r>
              <w:t xml:space="preserve"> </w:t>
            </w:r>
            <w:r>
              <w:rPr>
                <w:vertAlign w:val="superscript"/>
              </w:rPr>
              <w:footnoteReference w:id="77"/>
            </w:r>
          </w:p>
        </w:tc>
        <w:tc>
          <w:tcPr/>
          <w:p>
            <w:pPr>
              <w:pStyle w:val="Compact"/>
              <w:jc w:val="left"/>
            </w:pPr>
            <w:r>
              <w:t xml:space="preserve">Bit-string offsets within arithmetic-coded intervals</w:t>
            </w:r>
          </w:p>
        </w:tc>
        <w:tc>
          <w:tcPr/>
          <w:p>
            <w:pPr>
              <w:pStyle w:val="Compact"/>
              <w:jc w:val="left"/>
            </w:pPr>
            <w:r>
              <w:t xml:space="preserve">Longest common prefix recovery over interval ranges</w:t>
            </w:r>
          </w:p>
        </w:tc>
        <w:tc>
          <w:tcPr/>
          <w:p>
            <w:pPr>
              <w:pStyle w:val="Compact"/>
              <w:jc w:val="left"/>
            </w:pPr>
            <w:r>
              <w:t xml:space="preserve">Optimized via shared prefixes</w:t>
            </w:r>
            <w:r>
              <w:t xml:space="preserve"> </w:t>
            </w:r>
            <w:r>
              <w:rPr>
                <w:vertAlign w:val="superscript"/>
              </w:rPr>
              <w:footnoteReference w:id="78"/>
            </w:r>
          </w:p>
        </w:tc>
        <w:tc>
          <w:tcPr/>
          <w:p>
            <w:pPr>
              <w:pStyle w:val="Compact"/>
              <w:jc w:val="left"/>
            </w:pPr>
            <w:r>
              <w:t xml:space="preserve">Medium: complex extraction requiring ciphertext sync</w:t>
            </w:r>
          </w:p>
        </w:tc>
      </w:tr>
    </w:tbl>
    <w:p>
      <w:pPr>
        <w:pStyle w:val="BodyText"/>
      </w:pPr>
      <w:r>
        <w:t xml:space="preserve">This comparative overview reveals a spectrum of RTM techniques spanning high-capacity adaptive encoding (RTMStega), robust pattern-based signaling (Signal Watermark), and mid-rank concealment (Auto-UTFC). What unites them is the principle that the sorted probability distribution provides a structured channel in which information can be embedded at the rank level, independent of the sampling process. For CTF contexts where the flag may be</w:t>
      </w:r>
      <w:r>
        <w:t xml:space="preserve"> </w:t>
      </w:r>
      <w:r>
        <w:t xml:space="preserve">“</w:t>
      </w:r>
      <w:r>
        <w:t xml:space="preserve">present</w:t>
      </w:r>
      <w:r>
        <w:t xml:space="preserve">”</w:t>
      </w:r>
      <w:r>
        <w:t xml:space="preserve"> </w:t>
      </w:r>
      <w:r>
        <w:t xml:space="preserve">in the distribution but absent from any decoded string, these techniques provide both the encoding vocabulary and the detection methodology.</w:t>
      </w:r>
    </w:p>
    <w:bookmarkEnd w:id="59"/>
    <w:bookmarkEnd w:id="60"/>
    <w:bookmarkStart w:id="64" w:name="distribution-shape-encoding"/>
    <w:p>
      <w:pPr>
        <w:pStyle w:val="Heading3"/>
      </w:pPr>
      <w:r>
        <w:t xml:space="preserve">4.2 Distribution-Shape Encoding</w:t>
      </w:r>
    </w:p>
    <w:p>
      <w:pPr>
        <w:pStyle w:val="FirstParagraph"/>
      </w:pPr>
      <w:r>
        <w:t xml:space="preserve">Beyond individual token ranks, the overall shape of the probability distribution—its entropy, skewness, and the ratios between specific token probabilities—can itself serve as an information carrier.</w:t>
      </w:r>
    </w:p>
    <w:bookmarkStart w:id="61" w:name="X0490f888b2ec4d1a05636d21c2b5438eb32eaea"/>
    <w:p>
      <w:pPr>
        <w:pStyle w:val="Heading4"/>
      </w:pPr>
      <w:r>
        <w:t xml:space="preserve">4.2.1 Discop: Provably Secure Steganography via Distribution Copying</w:t>
      </w:r>
    </w:p>
    <w:p>
      <w:pPr>
        <w:pStyle w:val="FirstParagraph"/>
      </w:pPr>
      <w:r>
        <w:t xml:space="preserve">Discop, presented at IEEE S&amp;P 2023</w:t>
      </w:r>
      <w:r>
        <w:t xml:space="preserve"> </w:t>
      </w:r>
      <w:r>
        <w:rPr>
          <w:vertAlign w:val="superscript"/>
        </w:rPr>
        <w:footnoteReference w:id="79"/>
      </w:r>
      <w:r>
        <w:t xml:space="preserve"> </w:t>
      </w:r>
      <w:fldSimple w:instr="NOTEREF _Ref_Footnote_78 \h \f">
        <w:r>
          <w:rPr>
            <w:vertAlign w:val="superscript"/>
          </w:rPr>
          <w:t>78</w:t>
        </w:r>
      </w:fldSimple>
      <w:r>
        <w:t xml:space="preserve">, achieves provably secure steganography through</w:t>
      </w:r>
      <w:r>
        <w:t xml:space="preserve"> </w:t>
      </w:r>
      <w:r>
        <w:t xml:space="preserve">“</w:t>
      </w:r>
      <w:r>
        <w:t xml:space="preserve">distribution copying.</w:t>
      </w:r>
      <w:r>
        <w:t xml:space="preserve">”</w:t>
      </w:r>
      <w:r>
        <w:t xml:space="preserve"> </w:t>
      </w:r>
      <w:r>
        <w:t xml:space="preserve">At each timestep, the message determines which of multiple identical copies of the probability distribution to sample from. The method recursively constructs additional copies by building Huffman trees over the vocabulary, breaking high-dimensional token selection into binary decisions guided by the secret message</w:t>
      </w:r>
      <w:r>
        <w:t xml:space="preserve"> </w:t>
      </w:r>
      <w:fldSimple w:instr="NOTEREF _Ref_Footnote_7 \h \f">
        <w:r>
          <w:rPr>
            <w:vertAlign w:val="superscript"/>
          </w:rPr>
          <w:t>7</w:t>
        </w:r>
      </w:fldSimple>
      <w:r>
        <w:t xml:space="preserve">. The security guarantee is formal:</w:t>
      </w:r>
      <w:r>
        <w:t xml:space="preserve"> </w:t>
      </w:r>
      <w:r>
        <w:t xml:space="preserve">“</w:t>
      </w:r>
      <w:r>
        <w:t xml:space="preserve">We prove that Discop can strictly maintain the original distribution so that the adversary cannot perform better than random guessing</w:t>
      </w:r>
      <w:r>
        <w:t xml:space="preserve">”</w:t>
      </w:r>
      <w:r>
        <w:t xml:space="preserve"> </w:t>
      </w:r>
      <w:fldSimple w:instr="NOTEREF _Ref_Footnote_79 \h \f">
        <w:r>
          <w:rPr>
            <w:vertAlign w:val="superscript"/>
          </w:rPr>
          <w:t>79</w:t>
        </w:r>
      </w:fldSimple>
      <w:r>
        <w:t xml:space="preserve">.</w:t>
      </w:r>
    </w:p>
    <w:p>
      <w:pPr>
        <w:pStyle w:val="BodyText"/>
      </w:pPr>
      <w:r>
        <w:t xml:space="preserve">The theoretical foundation rests on the Cachin (1998) definition, which quantifies indistinguishability via relative entropy</w:t>
      </w:r>
      <w:r>
        <w:t xml:space="preserve"> </w:t>
      </w:r>
      <m:oMath>
        <m:r>
          <m:t>D</m:t>
        </m:r>
        <m:d>
          <m:dPr>
            <m:begChr m:val="("/>
            <m:endChr m:val=")"/>
            <m:sepChr m:val=""/>
            <m:grow/>
          </m:dPr>
          <m:e>
            <m:sSub>
              <m:e>
                <m:r>
                  <m:t>P</m:t>
                </m:r>
              </m:e>
              <m:sub>
                <m:r>
                  <m:t>c</m:t>
                </m:r>
              </m:sub>
            </m:sSub>
            <m:r>
              <m:t> </m:t>
            </m:r>
            <m:r>
              <m:rPr>
                <m:sty m:val="p"/>
              </m:rPr>
              <m:t>∥</m:t>
            </m:r>
            <m:r>
              <m:t> </m:t>
            </m:r>
            <m:sSub>
              <m:e>
                <m:r>
                  <m:t>P</m:t>
                </m:r>
              </m:e>
              <m:sub>
                <m:r>
                  <m:t>s</m:t>
                </m:r>
              </m:sub>
            </m:sSub>
          </m:e>
        </m:d>
        <m:r>
          <m:rPr>
            <m:sty m:val="p"/>
          </m:rPr>
          <m:t>=</m:t>
        </m:r>
        <m:nary>
          <m:naryPr>
            <m:chr m:val="∑"/>
            <m:limLoc m:val="undOvr"/>
            <m:subHide m:val="0"/>
            <m:supHide m:val="1"/>
          </m:naryPr>
          <m:sub>
            <m:r>
              <m:t>x</m:t>
            </m:r>
            <m:r>
              <m:rPr>
                <m:sty m:val="p"/>
              </m:rPr>
              <m:t>∈</m:t>
            </m:r>
            <m:r>
              <m:t>C</m:t>
            </m:r>
          </m:sub>
          <m:sup>
            <m:r>
              <m:t>​</m:t>
            </m:r>
          </m:sup>
          <m:e>
            <m:sSub>
              <m:e>
                <m:r>
                  <m:t>P</m:t>
                </m:r>
              </m:e>
              <m:sub>
                <m:r>
                  <m:t>c</m:t>
                </m:r>
              </m:sub>
            </m:sSub>
          </m:e>
        </m:nary>
        <m:d>
          <m:dPr>
            <m:begChr m:val="("/>
            <m:endChr m:val=")"/>
            <m:sepChr m:val=""/>
            <m:grow/>
          </m:dPr>
          <m:e>
            <m:r>
              <m:t>x</m:t>
            </m:r>
          </m:e>
        </m:d>
        <m:r>
          <m:rPr>
            <m:sty m:val="p"/>
          </m:rPr>
          <m:t>log</m:t>
        </m:r>
        <m:d>
          <m:dPr>
            <m:begChr m:val="("/>
            <m:endChr m:val=")"/>
            <m:sepChr m:val=""/>
            <m:grow/>
          </m:dPr>
          <m:e>
            <m:sSub>
              <m:e>
                <m:r>
                  <m:t>P</m:t>
                </m:r>
              </m:e>
              <m:sub>
                <m:r>
                  <m:t>c</m:t>
                </m:r>
              </m:sub>
            </m:sSub>
            <m:d>
              <m:dPr>
                <m:begChr m:val="("/>
                <m:endChr m:val=")"/>
                <m:sepChr m:val=""/>
                <m:grow/>
              </m:dPr>
              <m:e>
                <m:r>
                  <m:t>x</m:t>
                </m:r>
              </m:e>
            </m:d>
            <m:r>
              <m:rPr>
                <m:sty m:val="p"/>
              </m:rPr>
              <m:t>/</m:t>
            </m:r>
            <m:sSub>
              <m:e>
                <m:r>
                  <m:t>P</m:t>
                </m:r>
              </m:e>
              <m:sub>
                <m:r>
                  <m:t>s</m:t>
                </m:r>
              </m:sub>
            </m:sSub>
            <m:d>
              <m:dPr>
                <m:begChr m:val="("/>
                <m:endChr m:val=")"/>
                <m:sepChr m:val=""/>
                <m:grow/>
              </m:dPr>
              <m:e>
                <m:r>
                  <m:t>x</m:t>
                </m:r>
              </m:e>
            </m:d>
          </m:e>
        </m:d>
      </m:oMath>
      <w:r>
        <w:t xml:space="preserve"> </w:t>
      </w:r>
      <w:r>
        <w:rPr>
          <w:vertAlign w:val="superscript"/>
        </w:rPr>
        <w:footnoteReference w:id="80"/>
      </w:r>
      <w:r>
        <w:t xml:space="preserve">. When</w:t>
      </w:r>
      <w:r>
        <w:t xml:space="preserve"> </w:t>
      </w:r>
      <m:oMath>
        <m:r>
          <m:t>D</m:t>
        </m:r>
        <m:d>
          <m:dPr>
            <m:begChr m:val="("/>
            <m:endChr m:val=")"/>
            <m:sepChr m:val=""/>
            <m:grow/>
          </m:dPr>
          <m:e>
            <m:sSub>
              <m:e>
                <m:r>
                  <m:t>P</m:t>
                </m:r>
              </m:e>
              <m:sub>
                <m:r>
                  <m:t>c</m:t>
                </m:r>
              </m:sub>
            </m:sSub>
            <m:r>
              <m:t> </m:t>
            </m:r>
            <m:r>
              <m:rPr>
                <m:sty m:val="p"/>
              </m:rPr>
              <m:t>∥</m:t>
            </m:r>
            <m:r>
              <m:t> </m:t>
            </m:r>
            <m:sSub>
              <m:e>
                <m:r>
                  <m:t>P</m:t>
                </m:r>
              </m:e>
              <m:sub>
                <m:r>
                  <m:t>s</m:t>
                </m:r>
              </m:sub>
            </m:sSub>
          </m:e>
        </m:d>
        <m:r>
          <m:rPr>
            <m:sty m:val="p"/>
          </m:rPr>
          <m:t>=</m:t>
        </m:r>
        <m:r>
          <m:t>0</m:t>
        </m:r>
      </m:oMath>
      <w:r>
        <w:t xml:space="preserve">, the stegosystem is perfectly secure. SparSamp, at USENIX Security 2025</w:t>
      </w:r>
      <w:r>
        <w:t xml:space="preserve"> </w:t>
      </w:r>
      <w:r>
        <w:rPr>
          <w:vertAlign w:val="superscript"/>
        </w:rPr>
        <w:footnoteReference w:id="81"/>
      </w:r>
      <w:r>
        <w:t xml:space="preserve">, further refines this approach, establishing that</w:t>
      </w:r>
      <w:r>
        <w:t xml:space="preserve"> </w:t>
      </w:r>
      <w:r>
        <w:t xml:space="preserve">“</w:t>
      </w:r>
      <w:r>
        <w:t xml:space="preserve">the maximum expected number of bits that can be embedded in a token equals the sum of the information entropy of the probabilities</w:t>
      </w:r>
      <w:r>
        <w:t xml:space="preserve">”</w:t>
      </w:r>
      <w:r>
        <w:t xml:space="preserve"> </w:t>
      </w:r>
      <w:fldSimple w:instr="NOTEREF _Ref_Footnote_81 \h \f">
        <w:r>
          <w:rPr>
            <w:vertAlign w:val="superscript"/>
          </w:rPr>
          <w:t>81</w:t>
        </w:r>
      </w:fldSimple>
      <w:r>
        <w:t xml:space="preserve">. For CTF extraction, the Discop paradigm implies that the observed distribution after</w:t>
      </w:r>
      <w:r>
        <w:t xml:space="preserve"> </w:t>
      </w:r>
      <w:r>
        <w:rPr>
          <w:rStyle w:val="VerbatimChar"/>
        </w:rPr>
        <w:t xml:space="preserve">{</w:t>
      </w:r>
      <w:r>
        <w:t xml:space="preserve"> </w:t>
      </w:r>
      <w:r>
        <w:t xml:space="preserve">may encode the flag in its shape. Comparing against a baseline using Kolmogorov-Smirnov testing or KL divergence could reveal a payload.</w:t>
      </w:r>
    </w:p>
    <w:bookmarkEnd w:id="61"/>
    <w:bookmarkStart w:id="62" w:name="X9af9178637a64d7908a286c8a9adea6804dacde"/>
    <w:p>
      <w:pPr>
        <w:pStyle w:val="Heading4"/>
      </w:pPr>
      <w:r>
        <w:t xml:space="preserve">4.2.2 Probability-Ratio Encoding: P(f)/P(top) as Information Carrier</w:t>
      </w:r>
    </w:p>
    <w:p>
      <w:pPr>
        <w:pStyle w:val="FirstParagraph"/>
      </w:pPr>
      <w:r>
        <w:t xml:space="preserve">A more direct mechanism leverages the ratio between a specific token’s probability and the top-ranked token’s probability: if</w:t>
      </w:r>
      <w:r>
        <w:t xml:space="preserve"> </w:t>
      </w:r>
      <m:oMath>
        <m:r>
          <m:t>P</m:t>
        </m:r>
        <m:d>
          <m:dPr>
            <m:begChr m:val="("/>
            <m:endChr m:val=")"/>
            <m:sepChr m:val=""/>
            <m:grow/>
          </m:dPr>
          <m:e>
            <m:r>
              <m:t>f</m:t>
            </m:r>
          </m:e>
        </m:d>
        <m:r>
          <m:rPr>
            <m:sty m:val="p"/>
          </m:rPr>
          <m:t>/</m:t>
        </m:r>
        <m:r>
          <m:t>P</m:t>
        </m:r>
        <m:d>
          <m:dPr>
            <m:begChr m:val="("/>
            <m:endChr m:val=")"/>
            <m:sepChr m:val=""/>
            <m:grow/>
          </m:dPr>
          <m:e>
            <m:r>
              <m:rPr>
                <m:sty m:val="p"/>
              </m:rPr>
              <m:t>.</m:t>
            </m:r>
          </m:e>
        </m:d>
        <m:r>
          <m:rPr>
            <m:sty m:val="p"/>
          </m:rPr>
          <m:t>&gt;</m:t>
        </m:r>
        <m:r>
          <m:t>τ</m:t>
        </m:r>
      </m:oMath>
      <w:r>
        <w:t xml:space="preserve">, bit</w:t>
      </w:r>
      <w:r>
        <w:t xml:space="preserve"> </w:t>
      </w:r>
      <m:oMath>
        <m:r>
          <m:rPr>
            <m:sty m:val="p"/>
          </m:rPr>
          <m:t>=</m:t>
        </m:r>
        <m:r>
          <m:t>1</m:t>
        </m:r>
      </m:oMath>
      <w:r>
        <w:t xml:space="preserve">; otherwise, bit</w:t>
      </w:r>
      <w:r>
        <w:t xml:space="preserve"> </w:t>
      </w:r>
      <m:oMath>
        <m:r>
          <m:rPr>
            <m:sty m:val="p"/>
          </m:rPr>
          <m:t>=</m:t>
        </m:r>
        <m:r>
          <m:t>0</m:t>
        </m:r>
      </m:oMath>
      <w:r>
        <w:t xml:space="preserve">. Research on token probability encoding in output embeddings</w:t>
      </w:r>
      <w:r>
        <w:t xml:space="preserve"> </w:t>
      </w:r>
      <w:r>
        <w:rPr>
          <w:vertAlign w:val="superscript"/>
        </w:rPr>
        <w:footnoteReference w:id="82"/>
      </w:r>
      <w:r>
        <w:t xml:space="preserve">provides empirical support, establishing a log-linear relationship with adjusted</w:t>
      </w:r>
      <w:r>
        <w:t xml:space="preserve"> </w:t>
      </w:r>
      <m:oMath>
        <m:sSup>
          <m:e>
            <m:r>
              <m:t>R</m:t>
            </m:r>
          </m:e>
          <m:sup>
            <m:r>
              <m:t>2</m:t>
            </m:r>
          </m:sup>
        </m:sSup>
      </m:oMath>
      <w:r>
        <w:t xml:space="preserve"> </w:t>
      </w:r>
      <w:r>
        <w:t xml:space="preserve">values of 0.892 (GPT-2), 0.856 (Pythia), and 0.882 (GPT-J). These strong correlations confirm that</w:t>
      </w:r>
      <w:r>
        <w:t xml:space="preserve"> </w:t>
      </w:r>
      <w:r>
        <w:t xml:space="preserve">“</w:t>
      </w:r>
      <w:r>
        <w:t xml:space="preserve">only the top principal components and a few dimensions in the output embedding are highly correlated to the output token probabilities</w:t>
      </w:r>
      <w:r>
        <w:t xml:space="preserve">”</w:t>
      </w:r>
      <w:r>
        <w:t xml:space="preserve"> </w:t>
      </w:r>
      <w:fldSimple w:instr="NOTEREF _Ref_Footnote_82 \h \f">
        <w:r>
          <w:rPr>
            <w:vertAlign w:val="superscript"/>
          </w:rPr>
          <w:t>82</w:t>
        </w:r>
      </w:fldSimple>
      <w:r>
        <w:t xml:space="preserve">—meaning targeted manipulation of embedding directions can reliably control specific token probabilities.</w:t>
      </w:r>
    </w:p>
    <w:p>
      <w:pPr>
        <w:pStyle w:val="BodyText"/>
      </w:pPr>
      <w:r>
        <w:t xml:space="preserve">In Ode Triunfal,</w:t>
      </w:r>
      <w:r>
        <w:t xml:space="preserve"> </w:t>
      </w:r>
      <m:oMath>
        <m:r>
          <m:t>P</m:t>
        </m:r>
        <m:d>
          <m:dPr>
            <m:begChr m:val="("/>
            <m:endChr m:val=")"/>
            <m:sepChr m:val=""/>
            <m:grow/>
          </m:dPr>
          <m:e>
            <m:r>
              <m:t>f</m:t>
            </m:r>
          </m:e>
        </m:d>
      </m:oMath>
      <w:r>
        <w:t xml:space="preserve"> </w:t>
      </w:r>
      <w:r>
        <w:t xml:space="preserve">at ~20% and</w:t>
      </w:r>
      <w:r>
        <w:t xml:space="preserve"> </w:t>
      </w:r>
      <m:oMath>
        <m:r>
          <m:t>P</m:t>
        </m:r>
        <m:d>
          <m:dPr>
            <m:begChr m:val="("/>
            <m:endChr m:val=")"/>
            <m:sepChr m:val=""/>
            <m:grow/>
          </m:dPr>
          <m:e>
            <m:r>
              <m:rPr>
                <m:sty m:val="p"/>
              </m:rPr>
              <m:t>.</m:t>
            </m:r>
          </m:e>
        </m:d>
      </m:oMath>
      <w:r>
        <w:t xml:space="preserve"> </w:t>
      </w:r>
      <w:r>
        <w:t xml:space="preserve">at ~49% yields a ratio of approximately 0.41. If this ratio is modulated across positions, systematic measurement would reveal a binary sequence. The challenge becomes disambiguating deliberate encoding from natural variation due to context evolution.</w:t>
      </w:r>
    </w:p>
    <w:bookmarkEnd w:id="62"/>
    <w:bookmarkStart w:id="63" w:name="cross-layer-rank-progression"/>
    <w:p>
      <w:pPr>
        <w:pStyle w:val="Heading4"/>
      </w:pPr>
      <w:r>
        <w:t xml:space="preserve">4.2.3 Cross-Layer Rank Progression</w:t>
      </w:r>
    </w:p>
    <w:p>
      <w:pPr>
        <w:pStyle w:val="FirstParagraph"/>
      </w:pPr>
      <w:r>
        <w:t xml:space="preserve">The logit lens</w:t>
      </w:r>
      <w:r>
        <w:t xml:space="preserve"> </w:t>
      </w:r>
      <w:r>
        <w:rPr>
          <w:vertAlign w:val="superscript"/>
        </w:rPr>
        <w:footnoteReference w:id="83"/>
      </w:r>
      <w:r>
        <w:t xml:space="preserve">projects intermediate hidden states</w:t>
      </w:r>
      <w:r>
        <w:t xml:space="preserve"> </w:t>
      </w:r>
      <m:oMath>
        <m:sSup>
          <m:e>
            <m:r>
              <m:t>h</m:t>
            </m:r>
          </m:e>
          <m:sup>
            <m:d>
              <m:dPr>
                <m:begChr m:val="("/>
                <m:endChr m:val=")"/>
                <m:sepChr m:val=""/>
                <m:grow/>
              </m:dPr>
              <m:e>
                <m:r>
                  <m:t>l</m:t>
                </m:r>
              </m:e>
            </m:d>
          </m:sup>
        </m:sSup>
      </m:oMath>
      <w:r>
        <w:t xml:space="preserve"> </w:t>
      </w:r>
      <w:r>
        <w:t xml:space="preserve">at layer</w:t>
      </w:r>
      <w:r>
        <w:t xml:space="preserve"> </w:t>
      </w:r>
      <m:oMath>
        <m:r>
          <m:t>l</m:t>
        </m:r>
      </m:oMath>
      <w:r>
        <w:t xml:space="preserve"> </w:t>
      </w:r>
      <w:r>
        <w:t xml:space="preserve">through the unembedding matrix:</w:t>
      </w:r>
      <w:r>
        <w:t xml:space="preserve"> </w:t>
      </w:r>
      <m:oMath>
        <m:sSup>
          <m:e>
            <m:r>
              <m:rPr>
                <m:nor/>
                <m:sty m:val="p"/>
              </m:rPr>
              <m:t>LogitLens</m:t>
            </m:r>
          </m:e>
          <m:sup>
            <m:d>
              <m:dPr>
                <m:begChr m:val="("/>
                <m:endChr m:val=")"/>
                <m:sepChr m:val=""/>
                <m:grow/>
              </m:dPr>
              <m:e>
                <m:r>
                  <m:t>l</m:t>
                </m:r>
              </m:e>
            </m:d>
          </m:sup>
        </m:sSup>
        <m:d>
          <m:dPr>
            <m:begChr m:val="("/>
            <m:endChr m:val=")"/>
            <m:sepChr m:val=""/>
            <m:grow/>
          </m:dPr>
          <m:e>
            <m:sSup>
              <m:e>
                <m:r>
                  <m:t>h</m:t>
                </m:r>
              </m:e>
              <m:sup>
                <m:d>
                  <m:dPr>
                    <m:begChr m:val="("/>
                    <m:endChr m:val=")"/>
                    <m:sepChr m:val=""/>
                    <m:grow/>
                  </m:dPr>
                  <m:e>
                    <m:r>
                      <m:t>l</m:t>
                    </m:r>
                  </m:e>
                </m:d>
              </m:sup>
            </m:sSup>
          </m:e>
        </m:d>
        <m:r>
          <m:rPr>
            <m:sty m:val="p"/>
          </m:rPr>
          <m:t>=</m:t>
        </m:r>
        <m:sSub>
          <m:e>
            <m:r>
              <m:t>W</m:t>
            </m:r>
          </m:e>
          <m:sub>
            <m:r>
              <m:t>U</m:t>
            </m:r>
          </m:sub>
        </m:sSub>
        <m:r>
          <m:rPr>
            <m:sty m:val="p"/>
          </m:rPr>
          <m:t>⋅</m:t>
        </m:r>
        <m:r>
          <m:rPr>
            <m:nor/>
            <m:sty m:val="p"/>
          </m:rPr>
          <m:t>LayerNorm</m:t>
        </m:r>
        <m:d>
          <m:dPr>
            <m:begChr m:val="("/>
            <m:endChr m:val=")"/>
            <m:sepChr m:val=""/>
            <m:grow/>
          </m:dPr>
          <m:e>
            <m:sSup>
              <m:e>
                <m:r>
                  <m:t>h</m:t>
                </m:r>
              </m:e>
              <m:sup>
                <m:d>
                  <m:dPr>
                    <m:begChr m:val="("/>
                    <m:endChr m:val=")"/>
                    <m:sepChr m:val=""/>
                    <m:grow/>
                  </m:dPr>
                  <m:e>
                    <m:r>
                      <m:t>l</m:t>
                    </m:r>
                  </m:e>
                </m:d>
              </m:sup>
            </m:sSup>
          </m:e>
        </m:d>
      </m:oMath>
      <w:r>
        <w:t xml:space="preserve">, producing a vocabulary distribution at every layer. Visualizations</w:t>
      </w:r>
      <w:r>
        <w:t xml:space="preserve"> </w:t>
      </w:r>
      <w:r>
        <w:rPr>
          <w:vertAlign w:val="superscript"/>
        </w:rPr>
        <w:footnoteReference w:id="84"/>
      </w:r>
      <w:r>
        <w:t xml:space="preserve">show rankings crystallize predictably: a token ranked 31st at the embedding layer may climb to 7th in layer 2 and achieve top ranking later. Anomalies at specific layers—such as the</w:t>
      </w:r>
      <w:r>
        <w:t xml:space="preserve"> </w:t>
      </w:r>
      <w:r>
        <w:rPr>
          <w:rStyle w:val="VerbatimChar"/>
        </w:rPr>
        <w:t xml:space="preserve">*</w:t>
      </w:r>
      <w:r>
        <w:t xml:space="preserve"> </w:t>
      </w:r>
      <w:r>
        <w:t xml:space="preserve">token at 12.5% in layer 4 logits—may encode information that later layers suppress</w:t>
      </w:r>
      <w:r>
        <w:t xml:space="preserve"> </w:t>
      </w:r>
      <w:fldSimple w:instr="NOTEREF _Ref_Footnote_83 \h \f">
        <w:r>
          <w:rPr>
            <w:vertAlign w:val="superscript"/>
          </w:rPr>
          <w:t>83</w:t>
        </w:r>
      </w:fldSimple>
      <w:r>
        <w:t xml:space="preserve"> </w:t>
      </w:r>
      <w:fldSimple w:instr="NOTEREF _Ref_Footnote_84 \h \f">
        <w:r>
          <w:rPr>
            <w:vertAlign w:val="superscript"/>
          </w:rPr>
          <w:t>84</w:t>
        </w:r>
      </w:fldSimple>
      <w:r>
        <w:t xml:space="preserve">.</w:t>
      </w:r>
    </w:p>
    <w:p>
      <w:pPr>
        <w:pStyle w:val="BodyText"/>
      </w:pPr>
      <w:r>
        <w:t xml:space="preserve">With residual connections, the final hidden state is</w:t>
      </w:r>
      <w:r>
        <w:t xml:space="preserve"> </w:t>
      </w:r>
      <m:oMath>
        <m:sSup>
          <m:e>
            <m:r>
              <m:t>h</m:t>
            </m:r>
          </m:e>
          <m:sup>
            <m:d>
              <m:dPr>
                <m:begChr m:val="("/>
                <m:endChr m:val=")"/>
                <m:sepChr m:val=""/>
                <m:grow/>
              </m:dPr>
              <m:e>
                <m:r>
                  <m:t>l</m:t>
                </m:r>
              </m:e>
            </m:d>
          </m:sup>
        </m:sSup>
        <m:r>
          <m:rPr>
            <m:sty m:val="p"/>
          </m:rPr>
          <m:t>=</m:t>
        </m:r>
        <m:sSup>
          <m:e>
            <m:r>
              <m:t>h</m:t>
            </m:r>
          </m:e>
          <m:sup>
            <m:d>
              <m:dPr>
                <m:begChr m:val="("/>
                <m:endChr m:val=")"/>
                <m:sepChr m:val=""/>
                <m:grow/>
              </m:dPr>
              <m:e>
                <m:r>
                  <m:t>l</m:t>
                </m:r>
                <m:r>
                  <m:rPr>
                    <m:sty m:val="p"/>
                  </m:rPr>
                  <m:t>−</m:t>
                </m:r>
                <m:r>
                  <m:t>1</m:t>
                </m:r>
              </m:e>
            </m:d>
          </m:sup>
        </m:sSup>
        <m:r>
          <m:rPr>
            <m:sty m:val="p"/>
          </m:rPr>
          <m:t>+</m:t>
        </m:r>
        <m:sSubSup>
          <m:e>
            <m:r>
              <m:t>Δ</m:t>
            </m:r>
          </m:e>
          <m:sub>
            <m:r>
              <m:rPr>
                <m:nor/>
                <m:sty m:val="p"/>
              </m:rPr>
              <m:t>attn</m:t>
            </m:r>
          </m:sub>
          <m:sup>
            <m:d>
              <m:dPr>
                <m:begChr m:val="("/>
                <m:endChr m:val=")"/>
                <m:sepChr m:val=""/>
                <m:grow/>
              </m:dPr>
              <m:e>
                <m:r>
                  <m:t>l</m:t>
                </m:r>
              </m:e>
            </m:d>
          </m:sup>
        </m:sSubSup>
        <m:r>
          <m:rPr>
            <m:sty m:val="p"/>
          </m:rPr>
          <m:t>+</m:t>
        </m:r>
        <m:sSubSup>
          <m:e>
            <m:r>
              <m:t>Δ</m:t>
            </m:r>
          </m:e>
          <m:sub>
            <m:r>
              <m:rPr>
                <m:nor/>
                <m:sty m:val="p"/>
              </m:rPr>
              <m:t>ffn</m:t>
            </m:r>
          </m:sub>
          <m:sup>
            <m:d>
              <m:dPr>
                <m:begChr m:val="("/>
                <m:endChr m:val=")"/>
                <m:sepChr m:val=""/>
                <m:grow/>
              </m:dPr>
              <m:e>
                <m:r>
                  <m:t>l</m:t>
                </m:r>
              </m:e>
            </m:d>
          </m:sup>
        </m:sSubSup>
      </m:oMath>
      <w:r>
        <w:t xml:space="preserve">, so early-layer information persists but can be overridden by later suppressive signals. The observation that negating MLP6 raises</w:t>
      </w:r>
      <w:r>
        <w:t xml:space="preserve"> </w:t>
      </w:r>
      <m:oMath>
        <m:r>
          <m:t>P</m:t>
        </m:r>
        <m:d>
          <m:dPr>
            <m:begChr m:val="("/>
            <m:endChr m:val=")"/>
            <m:sepChr m:val=""/>
            <m:grow/>
          </m:dPr>
          <m:e>
            <m:r>
              <m:t>f</m:t>
            </m:r>
          </m:e>
        </m:d>
      </m:oMath>
      <w:r>
        <w:t xml:space="preserve"> </w:t>
      </w:r>
      <w:r>
        <w:t xml:space="preserve">from 0.20 to 0.507</w:t>
      </w:r>
      <w:r>
        <w:t xml:space="preserve"> </w:t>
      </w:r>
      <w:r>
        <w:rPr>
          <w:vertAlign w:val="superscript"/>
        </w:rPr>
        <w:footnoteReference w:id="85"/>
      </w:r>
      <w:r>
        <w:t xml:space="preserve">suggests MLP layers 6–8 function as a suppression stage. Tracking the rank of</w:t>
      </w:r>
      <w:r>
        <w:t xml:space="preserve"> </w:t>
      </w:r>
      <w:r>
        <w:rPr>
          <w:rStyle w:val="VerbatimChar"/>
        </w:rPr>
        <w:t xml:space="preserve">f</w:t>
      </w:r>
      <w:r>
        <w:t xml:space="preserve"> </w:t>
      </w:r>
      <w:r>
        <w:t xml:space="preserve">from layer 0 through layer 9 could reveal where suppression engages and whether pre-suppression rankings encode readable information.</w:t>
      </w:r>
    </w:p>
    <w:bookmarkEnd w:id="63"/>
    <w:bookmarkEnd w:id="64"/>
    <w:bookmarkStart w:id="68" w:name="the-dual-channel-hypothesis"/>
    <w:p>
      <w:pPr>
        <w:pStyle w:val="Heading3"/>
      </w:pPr>
      <w:r>
        <w:t xml:space="preserve">4.3 The Dual-Channel Hypothesis</w:t>
      </w:r>
    </w:p>
    <w:p>
      <w:pPr>
        <w:pStyle w:val="FirstParagraph"/>
      </w:pPr>
      <w:r>
        <w:t xml:space="preserve">The convergence of evidence from rank-token mapping, distribution-shape encoding, and suppression-circuit analysis supports the</w:t>
      </w:r>
      <w:r>
        <w:t xml:space="preserve"> </w:t>
      </w:r>
      <w:r>
        <w:t xml:space="preserve">“</w:t>
      </w:r>
      <w:r>
        <w:t xml:space="preserve">Dual-Channel Hypothesis</w:t>
      </w:r>
      <w:r>
        <w:t xml:space="preserve">”</w:t>
      </w:r>
      <w:r>
        <w:t xml:space="preserve"> </w:t>
      </w:r>
      <w:fldSimple w:instr="NOTEREF _Ref_Footnote_8 \h \f">
        <w:r>
          <w:rPr>
            <w:vertAlign w:val="superscript"/>
          </w:rPr>
          <w:t>8</w:t>
        </w:r>
      </w:fldSimple>
      <w:r>
        <w:t xml:space="preserve">: the model may implement a system where the argmax sample always produces Portuguese text while the probability distribution shape encodes the flag.</w:t>
      </w:r>
    </w:p>
    <w:bookmarkStart w:id="65" w:name="X72d4663575f6e5f2b97a9feb1edae5459282733"/>
    <w:p>
      <w:pPr>
        <w:pStyle w:val="Heading4"/>
      </w:pPr>
      <w:r>
        <w:t xml:space="preserve">4.3.1 Evidence: f Token at 20–50% Probability but Never Selected</w:t>
      </w:r>
    </w:p>
    <w:p>
      <w:pPr>
        <w:pStyle w:val="FirstParagraph"/>
      </w:pPr>
      <w:r>
        <w:t xml:space="preserve">The empirical signature is the persistent gap between probability and selection. A token at 20–50% probability should be selected frequently under any non-degenerate sampling strategy. The fact that</w:t>
      </w:r>
      <w:r>
        <w:t xml:space="preserve"> </w:t>
      </w:r>
      <w:r>
        <w:rPr>
          <w:rStyle w:val="VerbatimChar"/>
        </w:rPr>
        <w:t xml:space="preserve">f</w:t>
      </w:r>
      <w:r>
        <w:t xml:space="preserve"> </w:t>
      </w:r>
      <w:r>
        <w:t xml:space="preserve">reaches 50% under MLP6 ablation yet greedy decoding still produces Portuguese indicates the distribution is deliberately shaped to maintain</w:t>
      </w:r>
      <w:r>
        <w:t xml:space="preserve"> </w:t>
      </w:r>
      <w:r>
        <w:rPr>
          <w:rStyle w:val="VerbatimChar"/>
        </w:rPr>
        <w:t xml:space="preserve">f</w:t>
      </w:r>
      <w:r>
        <w:t xml:space="preserve"> </w:t>
      </w:r>
      <w:r>
        <w:t xml:space="preserve">at a high but non-winning rank—precisely what RTMStega’s entropy-gated encoding produces</w:t>
      </w:r>
      <w:r>
        <w:t xml:space="preserve"> </w:t>
      </w:r>
      <w:fldSimple w:instr="NOTEREF _Ref_Footnote_7 \h \f">
        <w:r>
          <w:rPr>
            <w:vertAlign w:val="superscript"/>
          </w:rPr>
          <w:t>7</w:t>
        </w:r>
      </w:fldSimple>
      <w:r>
        <w:t xml:space="preserve"> </w:t>
      </w:r>
      <w:fldSimple w:instr="NOTEREF _Ref_Footnote_74 \h \f">
        <w:r>
          <w:rPr>
            <w:vertAlign w:val="superscript"/>
          </w:rPr>
          <w:t>74</w:t>
        </w:r>
      </w:fldSimple>
      <w:r>
        <w:t xml:space="preserve">.</w:t>
      </w:r>
    </w:p>
    <w:p>
      <w:pPr>
        <w:pStyle w:val="BodyText"/>
      </w:pPr>
      <w:r>
        <w:t xml:space="preserve">The Kirchenbauer watermark</w:t>
      </w:r>
      <w:r>
        <w:t xml:space="preserve"> </w:t>
      </w:r>
      <w:fldSimple w:instr="NOTEREF _Ref_Footnote_20 \h \f">
        <w:r>
          <w:rPr>
            <w:vertAlign w:val="superscript"/>
          </w:rPr>
          <w:t>20</w:t>
        </w:r>
      </w:fldSimple>
      <w:r>
        <w:t xml:space="preserve"> </w:t>
      </w:r>
      <w:r>
        <w:rPr>
          <w:vertAlign w:val="superscript"/>
        </w:rPr>
        <w:footnoteReference w:id="86"/>
      </w:r>
      <w:r>
        <w:t xml:space="preserve">demonstrates a related mechanism: adding</w:t>
      </w:r>
      <w:r>
        <w:t xml:space="preserve"> </w:t>
      </w:r>
      <m:oMath>
        <m:r>
          <m:t>δ</m:t>
        </m:r>
      </m:oMath>
      <w:r>
        <w:t xml:space="preserve"> </w:t>
      </w:r>
      <w:r>
        <w:t xml:space="preserve">to green-list logits biases the distribution toward specific tokens without altering the shape when one token dominates. The authors observe that</w:t>
      </w:r>
      <w:r>
        <w:t xml:space="preserve"> </w:t>
      </w:r>
      <w:r>
        <w:t xml:space="preserve">“</w:t>
      </w:r>
      <w:r>
        <w:t xml:space="preserve">when the entropy is high, there are many comparably large logits to choose from, and the delta rule has a large impact</w:t>
      </w:r>
      <w:r>
        <w:t xml:space="preserve">”</w:t>
      </w:r>
      <w:r>
        <w:t xml:space="preserve"> </w:t>
      </w:r>
      <w:fldSimple w:instr="NOTEREF _Ref_Footnote_20 \h \f">
        <w:r>
          <w:rPr>
            <w:vertAlign w:val="superscript"/>
          </w:rPr>
          <w:t>20</w:t>
        </w:r>
      </w:fldSimple>
      <w:r>
        <w:t xml:space="preserve">. The distribution after</w:t>
      </w:r>
      <w:r>
        <w:t xml:space="preserve"> </w:t>
      </w:r>
      <w:r>
        <w:rPr>
          <w:rStyle w:val="VerbatimChar"/>
        </w:rPr>
        <w:t xml:space="preserve">{</w:t>
      </w:r>
      <w:r>
        <w:t xml:space="preserve"> </w:t>
      </w:r>
      <w:r>
        <w:t xml:space="preserve">exhibits this high-entropy regime, making it ideal for subtle probability manipulation.</w:t>
      </w:r>
    </w:p>
    <w:bookmarkEnd w:id="65"/>
    <w:bookmarkStart w:id="66" w:name="temperature-sweep-analysis"/>
    <w:p>
      <w:pPr>
        <w:pStyle w:val="Heading4"/>
      </w:pPr>
      <w:r>
        <w:t xml:space="preserve">4.3.2 Temperature Sweep Analysis</w:t>
      </w:r>
    </w:p>
    <w:p>
      <w:pPr>
        <w:pStyle w:val="FirstParagraph"/>
      </w:pPr>
      <w:r>
        <w:t xml:space="preserve">Temperature modifies effective entropy without changing model internals:</w:t>
      </w:r>
      <w:r>
        <w:t xml:space="preserve"> </w:t>
      </w:r>
      <m:oMath>
        <m:r>
          <m:rPr>
            <m:nor/>
            <m:sty m:val="p"/>
          </m:rPr>
          <m:t>softmax</m:t>
        </m:r>
        <m:d>
          <m:dPr>
            <m:begChr m:val="("/>
            <m:endChr m:val=")"/>
            <m:sepChr m:val=""/>
            <m:grow/>
          </m:dPr>
          <m:e>
            <m:sSub>
              <m:e>
                <m:r>
                  <m:t>x</m:t>
                </m:r>
              </m:e>
              <m:sub>
                <m:r>
                  <m:t>i</m:t>
                </m:r>
              </m:sub>
            </m:sSub>
            <m:r>
              <m:rPr>
                <m:sty m:val="p"/>
              </m:rPr>
              <m:t>,</m:t>
            </m:r>
            <m:r>
              <m:t>T</m:t>
            </m:r>
          </m:e>
        </m:d>
        <m:r>
          <m:rPr>
            <m:sty m:val="p"/>
          </m:rPr>
          <m:t>=</m:t>
        </m:r>
        <m:r>
          <m:rPr>
            <m:sty m:val="p"/>
          </m:rPr>
          <m:t>exp</m:t>
        </m:r>
        <m:d>
          <m:dPr>
            <m:begChr m:val="("/>
            <m:endChr m:val=")"/>
            <m:sepChr m:val=""/>
            <m:grow/>
          </m:dPr>
          <m:e>
            <m:sSub>
              <m:e>
                <m:r>
                  <m:t>x</m:t>
                </m:r>
              </m:e>
              <m:sub>
                <m:r>
                  <m:t>i</m:t>
                </m:r>
              </m:sub>
            </m:sSub>
            <m:r>
              <m:rPr>
                <m:sty m:val="p"/>
              </m:rPr>
              <m:t>/</m:t>
            </m:r>
            <m:r>
              <m:t>T</m:t>
            </m:r>
          </m:e>
        </m:d>
        <m:r>
          <m:rPr>
            <m:sty m:val="p"/>
          </m:rPr>
          <m:t>/</m:t>
        </m:r>
        <m:nary>
          <m:naryPr>
            <m:chr m:val="∑"/>
            <m:limLoc m:val="undOvr"/>
            <m:subHide m:val="0"/>
            <m:supHide m:val="1"/>
          </m:naryPr>
          <m:sub>
            <m:r>
              <m:t>j</m:t>
            </m:r>
          </m:sub>
          <m:sup>
            <m:r>
              <m:t>​</m:t>
            </m:r>
          </m:sup>
          <m:e>
            <m:r>
              <m:rPr>
                <m:sty m:val="p"/>
              </m:rPr>
              <m:t>exp</m:t>
            </m:r>
          </m:e>
        </m:nary>
        <m:d>
          <m:dPr>
            <m:begChr m:val="("/>
            <m:endChr m:val=")"/>
            <m:sepChr m:val=""/>
            <m:grow/>
          </m:dPr>
          <m:e>
            <m:sSub>
              <m:e>
                <m:r>
                  <m:t>x</m:t>
                </m:r>
              </m:e>
              <m:sub>
                <m:r>
                  <m:t>j</m:t>
                </m:r>
              </m:sub>
            </m:sSub>
            <m:r>
              <m:rPr>
                <m:sty m:val="p"/>
              </m:rPr>
              <m:t>/</m:t>
            </m:r>
            <m:r>
              <m:t>T</m:t>
            </m:r>
          </m:e>
        </m:d>
      </m:oMath>
      <w:r>
        <w:t xml:space="preserve">. RTMStega deliberately uses</w:t>
      </w:r>
      <w:r>
        <w:t xml:space="preserve"> </w:t>
      </w:r>
      <m:oMath>
        <m:r>
          <m:t>τ</m:t>
        </m:r>
        <m:r>
          <m:rPr>
            <m:sty m:val="p"/>
          </m:rPr>
          <m:t>=</m:t>
        </m:r>
        <m:r>
          <m:t>0.7</m:t>
        </m:r>
      </m:oMath>
      <w:r>
        <w:t xml:space="preserve"> </w:t>
      </w:r>
      <w:r>
        <w:t xml:space="preserve">with top-</w:t>
      </w:r>
      <m:oMath>
        <m:r>
          <m:t>p</m:t>
        </m:r>
      </m:oMath>
      <w:r>
        <w:t xml:space="preserve"> </w:t>
      </w:r>
      <w:r>
        <w:t xml:space="preserve">and top-</w:t>
      </w:r>
      <m:oMath>
        <m:r>
          <m:t>k</m:t>
        </m:r>
      </m:oMath>
      <w:r>
        <w:t xml:space="preserve"> </w:t>
      </w:r>
      <w:r>
        <w:t xml:space="preserve">disabled to maintain high entropy for maximum embedding capacity</w:t>
      </w:r>
      <w:r>
        <w:t xml:space="preserve"> </w:t>
      </w:r>
      <w:fldSimple w:instr="NOTEREF _Ref_Footnote_7 \h \f">
        <w:r>
          <w:rPr>
            <w:vertAlign w:val="superscript"/>
          </w:rPr>
          <w:t>7</w:t>
        </w:r>
      </w:fldSimple>
      <w:r>
        <w:t xml:space="preserve">. Signal Watermark research shows temperature changes</w:t>
      </w:r>
      <w:r>
        <w:t xml:space="preserve"> </w:t>
      </w:r>
      <w:r>
        <w:t xml:space="preserve">“</w:t>
      </w:r>
      <w:r>
        <w:t xml:space="preserve">perturb but don’t eliminate</w:t>
      </w:r>
      <w:r>
        <w:t xml:space="preserve">”</w:t>
      </w:r>
      <w:r>
        <w:t xml:space="preserve"> </w:t>
      </w:r>
      <w:r>
        <w:t xml:space="preserve">embedded patterns</w:t>
      </w:r>
      <w:r>
        <w:t xml:space="preserve"> </w:t>
      </w:r>
      <w:fldSimple w:instr="NOTEREF _Ref_Footnote_8 \h \f">
        <w:r>
          <w:rPr>
            <w:vertAlign w:val="superscript"/>
          </w:rPr>
          <w:t>8</w:t>
        </w:r>
      </w:fldSimple>
      <w:r>
        <w:t xml:space="preserve"> </w:t>
      </w:r>
      <w:r>
        <w:rPr>
          <w:vertAlign w:val="superscript"/>
        </w:rPr>
        <w:footnoteReference w:id="87"/>
      </w:r>
      <w:r>
        <w:t xml:space="preserve">. By varying</w:t>
      </w:r>
      <w:r>
        <w:t xml:space="preserve"> </w:t>
      </w:r>
      <m:oMath>
        <m:r>
          <m:t>T</m:t>
        </m:r>
      </m:oMath>
      <w:r>
        <w:t xml:space="preserve"> </w:t>
      </w:r>
      <w:r>
        <w:t xml:space="preserve">and tracking how</w:t>
      </w:r>
      <w:r>
        <w:t xml:space="preserve"> </w:t>
      </w:r>
      <m:oMath>
        <m:r>
          <m:t>P</m:t>
        </m:r>
        <m:d>
          <m:dPr>
            <m:begChr m:val="("/>
            <m:endChr m:val=")"/>
            <m:sepChr m:val=""/>
            <m:grow/>
          </m:dPr>
          <m:e>
            <m:r>
              <m:t>f</m:t>
            </m:r>
          </m:e>
        </m:d>
        <m:r>
          <m:rPr>
            <m:sty m:val="p"/>
          </m:rPr>
          <m:t>/</m:t>
        </m:r>
        <m:r>
          <m:t>P</m:t>
        </m:r>
        <m:d>
          <m:dPr>
            <m:begChr m:val="("/>
            <m:endChr m:val=")"/>
            <m:sepChr m:val=""/>
            <m:grow/>
          </m:dPr>
          <m:e>
            <m:r>
              <m:rPr>
                <m:sty m:val="p"/>
              </m:rPr>
              <m:t>.</m:t>
            </m:r>
          </m:e>
        </m:d>
      </m:oMath>
      <w:r>
        <w:t xml:space="preserve"> </w:t>
      </w:r>
      <w:r>
        <w:t xml:space="preserve">changes, one can test whether the ratio is a deliberate encoding (varying systematically with</w:t>
      </w:r>
      <w:r>
        <w:t xml:space="preserve"> </w:t>
      </w:r>
      <m:oMath>
        <m:r>
          <m:t>T</m:t>
        </m:r>
      </m:oMath>
      <w:r>
        <w:t xml:space="preserve">) or a natural property (varying differently). A temperature-invariant signal would strongly suggest deliberate encoding.</w:t>
      </w:r>
    </w:p>
    <w:bookmarkEnd w:id="66"/>
    <w:bookmarkStart w:id="67" w:name="decoding-strategies-to-test"/>
    <w:p>
      <w:pPr>
        <w:pStyle w:val="Heading4"/>
      </w:pPr>
      <w:r>
        <w:t xml:space="preserve">4.3.3 Decoding Strategies to Test</w:t>
      </w:r>
    </w:p>
    <w:p>
      <w:pPr>
        <w:pStyle w:val="FirstParagraph"/>
      </w:pPr>
      <w:r>
        <w:t xml:space="preserve">Extracting distribution-encoded flags requires strategies that access the full probability distribution rather than only the argmax. The following catalog organizes candidate strategies by parameter space, diagnostic value, and implementation cost.</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Decoding Strategy</w:t>
            </w:r>
          </w:p>
        </w:tc>
        <w:tc>
          <w:tcPr/>
          <w:p>
            <w:pPr>
              <w:pStyle w:val="Compact"/>
              <w:jc w:val="left"/>
            </w:pPr>
            <w:r>
              <w:t xml:space="preserve">Parameter Space</w:t>
            </w:r>
          </w:p>
        </w:tc>
        <w:tc>
          <w:tcPr/>
          <w:p>
            <w:pPr>
              <w:pStyle w:val="Compact"/>
              <w:jc w:val="left"/>
            </w:pPr>
            <w:r>
              <w:t xml:space="preserve">What It Reveals</w:t>
            </w:r>
          </w:p>
        </w:tc>
        <w:tc>
          <w:tcPr/>
          <w:p>
            <w:pPr>
              <w:pStyle w:val="Compact"/>
              <w:jc w:val="left"/>
            </w:pPr>
            <w:r>
              <w:t xml:space="preserve">Implementation Cost</w:t>
            </w:r>
          </w:p>
        </w:tc>
      </w:tr>
      <w:tr>
        <w:tc>
          <w:tcPr/>
          <w:p>
            <w:pPr>
              <w:pStyle w:val="Compact"/>
              <w:jc w:val="left"/>
            </w:pPr>
            <w:r>
              <w:t xml:space="preserve">Full distribution extraction (top-50+)</w:t>
            </w:r>
          </w:p>
        </w:tc>
        <w:tc>
          <w:tcPr/>
          <w:p>
            <w:pPr>
              <w:pStyle w:val="Compact"/>
              <w:jc w:val="left"/>
            </w:pPr>
            <w:r>
              <w:t xml:space="preserve">Sampling disabled; extract all logits</w:t>
            </w:r>
          </w:p>
        </w:tc>
        <w:tc>
          <w:tcPr/>
          <w:p>
            <w:pPr>
              <w:pStyle w:val="Compact"/>
              <w:jc w:val="left"/>
            </w:pPr>
            <w:r>
              <w:t xml:space="preserve">Complete rank sequence; enables ratio and entropy analysis</w:t>
            </w:r>
          </w:p>
        </w:tc>
        <w:tc>
          <w:tcPr/>
          <w:p>
            <w:pPr>
              <w:pStyle w:val="Compact"/>
              <w:jc w:val="left"/>
            </w:pPr>
            <w:r>
              <w:t xml:space="preserve">Low: single forward pass</w:t>
            </w:r>
          </w:p>
        </w:tc>
      </w:tr>
      <w:tr>
        <w:tc>
          <w:tcPr/>
          <w:p>
            <w:pPr>
              <w:pStyle w:val="Compact"/>
              <w:jc w:val="left"/>
            </w:pPr>
            <w:r>
              <w:t xml:space="preserve">Temperature sweep (</w:t>
            </w:r>
            <m:oMath>
              <m:r>
                <m:t>T</m:t>
              </m:r>
              <m:r>
                <m:rPr>
                  <m:sty m:val="p"/>
                </m:rPr>
                <m:t>∈</m:t>
              </m:r>
              <m:d>
                <m:dPr>
                  <m:begChr m:val="["/>
                  <m:endChr m:val="]"/>
                  <m:sepChr m:val=""/>
                  <m:grow/>
                </m:dPr>
                <m:e>
                  <m:r>
                    <m:t>0.3</m:t>
                  </m:r>
                  <m:r>
                    <m:rPr>
                      <m:sty m:val="p"/>
                    </m:rPr>
                    <m:t>,</m:t>
                  </m:r>
                  <m:r>
                    <m:t>2.0</m:t>
                  </m:r>
                </m:e>
              </m:d>
            </m:oMath>
            <w:r>
              <w:t xml:space="preserve">)</w:t>
            </w:r>
          </w:p>
        </w:tc>
        <w:tc>
          <w:tcPr/>
          <w:p>
            <w:pPr>
              <w:pStyle w:val="Compact"/>
              <w:jc w:val="left"/>
            </w:pPr>
            <w:r>
              <w:t xml:space="preserve">Temperature scalar</w:t>
            </w:r>
          </w:p>
        </w:tc>
        <w:tc>
          <w:tcPr/>
          <w:p>
            <w:pPr>
              <w:pStyle w:val="Compact"/>
              <w:jc w:val="left"/>
            </w:pPr>
            <w:r>
              <w:t xml:space="preserve">Temperature-invariant signals; how rank ratios scale with entropy</w:t>
            </w:r>
          </w:p>
        </w:tc>
        <w:tc>
          <w:tcPr/>
          <w:p>
            <w:pPr>
              <w:pStyle w:val="Compact"/>
              <w:jc w:val="left"/>
            </w:pPr>
            <w:r>
              <w:t xml:space="preserve">Low: repeated sampling</w:t>
            </w:r>
          </w:p>
        </w:tc>
      </w:tr>
      <w:tr>
        <w:tc>
          <w:tcPr/>
          <w:p>
            <w:pPr>
              <w:pStyle w:val="Compact"/>
              <w:jc w:val="left"/>
            </w:pPr>
            <w:r>
              <w:t xml:space="preserve">Top-</w:t>
            </w:r>
            <m:oMath>
              <m:r>
                <m:t>k</m:t>
              </m:r>
            </m:oMath>
            <w:r>
              <w:t xml:space="preserve"> </w:t>
            </w:r>
            <w:r>
              <w:t xml:space="preserve">restriction sweep (</w:t>
            </w:r>
            <m:oMath>
              <m:r>
                <m:t>k</m:t>
              </m:r>
              <m:r>
                <m:rPr>
                  <m:sty m:val="p"/>
                </m:rPr>
                <m:t>∈</m:t>
              </m:r>
              <m:d>
                <m:dPr>
                  <m:begChr m:val="["/>
                  <m:endChr m:val="]"/>
                  <m:sepChr m:val=""/>
                  <m:grow/>
                </m:dPr>
                <m:e>
                  <m:r>
                    <m:t>1</m:t>
                  </m:r>
                  <m:r>
                    <m:rPr>
                      <m:sty m:val="p"/>
                    </m:rPr>
                    <m:t>,</m:t>
                  </m:r>
                  <m:r>
                    <m:t>10</m:t>
                  </m:r>
                </m:e>
              </m:d>
            </m:oMath>
            <w:r>
              <w:t xml:space="preserve">)</w:t>
            </w:r>
          </w:p>
        </w:tc>
        <w:tc>
          <w:tcPr/>
          <w:p>
            <w:pPr>
              <w:pStyle w:val="Compact"/>
              <w:jc w:val="left"/>
            </w:pPr>
            <w:r>
              <w:t xml:space="preserve">Vary</w:t>
            </w:r>
            <w:r>
              <w:t xml:space="preserve"> </w:t>
            </w:r>
            <m:oMath>
              <m:r>
                <m:t>k</m:t>
              </m:r>
            </m:oMath>
            <w:r>
              <w:t xml:space="preserve">, observe</w:t>
            </w:r>
            <w:r>
              <w:t xml:space="preserve"> </w:t>
            </w:r>
            <m:oMath>
              <m:r>
                <m:t>P</m:t>
              </m:r>
              <m:d>
                <m:dPr>
                  <m:begChr m:val="("/>
                  <m:endChr m:val=")"/>
                  <m:sepChr m:val=""/>
                  <m:grow/>
                </m:dPr>
                <m:e>
                  <m:r>
                    <m:t>f</m:t>
                  </m:r>
                </m:e>
              </m:d>
            </m:oMath>
            <w:r>
              <w:t xml:space="preserve"> </w:t>
            </w:r>
            <w:r>
              <w:t xml:space="preserve">trajectory</w:t>
            </w:r>
          </w:p>
        </w:tc>
        <w:tc>
          <w:tcPr/>
          <w:p>
            <w:pPr>
              <w:pStyle w:val="Compact"/>
              <w:jc w:val="left"/>
            </w:pPr>
            <w:r>
              <w:t xml:space="preserve">Whether</w:t>
            </w:r>
            <w:r>
              <w:t xml:space="preserve"> </w:t>
            </w:r>
            <m:oMath>
              <m:r>
                <m:t>f</m:t>
              </m:r>
            </m:oMath>
            <w:r>
              <w:t xml:space="preserve"> </w:t>
            </w:r>
            <w:r>
              <w:t xml:space="preserve">enters candidate pool at specific thresholds</w:t>
            </w:r>
          </w:p>
        </w:tc>
        <w:tc>
          <w:tcPr/>
          <w:p>
            <w:pPr>
              <w:pStyle w:val="Compact"/>
              <w:jc w:val="left"/>
            </w:pPr>
            <w:r>
              <w:t xml:space="preserve">Low: repeated sampling</w:t>
            </w:r>
          </w:p>
        </w:tc>
      </w:tr>
      <w:tr>
        <w:tc>
          <w:tcPr/>
          <w:p>
            <w:pPr>
              <w:pStyle w:val="Compact"/>
              <w:jc w:val="left"/>
            </w:pPr>
            <w:r>
              <w:t xml:space="preserve">MLP ablation + distribution extraction</w:t>
            </w:r>
          </w:p>
        </w:tc>
        <w:tc>
          <w:tcPr/>
          <w:p>
            <w:pPr>
              <w:pStyle w:val="Compact"/>
              <w:jc w:val="left"/>
            </w:pPr>
            <w:r>
              <w:t xml:space="preserve">Ablate layers 5–8</w:t>
            </w:r>
          </w:p>
        </w:tc>
        <w:tc>
          <w:tcPr/>
          <w:p>
            <w:pPr>
              <w:pStyle w:val="Compact"/>
              <w:jc w:val="left"/>
            </w:pPr>
            <w:r>
              <w:t xml:space="preserve">Pre-suppression distribution shape; rank encoding visibility</w:t>
            </w:r>
          </w:p>
        </w:tc>
        <w:tc>
          <w:tcPr/>
          <w:p>
            <w:pPr>
              <w:pStyle w:val="Compact"/>
              <w:jc w:val="left"/>
            </w:pPr>
            <w:r>
              <w:t xml:space="preserve">Medium: requires model surgery</w:t>
            </w:r>
          </w:p>
        </w:tc>
      </w:tr>
      <w:tr>
        <w:tc>
          <w:tcPr/>
          <w:p>
            <w:pPr>
              <w:pStyle w:val="Compact"/>
              <w:jc w:val="left"/>
            </w:pPr>
            <w:r>
              <w:t xml:space="preserve">Logit lens per layer</w:t>
            </w:r>
          </w:p>
        </w:tc>
        <w:tc>
          <w:tcPr/>
          <w:p>
            <w:pPr>
              <w:pStyle w:val="Compact"/>
              <w:jc w:val="left"/>
            </w:pPr>
            <w:r>
              <w:t xml:space="preserve">Apply</w:t>
            </w:r>
            <w:r>
              <w:t xml:space="preserve"> </w:t>
            </w:r>
            <m:oMath>
              <m:sSub>
                <m:e>
                  <m:r>
                    <m:t>W</m:t>
                  </m:r>
                </m:e>
                <m:sub>
                  <m:r>
                    <m:t>U</m:t>
                  </m:r>
                </m:sub>
              </m:sSub>
              <m:r>
                <m:rPr>
                  <m:sty m:val="p"/>
                </m:rPr>
                <m:t>⋅</m:t>
              </m:r>
              <m:r>
                <m:rPr>
                  <m:nor/>
                  <m:sty m:val="p"/>
                </m:rPr>
                <m:t>LayerNorm</m:t>
              </m:r>
              <m:d>
                <m:dPr>
                  <m:begChr m:val="("/>
                  <m:endChr m:val=")"/>
                  <m:sepChr m:val=""/>
                  <m:grow/>
                </m:dPr>
                <m:e>
                  <m:sSup>
                    <m:e>
                      <m:r>
                        <m:t>h</m:t>
                      </m:r>
                    </m:e>
                    <m:sup>
                      <m:d>
                        <m:dPr>
                          <m:begChr m:val="("/>
                          <m:endChr m:val=")"/>
                          <m:sepChr m:val=""/>
                          <m:grow/>
                        </m:dPr>
                        <m:e>
                          <m:r>
                            <m:t>l</m:t>
                          </m:r>
                        </m:e>
                      </m:d>
                    </m:sup>
                  </m:sSup>
                </m:e>
              </m:d>
            </m:oMath>
            <w:r>
              <w:t xml:space="preserve"> </w:t>
            </w:r>
            <w:r>
              <w:t xml:space="preserve">at each</w:t>
            </w:r>
            <w:r>
              <w:t xml:space="preserve"> </w:t>
            </w:r>
            <m:oMath>
              <m:r>
                <m:t>l</m:t>
              </m:r>
            </m:oMath>
          </w:p>
        </w:tc>
        <w:tc>
          <w:tcPr/>
          <w:p>
            <w:pPr>
              <w:pStyle w:val="Compact"/>
              <w:jc w:val="left"/>
            </w:pPr>
            <w:r>
              <w:t xml:space="preserve">Cross-layer rank progression; where suppression engages</w:t>
            </w:r>
          </w:p>
        </w:tc>
        <w:tc>
          <w:tcPr/>
          <w:p>
            <w:pPr>
              <w:pStyle w:val="Compact"/>
              <w:jc w:val="left"/>
            </w:pPr>
            <w:r>
              <w:t xml:space="preserve">Medium: requires intermediate hidden states</w:t>
            </w:r>
          </w:p>
        </w:tc>
      </w:tr>
      <w:tr>
        <w:tc>
          <w:tcPr/>
          <w:p>
            <w:pPr>
              <w:pStyle w:val="Compact"/>
              <w:jc w:val="left"/>
            </w:pPr>
            <w:r>
              <w:t xml:space="preserve">Tuned lens decoding</w:t>
            </w:r>
          </w:p>
        </w:tc>
        <w:tc>
          <w:tcPr/>
          <w:p>
            <w:pPr>
              <w:pStyle w:val="Compact"/>
              <w:jc w:val="left"/>
            </w:pPr>
            <w:r>
              <w:t xml:space="preserve">Train per-layer affine translators</w:t>
            </w:r>
            <w:r>
              <w:t xml:space="preserve"> </w:t>
            </w:r>
            <w:fldSimple w:instr="NOTEREF _Ref_Footnote_85 \h \f">
              <w:r>
                <w:rPr>
                  <w:vertAlign w:val="superscript"/>
                </w:rPr>
                <w:t>85</w:t>
              </w:r>
            </w:fldSimple>
            <w:r>
              <w:t xml:space="preserve"> </w:t>
            </w:r>
            <w:r>
              <w:rPr>
                <w:vertAlign w:val="superscript"/>
              </w:rPr>
              <w:footnoteReference w:id="88"/>
            </w:r>
          </w:p>
        </w:tc>
        <w:tc>
          <w:tcPr/>
          <w:p>
            <w:pPr>
              <w:pStyle w:val="Compact"/>
              <w:jc w:val="left"/>
            </w:pPr>
            <w:r>
              <w:t xml:space="preserve">Reliable early-layer predictions where encoding may originate</w:t>
            </w:r>
          </w:p>
        </w:tc>
        <w:tc>
          <w:tcPr/>
          <w:p>
            <w:pPr>
              <w:pStyle w:val="Compact"/>
              <w:jc w:val="left"/>
            </w:pPr>
            <w:r>
              <w:t xml:space="preserve">High: requires training on corpus</w:t>
            </w:r>
          </w:p>
        </w:tc>
      </w:tr>
      <w:tr>
        <w:tc>
          <w:tcPr/>
          <w:p>
            <w:pPr>
              <w:pStyle w:val="Compact"/>
              <w:jc w:val="left"/>
            </w:pPr>
            <w:r>
              <w:t xml:space="preserve">FFT rank-sequence analysis</w:t>
            </w:r>
          </w:p>
        </w:tc>
        <w:tc>
          <w:tcPr/>
          <w:p>
            <w:pPr>
              <w:pStyle w:val="Compact"/>
              <w:jc w:val="left"/>
            </w:pPr>
            <w:r>
              <w:t xml:space="preserve">Rank sequences over</w:t>
            </w:r>
            <w:r>
              <w:t xml:space="preserve"> </w:t>
            </w:r>
            <m:oMath>
              <m:r>
                <m:rPr>
                  <m:sty m:val="p"/>
                </m:rPr>
                <m:t>≥</m:t>
              </m:r>
            </m:oMath>
            <w:r>
              <w:t xml:space="preserve"> </w:t>
            </w:r>
            <w:r>
              <w:t xml:space="preserve">100 positions</w:t>
            </w:r>
          </w:p>
        </w:tc>
        <w:tc>
          <w:tcPr/>
          <w:p>
            <w:pPr>
              <w:pStyle w:val="Compact"/>
              <w:jc w:val="left"/>
            </w:pPr>
            <w:r>
              <w:t xml:space="preserve">Periodic patterns indicative of Signal Watermark encoding</w:t>
            </w:r>
            <w:r>
              <w:t xml:space="preserve"> </w:t>
            </w:r>
            <w:fldSimple w:instr="NOTEREF _Ref_Footnote_8 \h \f">
              <w:r>
                <w:rPr>
                  <w:vertAlign w:val="superscript"/>
                </w:rPr>
                <w:t>8</w:t>
              </w:r>
            </w:fldSimple>
          </w:p>
        </w:tc>
        <w:tc>
          <w:tcPr/>
          <w:p>
            <w:pPr>
              <w:pStyle w:val="Compact"/>
              <w:jc w:val="left"/>
            </w:pPr>
            <w:r>
              <w:t xml:space="preserve">Low: post-processing only</w:t>
            </w:r>
          </w:p>
        </w:tc>
      </w:tr>
      <w:tr>
        <w:tc>
          <w:tcPr/>
          <w:p>
            <w:pPr>
              <w:pStyle w:val="Compact"/>
              <w:jc w:val="left"/>
            </w:pPr>
            <w:r>
              <w:t xml:space="preserve">KS test vs. baseline</w:t>
            </w:r>
          </w:p>
        </w:tc>
        <w:tc>
          <w:tcPr/>
          <w:p>
            <w:pPr>
              <w:pStyle w:val="Compact"/>
              <w:jc w:val="left"/>
            </w:pPr>
            <w:r>
              <w:t xml:space="preserve">Observed vs. neutral-prefix distribution</w:t>
            </w:r>
          </w:p>
        </w:tc>
        <w:tc>
          <w:tcPr/>
          <w:p>
            <w:pPr>
              <w:pStyle w:val="Compact"/>
              <w:jc w:val="left"/>
            </w:pPr>
            <w:r>
              <w:t xml:space="preserve">Whether distribution shape is statistically distinguishable</w:t>
            </w:r>
            <w:r>
              <w:t xml:space="preserve"> </w:t>
            </w:r>
            <w:r>
              <w:rPr>
                <w:vertAlign w:val="superscript"/>
              </w:rPr>
              <w:footnoteReference w:id="89"/>
            </w:r>
            <w:r>
              <w:t xml:space="preserve"> </w:t>
            </w:r>
            <w:r>
              <w:rPr>
                <w:vertAlign w:val="superscript"/>
              </w:rPr>
              <w:footnoteReference w:id="90"/>
            </w:r>
          </w:p>
        </w:tc>
        <w:tc>
          <w:tcPr/>
          <w:p>
            <w:pPr>
              <w:pStyle w:val="Compact"/>
              <w:jc w:val="left"/>
            </w:pPr>
            <w:r>
              <w:t xml:space="preserve">Low: non-parametric test</w:t>
            </w:r>
          </w:p>
        </w:tc>
      </w:tr>
      <w:tr>
        <w:tc>
          <w:tcPr/>
          <w:p>
            <w:pPr>
              <w:pStyle w:val="Compact"/>
              <w:jc w:val="left"/>
            </w:pPr>
            <w:r>
              <w:t xml:space="preserve">Entropy trajectory analysis</w:t>
            </w:r>
          </w:p>
        </w:tc>
        <w:tc>
          <w:tcPr/>
          <w:p>
            <w:pPr>
              <w:pStyle w:val="Compact"/>
              <w:jc w:val="left"/>
            </w:pPr>
            <m:oMath>
              <m:r>
                <m:t>H</m:t>
              </m:r>
              <m:d>
                <m:dPr>
                  <m:begChr m:val="("/>
                  <m:endChr m:val=")"/>
                  <m:sepChr m:val=""/>
                  <m:grow/>
                </m:dPr>
                <m:e>
                  <m:r>
                    <m:t>p</m:t>
                  </m:r>
                </m:e>
              </m:d>
              <m:r>
                <m:rPr>
                  <m:sty m:val="p"/>
                </m:rPr>
                <m:t>=</m:t>
              </m:r>
              <m:r>
                <m:rPr>
                  <m:sty m:val="p"/>
                </m:rPr>
                <m:t>−</m:t>
              </m:r>
              <m:r>
                <m:rPr>
                  <m:sty m:val="p"/>
                </m:rPr>
                <m:t>∑</m:t>
              </m:r>
              <m:sSub>
                <m:e>
                  <m:r>
                    <m:t>p</m:t>
                  </m:r>
                </m:e>
                <m:sub>
                  <m:r>
                    <m:t>i</m:t>
                  </m:r>
                </m:sub>
              </m:sSub>
              <m:r>
                <m:rPr>
                  <m:sty m:val="p"/>
                </m:rPr>
                <m:t>log</m:t>
              </m:r>
              <m:sSub>
                <m:e>
                  <m:r>
                    <m:t>p</m:t>
                  </m:r>
                </m:e>
                <m:sub>
                  <m:r>
                    <m:t>i</m:t>
                  </m:r>
                </m:sub>
              </m:sSub>
            </m:oMath>
            <w:r>
              <w:t xml:space="preserve"> </w:t>
            </w:r>
            <w:r>
              <w:t xml:space="preserve">per position</w:t>
            </w:r>
          </w:p>
        </w:tc>
        <w:tc>
          <w:tcPr/>
          <w:p>
            <w:pPr>
              <w:pStyle w:val="Compact"/>
              <w:jc w:val="left"/>
            </w:pPr>
            <w:r>
              <w:t xml:space="preserve">Anomalous entropy spikes indicating embedding gates</w:t>
            </w:r>
            <w:r>
              <w:t xml:space="preserve"> </w:t>
            </w:r>
            <w:fldSimple w:instr="NOTEREF _Ref_Footnote_7 \h \f">
              <w:r>
                <w:rPr>
                  <w:vertAlign w:val="superscript"/>
                </w:rPr>
                <w:t>7</w:t>
              </w:r>
            </w:fldSimple>
          </w:p>
        </w:tc>
        <w:tc>
          <w:tcPr/>
          <w:p>
            <w:pPr>
              <w:pStyle w:val="Compact"/>
              <w:jc w:val="left"/>
            </w:pPr>
            <w:r>
              <w:t xml:space="preserve">Low: single forward pass</w:t>
            </w:r>
          </w:p>
        </w:tc>
      </w:tr>
      <w:tr>
        <w:tc>
          <w:tcPr/>
          <w:p>
            <w:pPr>
              <w:pStyle w:val="Compact"/>
              <w:jc w:val="left"/>
            </w:pPr>
            <w:r>
              <w:t xml:space="preserve">Probability-ratio bitstream</w:t>
            </w:r>
          </w:p>
        </w:tc>
        <w:tc>
          <w:tcPr/>
          <w:p>
            <w:pPr>
              <w:pStyle w:val="Compact"/>
              <w:jc w:val="left"/>
            </w:pPr>
            <m:oMath>
              <m:sSub>
                <m:e>
                  <m:r>
                    <m:rPr>
                      <m:nor/>
                      <m:sty m:val="p"/>
                    </m:rPr>
                    <m:t>bit</m:t>
                  </m:r>
                </m:e>
                <m:sub>
                  <m:r>
                    <m:t>t</m:t>
                  </m:r>
                </m:sub>
              </m:sSub>
              <m:r>
                <m:rPr>
                  <m:sty m:val="p"/>
                </m:rPr>
                <m:t>=</m:t>
              </m:r>
              <m:r>
                <m:rPr>
                  <m:sty m:val="p"/>
                  <m:scr m:val="double-struck"/>
                </m:rPr>
                <m:t>1</m:t>
              </m:r>
              <m:d>
                <m:dPr>
                  <m:begChr m:val="["/>
                  <m:endChr m:val="]"/>
                  <m:sepChr m:val=""/>
                  <m:grow/>
                </m:dPr>
                <m:e>
                  <m:r>
                    <m:t>P</m:t>
                  </m:r>
                  <m:d>
                    <m:dPr>
                      <m:begChr m:val="("/>
                      <m:endChr m:val=")"/>
                      <m:sepChr m:val=""/>
                      <m:grow/>
                    </m:dPr>
                    <m:e>
                      <m:sSub>
                        <m:e>
                          <m:r>
                            <m:t>f</m:t>
                          </m:r>
                        </m:e>
                        <m:sub>
                          <m:r>
                            <m:t>t</m:t>
                          </m:r>
                        </m:sub>
                      </m:sSub>
                    </m:e>
                  </m:d>
                  <m:r>
                    <m:rPr>
                      <m:sty m:val="p"/>
                    </m:rPr>
                    <m:t>/</m:t>
                  </m:r>
                  <m:r>
                    <m:t>P</m:t>
                  </m:r>
                  <m:d>
                    <m:dPr>
                      <m:begChr m:val="("/>
                      <m:endChr m:val=")"/>
                      <m:sepChr m:val=""/>
                      <m:grow/>
                    </m:dPr>
                    <m:e>
                      <m:sSub>
                        <m:e>
                          <m:r>
                            <m:rPr>
                              <m:sty m:val="p"/>
                            </m:rPr>
                            <m:t>.</m:t>
                          </m:r>
                        </m:e>
                        <m:sub>
                          <m:r>
                            <m:t>t</m:t>
                          </m:r>
                        </m:sub>
                      </m:sSub>
                    </m:e>
                  </m:d>
                  <m:r>
                    <m:rPr>
                      <m:sty m:val="p"/>
                    </m:rPr>
                    <m:t>&gt;</m:t>
                  </m:r>
                  <m:r>
                    <m:t>τ</m:t>
                  </m:r>
                </m:e>
              </m:d>
            </m:oMath>
          </w:p>
        </w:tc>
        <w:tc>
          <w:tcPr/>
          <w:p>
            <w:pPr>
              <w:pStyle w:val="Compact"/>
              <w:jc w:val="left"/>
            </w:pPr>
            <w:r>
              <w:t xml:space="preserve">Binary sequence potentially encoding flag via ASCII</w:t>
            </w:r>
          </w:p>
        </w:tc>
        <w:tc>
          <w:tcPr/>
          <w:p>
            <w:pPr>
              <w:pStyle w:val="Compact"/>
              <w:jc w:val="left"/>
            </w:pPr>
            <w:r>
              <w:t xml:space="preserve">Low: threshold extraction</w:t>
            </w:r>
          </w:p>
        </w:tc>
      </w:tr>
    </w:tbl>
    <w:p>
      <w:pPr>
        <w:pStyle w:val="BodyText"/>
      </w:pPr>
      <w:r>
        <w:t xml:space="preserve">These strategies cluster into three tiers of invasiveness. Non-invasive techniques—full distribution extraction, temperature sweeps, top-</w:t>
      </w:r>
      <m:oMath>
        <m:r>
          <m:t>k</m:t>
        </m:r>
      </m:oMath>
      <w:r>
        <w:t xml:space="preserve"> </w:t>
      </w:r>
      <w:r>
        <w:t xml:space="preserve">sweeps, FFT analysis, KS testing, and entropy analysis—require only inference-time access. Moderately invasive techniques—MLP ablation and logit lens analysis—require model surgery or intermediate-state access but provide visibility into pre-suppression signals. The tuned lens is the most resource-intensive but potentially highest-fidelity option, having elicited interpretable predictions from layer 1 on GPT-Neo-2.7B where raw logit lens failed until layer 21</w:t>
      </w:r>
      <w:r>
        <w:t xml:space="preserve"> </w:t>
      </w:r>
      <w:fldSimple w:instr="NOTEREF _Ref_Footnote_85 \h \f">
        <w:r>
          <w:rPr>
            <w:vertAlign w:val="superscript"/>
          </w:rPr>
          <w:t>85</w:t>
        </w:r>
      </w:fldSimple>
      <w:r>
        <w:t xml:space="preserve">.</w:t>
      </w:r>
    </w:p>
    <w:p>
      <w:pPr>
        <w:pStyle w:val="BodyText"/>
      </w:pPr>
      <w:r>
        <w:t xml:space="preserve">For Ode Triunfal, the recommended progression begins with full distribution extraction after</w:t>
      </w:r>
      <w:r>
        <w:t xml:space="preserve"> </w:t>
      </w:r>
      <w:r>
        <w:rPr>
          <w:rStyle w:val="VerbatimChar"/>
        </w:rPr>
        <w:t xml:space="preserve">{</w:t>
      </w:r>
      <w:r>
        <w:t xml:space="preserve"> </w:t>
      </w:r>
      <w:r>
        <w:t xml:space="preserve">to establish baseline rank sequences, followed by FFT analysis and a temperature sweep. If non-invasive methods fail, MLP6 ablation combined with distribution extraction provides the next tier, exploiting the established fact that MLP6 hosts a suppression circuit</w:t>
      </w:r>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 </w:t>
      </w:r>
      <w:fldSimple w:instr="NOTEREF _Ref_Footnote_79 \h \f">
        <w:r>
          <w:rPr>
            <w:vertAlign w:val="superscript"/>
          </w:rPr>
          <w:t>79</w:t>
        </w:r>
      </w:fldSimple>
      <w:r>
        <w:t xml:space="preserve">. This progression addresses each encoding hypothesis: rank-sequence encoding via top-</w:t>
      </w:r>
      <m:oMath>
        <m:r>
          <m:t>k</m:t>
        </m:r>
      </m:oMath>
      <w:r>
        <w:t xml:space="preserve"> </w:t>
      </w:r>
      <w:r>
        <w:t xml:space="preserve">sweeps and FFT, probability-ratio encoding via threshold extraction, distribution-shape fingerprinting via KS testing, and cross-layer progression via the logit lens.</w:t>
      </w:r>
    </w:p>
    <w:p>
      <w:r>
        <w:pict>
          <v:rect style="width:0;height:1.5pt" o:hralign="center" o:hrstd="t" o:hr="t"/>
        </w:pict>
      </w:r>
    </w:p>
    <w:bookmarkEnd w:id="67"/>
    <w:bookmarkEnd w:id="68"/>
    <w:bookmarkEnd w:id="69"/>
    <w:bookmarkStart w:id="82" w:name="hidden-state-activation-analysis"/>
    <w:p>
      <w:pPr>
        <w:pStyle w:val="Heading2"/>
      </w:pPr>
      <w:r>
        <w:t xml:space="preserve">5. Hidden State &amp; Activation Analysis</w:t>
      </w:r>
    </w:p>
    <w:p>
      <w:pPr>
        <w:pStyle w:val="FirstParagraph"/>
      </w:pPr>
      <w:r>
        <w:t xml:space="preserve">While preceding chapters examined extracting flags from model outputs—logits, probability distributions, and generated tokens—this chapter investigates a fundamentally richer channel: the intermediate representations at each transformer layer. Hidden states encode the model’s entire internal reasoning trajectory, including computations suppressed before reaching the output. For Ode Triunfal, the observation that ablating MLP6 raises P(</w:t>
      </w:r>
      <w:r>
        <w:rPr>
          <w:iCs/>
          <w:i/>
        </w:rPr>
        <w:t xml:space="preserve">f</w:t>
      </w:r>
      <w:r>
        <w:t xml:space="preserve">) from 0.20 to 0.507 while greedy generation still produces Portuguese indicates flag-related signals exist internally but are actively blocked. The techniques reviewed here—tuned lens, activation patching, Embed Parrot, and nonlinear probing—provide systematic access to these suppressed signals.</w:t>
      </w:r>
    </w:p>
    <w:bookmarkStart w:id="73" w:name="logit-lens-tuned-lens"/>
    <w:p>
      <w:pPr>
        <w:pStyle w:val="Heading3"/>
      </w:pPr>
      <w:r>
        <w:t xml:space="preserve">5.1 Logit Lens &amp; Tuned Lens</w:t>
      </w:r>
    </w:p>
    <w:bookmarkStart w:id="70" w:name="X9762dfbcf772741ed73127e3e4df8e5be736433"/>
    <w:p>
      <w:pPr>
        <w:pStyle w:val="Heading4"/>
      </w:pPr>
      <w:r>
        <w:t xml:space="preserve">5.1.1 Logit Lens Limitations: Representational Drift</w:t>
      </w:r>
    </w:p>
    <w:p>
      <w:pPr>
        <w:pStyle w:val="FirstParagraph"/>
      </w:pPr>
      <w:r>
        <w:t xml:space="preserve">The logit lens, introduced by nostalgebraist in 2020</w:t>
      </w:r>
      <w:r>
        <w:t xml:space="preserve"> </w:t>
      </w:r>
      <w:r>
        <w:rPr>
          <w:vertAlign w:val="superscript"/>
        </w:rPr>
        <w:footnoteReference w:id="91"/>
      </w:r>
      <w:r>
        <w:t xml:space="preserve">, projects intermediate hidden states into vocabulary space via the unembedding matrix: for hidden state</w:t>
      </w:r>
      <w:r>
        <w:t xml:space="preserve"> </w:t>
      </w:r>
      <m:oMath>
        <m:sSup>
          <m:e>
            <m:r>
              <m:rPr>
                <m:sty m:val="b"/>
              </m:rPr>
              <m:t>h</m:t>
            </m:r>
          </m:e>
          <m:sup>
            <m:d>
              <m:dPr>
                <m:begChr m:val="("/>
                <m:endChr m:val=")"/>
                <m:sepChr m:val=""/>
                <m:grow/>
              </m:dPr>
              <m:e>
                <m:r>
                  <m:t>l</m:t>
                </m:r>
              </m:e>
            </m:d>
          </m:sup>
        </m:sSup>
      </m:oMath>
      <w:r>
        <w:t xml:space="preserve"> </w:t>
      </w:r>
      <w:r>
        <w:t xml:space="preserve">at layer</w:t>
      </w:r>
      <w:r>
        <w:t xml:space="preserve"> </w:t>
      </w:r>
      <m:oMath>
        <m:r>
          <m:t>l</m:t>
        </m:r>
      </m:oMath>
      <w:r>
        <w:t xml:space="preserve">, compute</w:t>
      </w:r>
      <w:r>
        <w:t xml:space="preserve"> </w:t>
      </w:r>
      <m:oMath>
        <m:sSup>
          <m:e>
            <m:r>
              <m:rPr>
                <m:sty m:val="b"/>
              </m:rPr>
              <m:t>h</m:t>
            </m:r>
          </m:e>
          <m:sup>
            <m:d>
              <m:dPr>
                <m:begChr m:val="("/>
                <m:endChr m:val=")"/>
                <m:sepChr m:val=""/>
                <m:grow/>
              </m:dPr>
              <m:e>
                <m:r>
                  <m:t>l</m:t>
                </m:r>
              </m:e>
            </m:d>
          </m:sup>
        </m:sSup>
        <m:sSubSup>
          <m:e>
            <m:r>
              <m:rPr>
                <m:sty m:val="b"/>
              </m:rPr>
              <m:t>W</m:t>
            </m:r>
          </m:e>
          <m:sub>
            <m:r>
              <m:rPr>
                <m:nor/>
                <m:sty m:val="p"/>
              </m:rPr>
              <m:t>unemb</m:t>
            </m:r>
          </m:sub>
          <m:sup>
            <m:r>
              <m:rPr>
                <m:sty m:val="p"/>
              </m:rPr>
              <m:t>⊤</m:t>
            </m:r>
          </m:sup>
        </m:sSubSup>
      </m:oMath>
      <w:r>
        <w:t xml:space="preserve"> </w:t>
      </w:r>
      <w:r>
        <w:t xml:space="preserve">and apply softmax</w:t>
      </w:r>
      <w:r>
        <w:t xml:space="preserve"> </w:t>
      </w:r>
      <w:fldSimple w:instr="NOTEREF _Ref_Footnote_83 \h \f">
        <w:r>
          <w:rPr>
            <w:vertAlign w:val="superscript"/>
          </w:rPr>
          <w:t>83</w:t>
        </w:r>
      </w:fldSimple>
      <w:r>
        <w:t xml:space="preserve">. This exposes each layer’s belief about the next token, revealing the prediction trajectory from input to output</w:t>
      </w:r>
      <w:r>
        <w:t xml:space="preserve"> </w:t>
      </w:r>
      <w:fldSimple w:instr="NOTEREF _Ref_Footnote_88 \h \f">
        <w:r>
          <w:rPr>
            <w:vertAlign w:val="superscript"/>
          </w:rPr>
          <w:t>88</w:t>
        </w:r>
      </w:fldSimple>
      <w:r>
        <w:t xml:space="preserve">.</w:t>
      </w:r>
    </w:p>
    <w:p>
      <w:pPr>
        <w:pStyle w:val="BodyText"/>
      </w:pPr>
      <w:r>
        <w:t xml:space="preserve">However, the logit lens exhibits severe model-dependent reliability. Belrose et al. found it fails catastrophically on GPT-Neo and BLOOM: for GPT-Neo-2.7B, no interpretable predictions emerge before layer 21</w:t>
      </w:r>
      <w:r>
        <w:t xml:space="preserve"> </w:t>
      </w:r>
      <w:fldSimple w:instr="NOTEREF _Ref_Footnote_85 \h \f">
        <w:r>
          <w:rPr>
            <w:vertAlign w:val="superscript"/>
          </w:rPr>
          <w:t>85</w:t>
        </w:r>
      </w:fldSimple>
      <w:r>
        <w:t xml:space="preserve">. The cause is</w:t>
      </w:r>
      <w:r>
        <w:t xml:space="preserve"> </w:t>
      </w:r>
      <w:r>
        <w:rPr>
          <w:bCs/>
          <w:b/>
        </w:rPr>
        <w:t xml:space="preserve">representational drift</w:t>
      </w:r>
      <w:r>
        <w:t xml:space="preserve">—intermediate layers encode features in a basis differing from the final layer’s representation</w:t>
      </w:r>
      <w:r>
        <w:t xml:space="preserve"> </w:t>
      </w:r>
      <w:fldSimple w:instr="NOTEREF _Ref_Footnote_85 \h \f">
        <w:r>
          <w:rPr>
            <w:vertAlign w:val="superscript"/>
          </w:rPr>
          <w:t>85</w:t>
        </w:r>
      </w:fldSimple>
      <w:r>
        <w:t xml:space="preserve"> </w:t>
      </w:r>
      <w:r>
        <w:rPr>
          <w:vertAlign w:val="superscript"/>
        </w:rPr>
        <w:footnoteReference w:id="92"/>
      </w:r>
      <w:r>
        <w:t xml:space="preserve">. Two mechanisms drive this:</w:t>
      </w:r>
      <w:r>
        <w:t xml:space="preserve"> </w:t>
      </w:r>
      <w:r>
        <w:rPr>
          <w:iCs/>
          <w:i/>
        </w:rPr>
        <w:t xml:space="preserve">rogue dimensions</w:t>
      </w:r>
      <w:r>
        <w:t xml:space="preserve"> </w:t>
      </w:r>
      <w:r>
        <w:t xml:space="preserve">(very high-variance dimensions unevenly distributed across layers that spuriously inflate perplexity) and</w:t>
      </w:r>
      <w:r>
        <w:t xml:space="preserve"> </w:t>
      </w:r>
      <w:r>
        <w:rPr>
          <w:iCs/>
          <w:i/>
        </w:rPr>
        <w:t xml:space="preserve">bias toward zero</w:t>
      </w:r>
      <w:r>
        <w:t xml:space="preserve"> </w:t>
      </w:r>
      <w:r>
        <w:t xml:space="preserve">(layers learning residuals far from zero, placing hidden states out-of-distribution for unembedding)</w:t>
      </w:r>
      <w:r>
        <w:t xml:space="preserve"> </w:t>
      </w:r>
      <w:fldSimple w:instr="NOTEREF _Ref_Footnote_85 \h \f">
        <w:r>
          <w:rPr>
            <w:vertAlign w:val="superscript"/>
          </w:rPr>
          <w:t>85</w:t>
        </w:r>
      </w:fldSimple>
      <w:r>
        <w:t xml:space="preserve">. The logit lens works for GPT-2 but fails on non-standard architectures, making it insufficient for CTF challenges involving modified transformers</w:t>
      </w:r>
      <w:r>
        <w:t xml:space="preserve"> </w:t>
      </w:r>
      <w:fldSimple w:instr="NOTEREF _Ref_Footnote_85 \h \f">
        <w:r>
          <w:rPr>
            <w:vertAlign w:val="superscript"/>
          </w:rPr>
          <w:t>85</w:t>
        </w:r>
      </w:fldSimple>
      <w:r>
        <w:t xml:space="preserve">.</w:t>
      </w:r>
    </w:p>
    <w:bookmarkEnd w:id="70"/>
    <w:bookmarkStart w:id="71" w:name="Xf18bfa36828114356e8ade2d1b43f352f1a57d4"/>
    <w:p>
      <w:pPr>
        <w:pStyle w:val="Heading4"/>
      </w:pPr>
      <w:r>
        <w:t xml:space="preserve">5.1.2 Tuned Lens: Per-Layer Affine Transformations</w:t>
      </w:r>
    </w:p>
    <w:p>
      <w:pPr>
        <w:pStyle w:val="FirstParagraph"/>
      </w:pPr>
      <w:r>
        <w:t xml:space="preserve">The tuned lens addresses drift by learning</w:t>
      </w:r>
      <w:r>
        <w:t xml:space="preserve"> </w:t>
      </w:r>
      <m:oMath>
        <m:r>
          <m:t>L</m:t>
        </m:r>
      </m:oMath>
      <w:r>
        <w:t xml:space="preserve"> </w:t>
      </w:r>
      <w:r>
        <w:t xml:space="preserve">affine transformations—one per layer—that translate intermediate representations to the output domain before unembedding</w:t>
      </w:r>
      <w:r>
        <w:t xml:space="preserve"> </w:t>
      </w:r>
      <w:fldSimple w:instr="NOTEREF _Ref_Footnote_85 \h \f">
        <w:r>
          <w:rPr>
            <w:vertAlign w:val="superscript"/>
          </w:rPr>
          <w:t>85</w:t>
        </w:r>
      </w:fldSimple>
      <w:r>
        <w:t xml:space="preserve">. For each layer</w:t>
      </w:r>
      <w:r>
        <w:t xml:space="preserve"> </w:t>
      </w:r>
      <m:oMath>
        <m:r>
          <m:t>l</m:t>
        </m:r>
      </m:oMath>
      <w:r>
        <w:t xml:space="preserve">, a translator</w:t>
      </w:r>
      <w:r>
        <w:t xml:space="preserve"> </w:t>
      </w:r>
      <m:oMath>
        <m:sSub>
          <m:e>
            <m:r>
              <m:rPr>
                <m:sty m:val="b"/>
              </m:rPr>
              <m:t>T</m:t>
            </m:r>
          </m:e>
          <m:sub>
            <m:r>
              <m:t>l</m:t>
            </m:r>
          </m:sub>
        </m:sSub>
        <m:d>
          <m:dPr>
            <m:begChr m:val="("/>
            <m:endChr m:val=")"/>
            <m:sepChr m:val=""/>
            <m:grow/>
          </m:dPr>
          <m:e>
            <m:r>
              <m:rPr>
                <m:sty m:val="b"/>
              </m:rPr>
              <m:t>h</m:t>
            </m:r>
          </m:e>
        </m:d>
        <m:r>
          <m:rPr>
            <m:sty m:val="p"/>
          </m:rPr>
          <m:t>=</m:t>
        </m:r>
        <m:sSub>
          <m:e>
            <m:r>
              <m:rPr>
                <m:sty m:val="b"/>
              </m:rPr>
              <m:t>A</m:t>
            </m:r>
          </m:e>
          <m:sub>
            <m:r>
              <m:t>l</m:t>
            </m:r>
          </m:sub>
        </m:sSub>
        <m:r>
          <m:rPr>
            <m:sty m:val="b"/>
          </m:rPr>
          <m:t>h</m:t>
        </m:r>
        <m:r>
          <m:rPr>
            <m:sty m:val="p"/>
          </m:rPr>
          <m:t>+</m:t>
        </m:r>
        <m:sSub>
          <m:e>
            <m:r>
              <m:rPr>
                <m:sty m:val="b"/>
              </m:rPr>
              <m:t>b</m:t>
            </m:r>
          </m:e>
          <m:sub>
            <m:r>
              <m:t>l</m:t>
            </m:r>
          </m:sub>
        </m:sSub>
      </m:oMath>
      <w:r>
        <w:t xml:space="preserve"> </w:t>
      </w:r>
      <w:r>
        <w:t xml:space="preserve">minimizes KL divergence between the translated prediction and the final-layer output. Translators initialize to identity, defaulting to logit-lens behavior and learning corrections only where they improve quality</w:t>
      </w:r>
      <w:r>
        <w:t xml:space="preserve"> </w:t>
      </w:r>
      <w:fldSimple w:instr="NOTEREF _Ref_Footnote_85 \h \f">
        <w:r>
          <w:rPr>
            <w:vertAlign w:val="superscript"/>
          </w:rPr>
          <w:t>85</w:t>
        </w:r>
      </w:fldSimple>
      <w:r>
        <w:t xml:space="preserve"> </w:t>
      </w:r>
      <w:r>
        <w:rPr>
          <w:vertAlign w:val="superscript"/>
        </w:rPr>
        <w:footnoteReference w:id="93"/>
      </w:r>
      <w:r>
        <w:t xml:space="preserve">.</w:t>
      </w:r>
    </w:p>
    <w:p>
      <w:pPr>
        <w:pStyle w:val="BodyText"/>
      </w:pPr>
      <w:r>
        <w:t xml:space="preserve">Training uses 250 steps with the Muon optimizer on validation data (The Pile for GPT-2 family), with batch size</w:t>
      </w:r>
      <w:r>
        <w:t xml:space="preserve"> </w:t>
      </w:r>
      <m:oMath>
        <m:sSup>
          <m:e>
            <m:r>
              <m:t>2</m:t>
            </m:r>
          </m:e>
          <m:sup>
            <m:r>
              <m:t>18</m:t>
            </m:r>
          </m:sup>
        </m:sSup>
      </m:oMath>
      <w:r>
        <w:t xml:space="preserve">, weight decay</w:t>
      </w:r>
      <w:r>
        <w:t xml:space="preserve"> </w:t>
      </w:r>
      <m:oMath>
        <m:sSup>
          <m:e>
            <m:r>
              <m:t>10</m:t>
            </m:r>
          </m:e>
          <m:sup>
            <m:r>
              <m:rPr>
                <m:sty m:val="p"/>
              </m:rPr>
              <m:t>−</m:t>
            </m:r>
            <m:r>
              <m:t>3</m:t>
            </m:r>
          </m:sup>
        </m:sSup>
      </m:oMath>
      <w:r>
        <w:t xml:space="preserve">, and gradient clipping at norm 1</w:t>
      </w:r>
      <w:r>
        <w:t xml:space="preserve"> </w:t>
      </w:r>
      <w:fldSimple w:instr="NOTEREF _Ref_Footnote_85 \h \f">
        <w:r>
          <w:rPr>
            <w:vertAlign w:val="superscript"/>
          </w:rPr>
          <w:t>85</w:t>
        </w:r>
      </w:fldSimple>
      <w:r>
        <w:t xml:space="preserve">. Training takes</w:t>
      </w:r>
      <w:r>
        <w:t xml:space="preserve"> </w:t>
      </w:r>
      <w:r>
        <w:t xml:space="preserve">“</w:t>
      </w:r>
      <w:r>
        <w:t xml:space="preserve">under an hour on a single 8x A40 node</w:t>
      </w:r>
      <w:r>
        <w:t xml:space="preserve">”</w:t>
      </w:r>
      <w:r>
        <w:t xml:space="preserve"> </w:t>
      </w:r>
      <w:fldSimple w:instr="NOTEREF _Ref_Footnote_85 \h \f">
        <w:r>
          <w:rPr>
            <w:vertAlign w:val="superscript"/>
          </w:rPr>
          <w:t>85</w:t>
        </w:r>
      </w:fldSimple>
      <w:r>
        <w:t xml:space="preserve">. The results are dramatic: for GPT-Neo-2.7B, where raw logit lens fails before layer 21, the tuned lens produces interpretable predictions from layer 1 onward; for BLOOM-560M, it achieves</w:t>
      </w:r>
      <w:r>
        <w:t xml:space="preserve"> </w:t>
      </w:r>
      <w:r>
        <w:t xml:space="preserve">“</w:t>
      </w:r>
      <w:r>
        <w:t xml:space="preserve">substantially lower perplexity</w:t>
      </w:r>
      <w:r>
        <w:t xml:space="preserve">”</w:t>
      </w:r>
      <w:r>
        <w:t xml:space="preserve"> </w:t>
      </w:r>
      <w:fldSimple w:instr="NOTEREF _Ref_Footnote_85 \h \f">
        <w:r>
          <w:rPr>
            <w:vertAlign w:val="superscript"/>
          </w:rPr>
          <w:t>85</w:t>
        </w:r>
      </w:fldSimple>
      <w:r>
        <w:t xml:space="preserve">. The</w:t>
      </w:r>
      <w:r>
        <w:t xml:space="preserve"> </w:t>
      </w:r>
      <w:r>
        <w:rPr>
          <w:iCs/>
          <w:i/>
        </w:rPr>
        <w:t xml:space="preserve">prediction trajectory</w:t>
      </w:r>
      <w:r>
        <w:t xml:space="preserve">—distributions from successive layers converging to the final output—becomes analytically meaningful only with this correction</w:t>
      </w:r>
      <w:r>
        <w:t xml:space="preserve"> </w:t>
      </w:r>
      <w:fldSimple w:instr="NOTEREF _Ref_Footnote_91 \h \f">
        <w:r>
          <w:rPr>
            <w:vertAlign w:val="superscript"/>
          </w:rPr>
          <w:t>91</w:t>
        </w:r>
      </w:fldSimple>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Technique</w:t>
            </w:r>
          </w:p>
        </w:tc>
        <w:tc>
          <w:tcPr/>
          <w:p>
            <w:pPr>
              <w:pStyle w:val="Compact"/>
              <w:jc w:val="left"/>
            </w:pPr>
            <w:r>
              <w:t xml:space="preserve">Training Cost</w:t>
            </w:r>
          </w:p>
        </w:tc>
        <w:tc>
          <w:tcPr/>
          <w:p>
            <w:pPr>
              <w:pStyle w:val="Compact"/>
              <w:jc w:val="left"/>
            </w:pPr>
            <w:r>
              <w:t xml:space="preserve">Deep-Layer Reliability</w:t>
            </w:r>
          </w:p>
        </w:tc>
        <w:tc>
          <w:tcPr/>
          <w:p>
            <w:pPr>
              <w:pStyle w:val="Compact"/>
              <w:jc w:val="left"/>
            </w:pPr>
            <w:r>
              <w:t xml:space="preserve">Primary Limitation</w:t>
            </w:r>
          </w:p>
        </w:tc>
        <w:tc>
          <w:tcPr/>
          <w:p>
            <w:pPr>
              <w:pStyle w:val="Compact"/>
              <w:jc w:val="left"/>
            </w:pPr>
            <w:r>
              <w:t xml:space="preserve">Flag Extraction Suitability</w:t>
            </w:r>
          </w:p>
        </w:tc>
      </w:tr>
      <w:tr>
        <w:tc>
          <w:tcPr/>
          <w:p>
            <w:pPr>
              <w:pStyle w:val="Compact"/>
              <w:jc w:val="left"/>
            </w:pPr>
            <w:r>
              <w:t xml:space="preserve">Logit Lens</w:t>
            </w:r>
          </w:p>
        </w:tc>
        <w:tc>
          <w:tcPr/>
          <w:p>
            <w:pPr>
              <w:pStyle w:val="Compact"/>
              <w:jc w:val="left"/>
            </w:pPr>
            <w:r>
              <w:t xml:space="preserve">None</w:t>
            </w:r>
          </w:p>
        </w:tc>
        <w:tc>
          <w:tcPr/>
          <w:p>
            <w:pPr>
              <w:pStyle w:val="Compact"/>
              <w:jc w:val="left"/>
            </w:pPr>
            <w:r>
              <w:t xml:space="preserve">Poor on GPT-Neo, BLOOM, non-standard GPT</w:t>
            </w:r>
          </w:p>
        </w:tc>
        <w:tc>
          <w:tcPr/>
          <w:p>
            <w:pPr>
              <w:pStyle w:val="Compact"/>
              <w:jc w:val="left"/>
            </w:pPr>
            <w:r>
              <w:t xml:space="preserve">Representational drift; rogue dimensions</w:t>
            </w:r>
            <w:r>
              <w:t xml:space="preserve"> </w:t>
            </w:r>
            <w:fldSimple w:instr="NOTEREF _Ref_Footnote_85 \h \f">
              <w:r>
                <w:rPr>
                  <w:vertAlign w:val="superscript"/>
                </w:rPr>
                <w:t>85</w:t>
              </w:r>
            </w:fldSimple>
          </w:p>
        </w:tc>
        <w:tc>
          <w:tcPr/>
          <w:p>
            <w:pPr>
              <w:pStyle w:val="Compact"/>
              <w:jc w:val="left"/>
            </w:pPr>
            <w:r>
              <w:t xml:space="preserve">Low—only reliable for GPT-2 family</w:t>
            </w:r>
          </w:p>
        </w:tc>
      </w:tr>
      <w:tr>
        <w:tc>
          <w:tcPr/>
          <w:p>
            <w:pPr>
              <w:pStyle w:val="Compact"/>
              <w:jc w:val="left"/>
            </w:pPr>
            <w:r>
              <w:t xml:space="preserve">Tuned Lens</w:t>
            </w:r>
          </w:p>
        </w:tc>
        <w:tc>
          <w:tcPr/>
          <w:p>
            <w:pPr>
              <w:pStyle w:val="Compact"/>
              <w:jc w:val="left"/>
            </w:pPr>
            <w:r>
              <w:t xml:space="preserve">~1 hour on 8x A40s</w:t>
            </w:r>
            <w:r>
              <w:t xml:space="preserve"> </w:t>
            </w:r>
            <w:fldSimple w:instr="NOTEREF _Ref_Footnote_85 \h \f">
              <w:r>
                <w:rPr>
                  <w:vertAlign w:val="superscript"/>
                </w:rPr>
                <w:t>85</w:t>
              </w:r>
            </w:fldSimple>
          </w:p>
        </w:tc>
        <w:tc>
          <w:tcPr/>
          <w:p>
            <w:pPr>
              <w:pStyle w:val="Compact"/>
              <w:jc w:val="left"/>
            </w:pPr>
            <w:r>
              <w:t xml:space="preserve">Excellent across tested models</w:t>
            </w:r>
          </w:p>
        </w:tc>
        <w:tc>
          <w:tcPr/>
          <w:p>
            <w:pPr>
              <w:pStyle w:val="Compact"/>
              <w:jc w:val="left"/>
            </w:pPr>
            <w:r>
              <w:t xml:space="preserve">Requires training data; assumes linear correction suffices</w:t>
            </w:r>
          </w:p>
        </w:tc>
        <w:tc>
          <w:tcPr/>
          <w:p>
            <w:pPr>
              <w:pStyle w:val="Compact"/>
              <w:jc w:val="left"/>
            </w:pPr>
            <w:r>
              <w:t xml:space="preserve">Very High—reveals deep-layer predictions invisible to raw lens</w:t>
            </w:r>
          </w:p>
        </w:tc>
      </w:tr>
      <w:tr>
        <w:tc>
          <w:tcPr/>
          <w:p>
            <w:pPr>
              <w:pStyle w:val="Compact"/>
              <w:jc w:val="left"/>
            </w:pPr>
            <w:r>
              <w:t xml:space="preserve">Attribution Patching</w:t>
            </w:r>
          </w:p>
        </w:tc>
        <w:tc>
          <w:tcPr/>
          <w:p>
            <w:pPr>
              <w:pStyle w:val="Compact"/>
              <w:jc w:val="left"/>
            </w:pPr>
            <w:r>
              <w:t xml:space="preserve">None (gradient-based)</w:t>
            </w:r>
          </w:p>
        </w:tc>
        <w:tc>
          <w:tcPr/>
          <w:p>
            <w:pPr>
              <w:pStyle w:val="Compact"/>
              <w:jc w:val="left"/>
            </w:pPr>
            <w:r>
              <w:t xml:space="preserve">N/A (component-level)</w:t>
            </w:r>
          </w:p>
        </w:tc>
        <w:tc>
          <w:tcPr/>
          <w:p>
            <w:pPr>
              <w:pStyle w:val="Compact"/>
              <w:jc w:val="left"/>
            </w:pPr>
            <w:r>
              <w:t xml:space="preserve">Approximation breaks for large residual-stream patches</w:t>
            </w:r>
            <w:r>
              <w:t xml:space="preserve"> </w:t>
            </w:r>
            <w:fldSimple w:instr="NOTEREF _Ref_Footnote_12 \h \f">
              <w:r>
                <w:rPr>
                  <w:vertAlign w:val="superscript"/>
                </w:rPr>
                <w:t>12</w:t>
              </w:r>
            </w:fldSimple>
          </w:p>
        </w:tc>
        <w:tc>
          <w:tcPr/>
          <w:p>
            <w:pPr>
              <w:pStyle w:val="Compact"/>
              <w:jc w:val="left"/>
            </w:pPr>
            <w:r>
              <w:t xml:space="preserve">Medium—rapid screening for flag-related components</w:t>
            </w:r>
          </w:p>
        </w:tc>
      </w:tr>
      <w:tr>
        <w:tc>
          <w:tcPr/>
          <w:p>
            <w:pPr>
              <w:pStyle w:val="Compact"/>
              <w:jc w:val="left"/>
            </w:pPr>
            <w:r>
              <w:t xml:space="preserve">Nonlinear Probe</w:t>
            </w:r>
          </w:p>
        </w:tc>
        <w:tc>
          <w:tcPr/>
          <w:p>
            <w:pPr>
              <w:pStyle w:val="Compact"/>
              <w:jc w:val="left"/>
            </w:pPr>
            <w:r>
              <w:t xml:space="preserve">Minutes (small MLP)</w:t>
            </w:r>
          </w:p>
        </w:tc>
        <w:tc>
          <w:tcPr/>
          <w:p>
            <w:pPr>
              <w:pStyle w:val="Compact"/>
              <w:jc w:val="left"/>
            </w:pPr>
            <w:r>
              <w:t xml:space="preserve">Good—finds nonlinear features</w:t>
            </w:r>
            <w:r>
              <w:t xml:space="preserve"> </w:t>
            </w:r>
            <w:r>
              <w:rPr>
                <w:vertAlign w:val="superscript"/>
              </w:rPr>
              <w:footnoteReference w:id="94"/>
            </w:r>
          </w:p>
        </w:tc>
        <w:tc>
          <w:tcPr/>
          <w:p>
            <w:pPr>
              <w:pStyle w:val="Compact"/>
              <w:jc w:val="left"/>
            </w:pPr>
            <w:r>
              <w:t xml:space="preserve">Requires labeled training examples</w:t>
            </w:r>
          </w:p>
        </w:tc>
        <w:tc>
          <w:tcPr/>
          <w:p>
            <w:pPr>
              <w:pStyle w:val="Compact"/>
              <w:jc w:val="left"/>
            </w:pPr>
            <w:r>
              <w:t xml:space="preserve">High—classifies flag patterns from hidden states</w:t>
            </w:r>
          </w:p>
        </w:tc>
      </w:tr>
    </w:tbl>
    <w:p>
      <w:pPr>
        <w:pStyle w:val="BodyText"/>
      </w:pPr>
      <w:r>
        <w:t xml:space="preserve">The table positions these methods within the hidden-state analysis landscape. The tuned lens stands out as the most suitable general-purpose tool because it recovers meaningful vocabulary predictions from layers where raw projection returns noise. For CTFs with modified or small-scale transformers, representational drift is the expected case, making tuned-lens correction essential.</w:t>
      </w:r>
    </w:p>
    <w:bookmarkEnd w:id="71"/>
    <w:bookmarkStart w:id="72" w:name="implementation-for-small-gpt-models"/>
    <w:p>
      <w:pPr>
        <w:pStyle w:val="Heading4"/>
      </w:pPr>
      <w:r>
        <w:t xml:space="preserve">5.1.3 Implementation for Small GPT Models</w:t>
      </w:r>
    </w:p>
    <w:p>
      <w:pPr>
        <w:pStyle w:val="FirstParagraph"/>
      </w:pPr>
      <w:r>
        <w:t xml:space="preserve">The</w:t>
      </w:r>
      <w:r>
        <w:t xml:space="preserve"> </w:t>
      </w:r>
      <w:r>
        <w:rPr>
          <w:rStyle w:val="VerbatimChar"/>
        </w:rPr>
        <w:t xml:space="preserve">tuned-lens</w:t>
      </w:r>
      <w:r>
        <w:t xml:space="preserve"> </w:t>
      </w:r>
      <w:r>
        <w:t xml:space="preserve">Python package provides a complete implementation</w:t>
      </w:r>
      <w:r>
        <w:t xml:space="preserve"> </w:t>
      </w:r>
      <w:r>
        <w:rPr>
          <w:vertAlign w:val="superscript"/>
        </w:rPr>
        <w:footnoteReference w:id="95"/>
      </w:r>
      <w:r>
        <w:t xml:space="preserve">. For models without pre-trained checkpoints, training proceeds via:</w:t>
      </w:r>
    </w:p>
    <w:p>
      <w:pPr>
        <w:pStyle w:val="SourceCode"/>
      </w:pPr>
      <w:r>
        <w:rPr>
          <w:rStyle w:val="ExtensionTok"/>
        </w:rPr>
        <w:t xml:space="preserve">python</w:t>
      </w:r>
      <w:r>
        <w:rPr>
          <w:rStyle w:val="NormalTok"/>
        </w:rPr>
        <w:t xml:space="preserve"> </w:t>
      </w:r>
      <w:r>
        <w:rPr>
          <w:rStyle w:val="AttributeTok"/>
        </w:rPr>
        <w:t xml:space="preserve">-m</w:t>
      </w:r>
      <w:r>
        <w:rPr>
          <w:rStyle w:val="NormalTok"/>
        </w:rPr>
        <w:t xml:space="preserve"> tuned_lens train </w:t>
      </w:r>
      <w:r>
        <w:rPr>
          <w:rStyle w:val="DataTypeTok"/>
        </w:rPr>
        <w:t xml:space="preserve">\</w:t>
      </w:r>
      <w:r>
        <w:br/>
      </w:r>
      <w:r>
        <w:rPr>
          <w:rStyle w:val="NormalTok"/>
        </w:rPr>
        <w:t xml:space="preserve">    </w:t>
      </w:r>
      <w:r>
        <w:rPr>
          <w:rStyle w:val="AttributeTok"/>
        </w:rPr>
        <w:t xml:space="preserve">--model.name</w:t>
      </w:r>
      <w:r>
        <w:rPr>
          <w:rStyle w:val="NormalTok"/>
        </w:rPr>
        <w:t xml:space="preserve"> </w:t>
      </w:r>
      <w:r>
        <w:rPr>
          <w:rStyle w:val="OperatorTok"/>
        </w:rPr>
        <w:t xml:space="preserve">&lt;</w:t>
      </w:r>
      <w:r>
        <w:rPr>
          <w:rStyle w:val="NormalTok"/>
        </w:rPr>
        <w:t xml:space="preserve">model_path</w:t>
      </w:r>
      <w:r>
        <w:rPr>
          <w:rStyle w:val="OperatorTok"/>
        </w:rPr>
        <w:t xml:space="preserve">&gt;</w:t>
      </w:r>
      <w:r>
        <w:rPr>
          <w:rStyle w:val="NormalTok"/>
        </w:rPr>
        <w:t xml:space="preserve"> --data.name </w:t>
      </w:r>
      <w:r>
        <w:rPr>
          <w:rStyle w:val="OperatorTok"/>
        </w:rPr>
        <w:t xml:space="preserve">&lt;</w:t>
      </w:r>
      <w:r>
        <w:rPr>
          <w:rStyle w:val="NormalTok"/>
        </w:rPr>
        <w:t xml:space="preserve">corpus.jsonl</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--per_gpu_batch_size</w:t>
      </w:r>
      <w:r>
        <w:rPr>
          <w:rStyle w:val="OperatorTok"/>
        </w:rPr>
        <w:t xml:space="preserve">=</w:t>
      </w:r>
      <w:r>
        <w:rPr>
          <w:rStyle w:val="NormalTok"/>
        </w:rPr>
        <w:t xml:space="preserve">1 </w:t>
      </w:r>
      <w:r>
        <w:rPr>
          <w:rStyle w:val="AttributeTok"/>
        </w:rPr>
        <w:t xml:space="preserve">--output</w:t>
      </w:r>
      <w:r>
        <w:rPr>
          <w:rStyle w:val="NormalTok"/>
        </w:rPr>
        <w:t xml:space="preserve"> </w:t>
      </w:r>
      <w:r>
        <w:rPr>
          <w:rStyle w:val="OperatorTok"/>
        </w:rPr>
        <w:t xml:space="preserve">&lt;</w:t>
      </w:r>
      <w:r>
        <w:rPr>
          <w:rStyle w:val="NormalTok"/>
        </w:rPr>
        <w:t xml:space="preserve">lens_output_dir</w:t>
      </w:r>
      <w:r>
        <w:rPr>
          <w:rStyle w:val="OperatorTok"/>
        </w:rPr>
        <w:t xml:space="preserve">&gt;</w:t>
      </w:r>
    </w:p>
    <w:p>
      <w:pPr>
        <w:pStyle w:val="FirstParagraph"/>
      </w:pPr>
      <w:r>
        <w:t xml:space="preserve">For Ode Triunfal—a 10-layer, 640-dimension GPT with vocabulary 262—the small scale is advantageous: training requires only minutes on modest hardware. The evaluation protocol examines the prediction trajectory at each layer after</w:t>
      </w:r>
      <w:r>
        <w:t xml:space="preserve"> </w:t>
      </w:r>
      <w:r>
        <w:rPr>
          <w:rStyle w:val="VerbatimChar"/>
        </w:rPr>
        <w:t xml:space="preserve">{</w:t>
      </w:r>
      <w:r>
        <w:t xml:space="preserve">, searching for flag tokens (</w:t>
      </w:r>
      <w:r>
        <w:rPr>
          <w:iCs/>
          <w:i/>
        </w:rPr>
        <w:t xml:space="preserve">f</w:t>
      </w:r>
      <w:r>
        <w:t xml:space="preserve">,</w:t>
      </w:r>
      <w:r>
        <w:t xml:space="preserve"> </w:t>
      </w:r>
      <w:r>
        <w:rPr>
          <w:iCs/>
          <w:i/>
        </w:rPr>
        <w:t xml:space="preserve">l</w:t>
      </w:r>
      <w:r>
        <w:t xml:space="preserve">,</w:t>
      </w:r>
      <w:r>
        <w:t xml:space="preserve"> </w:t>
      </w:r>
      <w:r>
        <w:rPr>
          <w:iCs/>
          <w:i/>
        </w:rPr>
        <w:t xml:space="preserve">a</w:t>
      </w:r>
      <w:r>
        <w:t xml:space="preserve">,</w:t>
      </w:r>
      <w:r>
        <w:t xml:space="preserve"> </w:t>
      </w:r>
      <w:r>
        <w:rPr>
          <w:iCs/>
          <w:i/>
        </w:rPr>
        <w:t xml:space="preserve">g</w:t>
      </w:r>
      <w:r>
        <w:t xml:space="preserve">) that raw logit lens misses due to drift in this non-standard architecture. The</w:t>
      </w:r>
      <w:r>
        <w:t xml:space="preserve"> </w:t>
      </w:r>
      <w:r>
        <w:rPr>
          <w:rStyle w:val="VerbatimChar"/>
        </w:rPr>
        <w:t xml:space="preserve">nnterp</w:t>
      </w:r>
      <w:r>
        <w:t xml:space="preserve"> </w:t>
      </w:r>
      <w:r>
        <w:t xml:space="preserve">library</w:t>
      </w:r>
      <w:r>
        <w:t xml:space="preserve"> </w:t>
      </w:r>
      <w:r>
        <w:rPr>
          <w:vertAlign w:val="superscript"/>
        </w:rPr>
        <w:footnoteReference w:id="96"/>
      </w:r>
      <w:r>
        <w:t xml:space="preserve">provides a standardized interface for layer output access and lens projection across model variants.</w:t>
      </w:r>
    </w:p>
    <w:bookmarkEnd w:id="72"/>
    <w:bookmarkEnd w:id="73"/>
    <w:bookmarkStart w:id="77" w:name="activation-patching-causal-tracing"/>
    <w:p>
      <w:pPr>
        <w:pStyle w:val="Heading3"/>
      </w:pPr>
      <w:r>
        <w:t xml:space="preserve">5.2 Activation Patching &amp; Causal Tracing</w:t>
      </w:r>
    </w:p>
    <w:p>
      <w:pPr>
        <w:pStyle w:val="FirstParagraph"/>
      </w:pPr>
      <w:r>
        <w:t xml:space="preserve">While the tuned lens reveals</w:t>
      </w:r>
      <w:r>
        <w:t xml:space="preserve"> </w:t>
      </w:r>
      <w:r>
        <w:rPr>
          <w:iCs/>
          <w:i/>
        </w:rPr>
        <w:t xml:space="preserve">what</w:t>
      </w:r>
      <w:r>
        <w:t xml:space="preserve"> </w:t>
      </w:r>
      <w:r>
        <w:t xml:space="preserve">information resides in hidden states, activation patching establishes</w:t>
      </w:r>
      <w:r>
        <w:t xml:space="preserve"> </w:t>
      </w:r>
      <w:r>
        <w:rPr>
          <w:iCs/>
          <w:i/>
        </w:rPr>
        <w:t xml:space="preserve">which components causally process</w:t>
      </w:r>
      <w:r>
        <w:t xml:space="preserve"> </w:t>
      </w:r>
      <w:r>
        <w:t xml:space="preserve">it. This distinction is critical: the tuned lens may show layer 7 encodes high P(</w:t>
      </w:r>
      <w:r>
        <w:rPr>
          <w:iCs/>
          <w:i/>
        </w:rPr>
        <w:t xml:space="preserve">f</w:t>
      </w:r>
      <w:r>
        <w:t xml:space="preserve">), but activation patching determines which head or MLP suppresses it.</w:t>
      </w:r>
    </w:p>
    <w:bookmarkStart w:id="74" w:name="X965d65544873b199bde7723d8aa28343ca2a183"/>
    <w:p>
      <w:pPr>
        <w:pStyle w:val="Heading4"/>
      </w:pPr>
      <w:r>
        <w:t xml:space="preserve">5.2.1 Activation Patching: Clean/Corrupt Activation Replacement</w:t>
      </w:r>
    </w:p>
    <w:p>
      <w:pPr>
        <w:pStyle w:val="FirstParagraph"/>
      </w:pPr>
      <w:r>
        <w:t xml:space="preserve">Activation patching intervenes on latent activations to test component necessity and sufficiency</w:t>
      </w:r>
      <w:r>
        <w:t xml:space="preserve"> </w:t>
      </w:r>
      <w:r>
        <w:rPr>
          <w:vertAlign w:val="superscript"/>
        </w:rPr>
        <w:footnoteReference w:id="97"/>
      </w:r>
      <w:r>
        <w:t xml:space="preserve"> </w:t>
      </w:r>
      <w:r>
        <w:rPr>
          <w:vertAlign w:val="superscript"/>
        </w:rPr>
        <w:footnoteReference w:id="98"/>
      </w:r>
      <w:r>
        <w:t xml:space="preserve">. The standard workflow: (1) run on a clean prompt and cache activations; (2) run on a corrupted prompt (token-replaced) and record degraded outputs; (3) run on the corrupted prompt with a specific component restored from the clean cache; (4) measure the effect size as logit difference between clean and patched outputs</w:t>
      </w:r>
      <w:r>
        <w:t xml:space="preserve"> </w:t>
      </w:r>
      <w:fldSimple w:instr="NOTEREF _Ref_Footnote_97 \h \f">
        <w:r>
          <w:rPr>
            <w:vertAlign w:val="superscript"/>
          </w:rPr>
          <w:t>97</w:t>
        </w:r>
      </w:fldSimple>
      <w:r>
        <w:t xml:space="preserve">.</w:t>
      </w:r>
    </w:p>
    <w:p>
      <w:pPr>
        <w:pStyle w:val="BodyText"/>
      </w:pPr>
      <w:r>
        <w:t xml:space="preserve">Two patching directions answer different questions</w:t>
      </w:r>
      <w:r>
        <w:t xml:space="preserve"> </w:t>
      </w:r>
      <w:fldSimple w:instr="NOTEREF _Ref_Footnote_98 \h \f">
        <w:r>
          <w:rPr>
            <w:vertAlign w:val="superscript"/>
          </w:rPr>
          <w:t>98</w:t>
        </w:r>
      </w:fldSimple>
      <w:r>
        <w:t xml:space="preserve">.</w:t>
      </w:r>
      <w:r>
        <w:t xml:space="preserve"> </w:t>
      </w:r>
      <w:r>
        <w:rPr>
          <w:iCs/>
          <w:i/>
        </w:rPr>
        <w:t xml:space="preserve">Denoising</w:t>
      </w:r>
      <w:r>
        <w:t xml:space="preserve"> </w:t>
      </w:r>
      <w:r>
        <w:t xml:space="preserve">(clean activations into a corrupted run) tests sufficiency—restoring component H recovers output, so H contains enough information.</w:t>
      </w:r>
      <w:r>
        <w:t xml:space="preserve"> </w:t>
      </w:r>
      <w:r>
        <w:rPr>
          <w:iCs/>
          <w:i/>
        </w:rPr>
        <w:t xml:space="preserve">Noising</w:t>
      </w:r>
      <w:r>
        <w:t xml:space="preserve"> </w:t>
      </w:r>
      <w:r>
        <w:t xml:space="preserve">(corrupted into clean) tests necessity—corrupting H degrades output, so H is in the causal chain. These are not symmetric and must be interpreted separately</w:t>
      </w:r>
      <w:r>
        <w:t xml:space="preserve"> </w:t>
      </w:r>
      <w:fldSimple w:instr="NOTEREF _Ref_Footnote_98 \h \f">
        <w:r>
          <w:rPr>
            <w:vertAlign w:val="superscript"/>
          </w:rPr>
          <w:t>98</w:t>
        </w:r>
      </w:fldSimple>
      <w:r>
        <w:t xml:space="preserve">.</w:t>
      </w:r>
    </w:p>
    <w:p>
      <w:pPr>
        <w:pStyle w:val="BodyText"/>
      </w:pPr>
      <w:r>
        <w:t xml:space="preserve">A systematic ICLR 2024 study established best practices</w:t>
      </w:r>
      <w:r>
        <w:t xml:space="preserve"> </w:t>
      </w:r>
      <w:fldSimple w:instr="NOTEREF _Ref_Footnote_97 \h \f">
        <w:r>
          <w:rPr>
            <w:vertAlign w:val="superscript"/>
          </w:rPr>
          <w:t>97</w:t>
        </w:r>
      </w:fldSimple>
      <w:r>
        <w:t xml:space="preserve">: Symmetric Token Replacement (STR) is preferred over Gaussian Noising, which puts the model off-distribution. Logit difference is preferred over probability because it detects</w:t>
      </w:r>
      <w:r>
        <w:t xml:space="preserve"> </w:t>
      </w:r>
      <w:r>
        <w:t xml:space="preserve">“</w:t>
      </w:r>
      <w:r>
        <w:t xml:space="preserve">negative</w:t>
      </w:r>
      <w:r>
        <w:t xml:space="preserve">”</w:t>
      </w:r>
      <w:r>
        <w:t xml:space="preserve"> </w:t>
      </w:r>
      <w:r>
        <w:t xml:space="preserve">components that actively suppress behavior—precisely the MLP6 case in Ode Triunfal, where ablation</w:t>
      </w:r>
      <w:r>
        <w:t xml:space="preserve"> </w:t>
      </w:r>
      <w:r>
        <w:rPr>
          <w:iCs/>
          <w:i/>
        </w:rPr>
        <w:t xml:space="preserve">raises</w:t>
      </w:r>
      <w:r>
        <w:t xml:space="preserve"> </w:t>
      </w:r>
      <w:r>
        <w:t xml:space="preserve">P(</w:t>
      </w:r>
      <w:r>
        <w:rPr>
          <w:iCs/>
          <w:i/>
        </w:rPr>
        <w:t xml:space="preserve">f</w:t>
      </w:r>
      <w:r>
        <w:t xml:space="preserve">). The choice of which tokens to corrupt significantly affects localization: corrupting different subject positions in Indirect Object Identification (IOI) tasks reveals different circuits</w:t>
      </w:r>
      <w:r>
        <w:t xml:space="preserve"> </w:t>
      </w:r>
      <w:fldSimple w:instr="NOTEREF _Ref_Footnote_97 \h \f">
        <w:r>
          <w:rPr>
            <w:vertAlign w:val="superscript"/>
          </w:rPr>
          <w:t>97</w:t>
        </w:r>
      </w:fldSimple>
      <w:r>
        <w:t xml:space="preserve">.</w:t>
      </w:r>
    </w:p>
    <w:bookmarkEnd w:id="74"/>
    <w:bookmarkStart w:id="75" w:name="Xb8758b6e1e320b9042a5320d22b1a67c3170f90"/>
    <w:p>
      <w:pPr>
        <w:pStyle w:val="Heading4"/>
      </w:pPr>
      <w:r>
        <w:t xml:space="preserve">5.2.2 Edge Attribution Patching (EAP): 2 Forward + 1 Backward Pass</w:t>
      </w:r>
    </w:p>
    <w:p>
      <w:pPr>
        <w:pStyle w:val="FirstParagraph"/>
      </w:pPr>
      <w:r>
        <w:t xml:space="preserve">Full activation patching requires one run per component, which is prohibitive for screening all heads and neurons in multi-layer models. Attribution patching computes effects for all components in two forward passes plus one backward pass</w:t>
      </w:r>
      <w:r>
        <w:t xml:space="preserve"> </w:t>
      </w:r>
      <w:fldSimple w:instr="NOTEREF _Ref_Footnote_12 \h \f">
        <w:r>
          <w:rPr>
            <w:vertAlign w:val="superscript"/>
          </w:rPr>
          <w:t>12</w:t>
        </w:r>
      </w:fldSimple>
      <w:r>
        <w:t xml:space="preserve"> </w:t>
      </w:r>
      <w:r>
        <w:rPr>
          <w:vertAlign w:val="superscript"/>
        </w:rPr>
        <w:footnoteReference w:id="99"/>
      </w:r>
      <w:r>
        <w:t xml:space="preserve">:</w:t>
      </w:r>
    </w:p>
    <w:p>
      <w:pPr>
        <w:pStyle w:val="BodyText"/>
      </w:pPr>
      <m:oMathPara>
        <m:oMathParaPr>
          <m:jc m:val="center"/>
        </m:oMathParaPr>
        <m:oMath>
          <m:r>
            <m:rPr>
              <m:nor/>
              <m:sty m:val="p"/>
            </m:rPr>
            <m:t>attribution_patch</m:t>
          </m:r>
          <m:r>
            <m:rPr>
              <m:sty m:val="p"/>
            </m:rPr>
            <m:t>=</m:t>
          </m:r>
          <m:d>
            <m:dPr>
              <m:begChr m:val="("/>
              <m:endChr m:val=")"/>
              <m:sepChr m:val=""/>
              <m:grow/>
            </m:dPr>
            <m:e>
              <m:r>
                <m:rPr>
                  <m:nor/>
                  <m:sty m:val="p"/>
                </m:rPr>
                <m:t>clean_act</m:t>
              </m:r>
              <m:r>
                <m:rPr>
                  <m:sty m:val="p"/>
                </m:rPr>
                <m:t>−</m:t>
              </m:r>
              <m:r>
                <m:rPr>
                  <m:nor/>
                  <m:sty m:val="p"/>
                </m:rPr>
                <m:t>corrupted_act</m:t>
              </m:r>
            </m:e>
          </m:d>
          <m:r>
            <m:rPr>
              <m:sty m:val="p"/>
            </m:rPr>
            <m:t>×</m:t>
          </m:r>
          <m:r>
            <m:rPr>
              <m:nor/>
              <m:sty m:val="p"/>
            </m:rPr>
            <m:t>corrupted_grad_act</m:t>
          </m:r>
        </m:oMath>
      </m:oMathPara>
    </w:p>
    <w:p>
      <w:pPr>
        <w:pStyle w:val="FirstParagraph"/>
      </w:pPr>
      <w:r>
        <w:t xml:space="preserve">This approximation is accurate for</w:t>
      </w:r>
      <w:r>
        <w:t xml:space="preserve"> </w:t>
      </w:r>
      <w:r>
        <w:t xml:space="preserve">“</w:t>
      </w:r>
      <w:r>
        <w:t xml:space="preserve">small</w:t>
      </w:r>
      <w:r>
        <w:t xml:space="preserve">”</w:t>
      </w:r>
      <w:r>
        <w:t xml:space="preserve"> </w:t>
      </w:r>
      <w:r>
        <w:t xml:space="preserve">activations (individual heads, single neurons) but breaks for entire residual streams</w:t>
      </w:r>
      <w:r>
        <w:t xml:space="preserve"> </w:t>
      </w:r>
      <w:fldSimple w:instr="NOTEREF _Ref_Footnote_12 \h \f">
        <w:r>
          <w:rPr>
            <w:vertAlign w:val="superscript"/>
          </w:rPr>
          <w:t>12</w:t>
        </w:r>
      </w:fldSimple>
      <w:r>
        <w:t xml:space="preserve">. Edge Attribution Patching (EAP) extends this to edges between components, outperforming automated discovery methods like ACDC in some settings</w:t>
      </w:r>
      <w:r>
        <w:t xml:space="preserve"> </w:t>
      </w:r>
      <w:r>
        <w:rPr>
          <w:vertAlign w:val="superscript"/>
        </w:rPr>
        <w:footnoteReference w:id="100"/>
      </w:r>
      <w:r>
        <w:t xml:space="preserve">. EAP is well-suited for tracing suppression circuits because it identifies not merely which components participate but which</w:t>
      </w:r>
      <w:r>
        <w:t xml:space="preserve"> </w:t>
      </w:r>
      <w:r>
        <w:rPr>
          <w:iCs/>
          <w:i/>
        </w:rPr>
        <w:t xml:space="preserve">pathways</w:t>
      </w:r>
      <w:r>
        <w:t xml:space="preserve"> </w:t>
      </w:r>
      <w:r>
        <w:t xml:space="preserve">carry suppressive signals.</w:t>
      </w:r>
    </w:p>
    <w:bookmarkEnd w:id="75"/>
    <w:bookmarkStart w:id="76" w:name="application-to-mlp6-suppression-tracing"/>
    <w:p>
      <w:pPr>
        <w:pStyle w:val="Heading4"/>
      </w:pPr>
      <w:r>
        <w:t xml:space="preserve">5.2.3 Application to MLP6 Suppression Tracing</w:t>
      </w:r>
    </w:p>
    <w:p>
      <w:pPr>
        <w:pStyle w:val="FirstParagraph"/>
      </w:pPr>
      <w:r>
        <w:t xml:space="preserve">Ode Triunfal provides a textbook activation-patching target. Ablating MLP6 raises P(</w:t>
      </w:r>
      <w:r>
        <w:rPr>
          <w:iCs/>
          <w:i/>
        </w:rPr>
        <w:t xml:space="preserve">f</w:t>
      </w:r>
      <w:r>
        <w:t xml:space="preserve">) from 0.20 to 0.37; bypassing layers 6–8 raises it to 0.34; negating MLP6 raises it to 0.507. Even at 50% P(</w:t>
      </w:r>
      <w:r>
        <w:rPr>
          <w:iCs/>
          <w:i/>
        </w:rPr>
        <w:t xml:space="preserve">f</w:t>
      </w:r>
      <w:r>
        <w:t xml:space="preserve">), greedy output remains Portuguese, indicating MLP6 is part of a suppression cascade</w:t>
      </w:r>
      <w:r>
        <w:t xml:space="preserve"> </w:t>
      </w:r>
      <w:fldSimple w:instr="NOTEREF _Ref_Footnote_85 \h \f">
        <w:r>
          <w:rPr>
            <w:vertAlign w:val="superscript"/>
          </w:rPr>
          <w:t>85</w:t>
        </w:r>
      </w:fldSimple>
      <w:r>
        <w:t xml:space="preserve"> </w:t>
      </w:r>
      <w:fldSimple w:instr="NOTEREF _Ref_Footnote_15 \h \f">
        <w:r>
          <w:rPr>
            <w:vertAlign w:val="superscript"/>
          </w:rPr>
          <w:t>15</w:t>
        </w:r>
      </w:fldSimple>
      <w:r>
        <w:t xml:space="preserve">.</w:t>
      </w:r>
    </w:p>
    <w:p>
      <w:pPr>
        <w:pStyle w:val="BodyText"/>
      </w:pPr>
      <w:r>
        <w:t xml:space="preserve">The recommended protocol: define clean =</w:t>
      </w:r>
      <w:r>
        <w:t xml:space="preserve"> </w:t>
      </w:r>
      <w:r>
        <w:rPr>
          <w:rStyle w:val="VerbatimChar"/>
        </w:rPr>
        <w:t xml:space="preserve">{</w:t>
      </w:r>
      <w:r>
        <w:t xml:space="preserve"> </w:t>
      </w:r>
      <w:r>
        <w:t xml:space="preserve">with normal generation, corrupted =</w:t>
      </w:r>
      <w:r>
        <w:t xml:space="preserve"> </w:t>
      </w:r>
      <w:r>
        <w:rPr>
          <w:rStyle w:val="VerbatimChar"/>
        </w:rPr>
        <w:t xml:space="preserve">{</w:t>
      </w:r>
      <w:r>
        <w:t xml:space="preserve"> </w:t>
      </w:r>
      <w:r>
        <w:t xml:space="preserve">with altered prefix. Apply noising to MLP6—corrupt its output on the clean run and measure P(</w:t>
      </w:r>
      <w:r>
        <w:rPr>
          <w:iCs/>
          <w:i/>
        </w:rPr>
        <w:t xml:space="preserve">f</w:t>
      </w:r>
      <w:r>
        <w:t xml:space="preserve">). If noising</w:t>
      </w:r>
      <w:r>
        <w:t xml:space="preserve"> </w:t>
      </w:r>
      <w:r>
        <w:rPr>
          <w:iCs/>
          <w:i/>
        </w:rPr>
        <w:t xml:space="preserve">increases</w:t>
      </w:r>
      <w:r>
        <w:t xml:space="preserve"> </w:t>
      </w:r>
      <w:r>
        <w:t xml:space="preserve">P(</w:t>
      </w:r>
      <w:r>
        <w:rPr>
          <w:iCs/>
          <w:i/>
        </w:rPr>
        <w:t xml:space="preserve">f</w:t>
      </w:r>
      <w:r>
        <w:t xml:space="preserve">) (consistent with ablation), MLP6 causally suppresses the flag token. Apply denoising from MLP6 to downstream components—restore its activation from clean to corrupted—and observe whether Portuguese output recovers, confirming sufficiency. Use path patching</w:t>
      </w:r>
      <w:r>
        <w:t xml:space="preserve"> </w:t>
      </w:r>
      <w:fldSimple w:instr="NOTEREF _Ref_Footnote_99 \h \f">
        <w:r>
          <w:rPr>
            <w:vertAlign w:val="superscript"/>
          </w:rPr>
          <w:t>99</w:t>
        </w:r>
      </w:fldSimple>
      <w:r>
        <w:t xml:space="preserve"> </w:t>
      </w:r>
      <w:r>
        <w:rPr>
          <w:vertAlign w:val="superscript"/>
        </w:rPr>
        <w:footnoteReference w:id="101"/>
      </w:r>
      <w:r>
        <w:t xml:space="preserve">to trace the MLP6-to-output connection, determining whether suppression operates via the residual stream or through modulation of attention queries/keys. The ACDC algorithm</w:t>
      </w:r>
      <w:r>
        <w:t xml:space="preserve"> </w:t>
      </w:r>
      <w:r>
        <w:rPr>
          <w:vertAlign w:val="superscript"/>
        </w:rPr>
        <w:footnoteReference w:id="102"/>
      </w:r>
      <w:r>
        <w:t xml:space="preserve">can automate edge-level discovery, having identified 68 of 32,000 edges in GPT-2 Small for IOI, all matching manually discovered circuits.</w:t>
      </w:r>
    </w:p>
    <w:bookmarkEnd w:id="76"/>
    <w:bookmarkEnd w:id="77"/>
    <w:bookmarkStart w:id="81" w:name="hidden-state-decoding"/>
    <w:p>
      <w:pPr>
        <w:pStyle w:val="Heading3"/>
      </w:pPr>
      <w:r>
        <w:t xml:space="preserve">5.3 Hidden State Decoding</w:t>
      </w:r>
    </w:p>
    <w:p>
      <w:pPr>
        <w:pStyle w:val="FirstParagraph"/>
      </w:pPr>
      <w:r>
        <w:t xml:space="preserve">Beyond causal tracing lies direct information extraction from hidden states. If flag text is encoded internally—as memorized sequence, distributional signal, or suppressed computation—specialized decoding can recover it without the standard output pathway.</w:t>
      </w:r>
    </w:p>
    <w:bookmarkStart w:id="78" w:name="embed-parrot-and-base-embed-inversion"/>
    <w:p>
      <w:pPr>
        <w:pStyle w:val="Heading4"/>
      </w:pPr>
      <w:r>
        <w:t xml:space="preserve">5.3.1 Embed Parrot and Base Embed Inversion</w:t>
      </w:r>
    </w:p>
    <w:p>
      <w:pPr>
        <w:pStyle w:val="FirstParagraph"/>
      </w:pPr>
      <w:r>
        <w:t xml:space="preserve">Base Embed Inversion (BEI) is the simplest decoding technique: pass hidden states through the language modeling head to recover original input</w:t>
      </w:r>
      <w:r>
        <w:t xml:space="preserve"> </w:t>
      </w:r>
      <w:r>
        <w:rPr>
          <w:vertAlign w:val="superscript"/>
        </w:rPr>
        <w:footnoteReference w:id="103"/>
      </w:r>
      <w:r>
        <w:t xml:space="preserve">. Wan et al. found that</w:t>
      </w:r>
      <w:r>
        <w:t xml:space="preserve"> </w:t>
      </w:r>
      <w:r>
        <w:t xml:space="preserve">“</w:t>
      </w:r>
      <w:r>
        <w:t xml:space="preserve">directly passing hidden states of any layer to the language modeling heads can to some extent recover the original input</w:t>
      </w:r>
      <w:r>
        <w:t xml:space="preserve">”</w:t>
      </w:r>
      <w:r>
        <w:t xml:space="preserve"> </w:t>
      </w:r>
      <w:fldSimple w:instr="NOTEREF _Ref_Footnote_103 \h \f">
        <w:r>
          <w:rPr>
            <w:vertAlign w:val="superscript"/>
          </w:rPr>
          <w:t>103</w:t>
        </w:r>
      </w:fldSimple>
      <w:r>
        <w:t xml:space="preserve">. However, effectiveness decreases for deeper layers. Hotmap Embed Inversion (HEI) improves upon BEI using cosine similarity in embedding space:</w:t>
      </w:r>
      <w:r>
        <w:t xml:space="preserve"> </w:t>
      </w:r>
      <m:oMath>
        <m:r>
          <m:rPr>
            <m:nor/>
            <m:sty m:val="p"/>
          </m:rPr>
          <m:t>HEI</m:t>
        </m:r>
        <m:d>
          <m:dPr>
            <m:begChr m:val="("/>
            <m:endChr m:val=")"/>
            <m:sepChr m:val=""/>
            <m:grow/>
          </m:dPr>
          <m:e>
            <m:sSup>
              <m:e>
                <m:r>
                  <m:rPr>
                    <m:sty m:val="b"/>
                  </m:rPr>
                  <m:t>H</m:t>
                </m:r>
              </m:e>
              <m:sup>
                <m:d>
                  <m:dPr>
                    <m:begChr m:val="("/>
                    <m:endChr m:val=")"/>
                    <m:sepChr m:val=""/>
                    <m:grow/>
                  </m:dPr>
                  <m:e>
                    <m:r>
                      <m:t>i</m:t>
                    </m:r>
                  </m:e>
                </m:d>
              </m:sup>
            </m:sSup>
          </m:e>
        </m:d>
        <m:r>
          <m:rPr>
            <m:sty m:val="p"/>
          </m:rPr>
          <m:t>=</m:t>
        </m:r>
        <m:r>
          <m:rPr>
            <m:nor/>
            <m:sty m:val="p"/>
          </m:rPr>
          <m:t>Decode</m:t>
        </m:r>
        <m:d>
          <m:dPr>
            <m:begChr m:val="("/>
            <m:endChr m:val=")"/>
            <m:sepChr m:val=""/>
            <m:grow/>
          </m:dPr>
          <m:e>
            <m:r>
              <m:rPr>
                <m:sty m:val="p"/>
              </m:rPr>
              <m:t>arg</m:t>
            </m:r>
            <m:r>
              <m:rPr>
                <m:sty m:val="p"/>
              </m:rPr>
              <m:t>max</m:t>
            </m:r>
            <m:d>
              <m:dPr>
                <m:begChr m:val="("/>
                <m:endChr m:val=")"/>
                <m:sepChr m:val=""/>
                <m:grow/>
              </m:dPr>
              <m:e>
                <m:r>
                  <m:rPr>
                    <m:sty m:val="p"/>
                  </m:rPr>
                  <m:t>cos</m:t>
                </m:r>
                <m:r>
                  <m:rPr>
                    <m:nor/>
                    <m:sty m:val="p"/>
                  </m:rPr>
                  <m:t>-sim</m:t>
                </m:r>
                <m:d>
                  <m:dPr>
                    <m:begChr m:val="("/>
                    <m:endChr m:val=")"/>
                    <m:sepChr m:val=""/>
                    <m:grow/>
                  </m:dPr>
                  <m:e>
                    <m:r>
                      <m:rPr>
                        <m:sty m:val="b"/>
                      </m:rPr>
                      <m:t>W</m:t>
                    </m:r>
                    <m:r>
                      <m:rPr>
                        <m:sty m:val="p"/>
                      </m:rPr>
                      <m:t>,</m:t>
                    </m:r>
                    <m:sSup>
                      <m:e>
                        <m:r>
                          <m:rPr>
                            <m:sty m:val="b"/>
                          </m:rPr>
                          <m:t>H</m:t>
                        </m:r>
                      </m:e>
                      <m:sup>
                        <m:d>
                          <m:dPr>
                            <m:begChr m:val="("/>
                            <m:endChr m:val=")"/>
                            <m:sepChr m:val=""/>
                            <m:grow/>
                          </m:dPr>
                          <m:e>
                            <m:r>
                              <m:t>i</m:t>
                            </m:r>
                          </m:e>
                        </m:d>
                      </m:sup>
                    </m:sSup>
                  </m:e>
                </m:d>
              </m:e>
            </m:d>
          </m:e>
        </m:d>
      </m:oMath>
      <w:r>
        <w:t xml:space="preserve"> </w:t>
      </w:r>
      <w:r>
        <w:rPr>
          <w:vertAlign w:val="superscript"/>
        </w:rPr>
        <w:footnoteReference w:id="104"/>
      </w:r>
      <w:r>
        <w:t xml:space="preserve">. Both are computationally cheap but depth-limited.</w:t>
      </w:r>
    </w:p>
    <w:p>
      <w:pPr>
        <w:pStyle w:val="BodyText"/>
      </w:pPr>
      <w:r>
        <w:t xml:space="preserve">Embed Parrot overcomes this limitation through a Transformer-based architecture trained to reconstruct inputs from deep-layer hidden states</w:t>
      </w:r>
      <w:r>
        <w:t xml:space="preserve"> </w:t>
      </w:r>
      <w:r>
        <w:rPr>
          <w:vertAlign w:val="superscript"/>
        </w:rPr>
        <w:footnoteReference w:id="105"/>
      </w:r>
      <w:r>
        <w:t xml:space="preserve">. Its three components—an Input-Adapter handling dimension mismatch, a GPT-2 XL decoder, and an Output-Adapter—minimize L2 distance to the original input embedding:</w:t>
      </w:r>
      <w:r>
        <w:t xml:space="preserve"> </w:t>
      </w:r>
      <m:oMath>
        <m:sSub>
          <m:e>
            <m:r>
              <m:rPr>
                <m:sty m:val="p"/>
              </m:rPr>
              <m:t>min</m:t>
            </m:r>
          </m:e>
          <m:sub>
            <m:r>
              <m:t>M</m:t>
            </m:r>
          </m:sub>
        </m:sSub>
        <m:r>
          <m:rPr>
            <m:sty m:val="p"/>
          </m:rPr>
          <m:t>∥</m:t>
        </m:r>
        <m:sSubSup>
          <m:e>
            <m:r>
              <m:rPr>
                <m:sty m:val="b"/>
              </m:rPr>
              <m:t>H</m:t>
            </m:r>
          </m:e>
          <m:sub>
            <m:r>
              <m:t>y</m:t>
            </m:r>
          </m:sub>
          <m:sup>
            <m:r>
              <m:t>i</m:t>
            </m:r>
          </m:sup>
        </m:sSubSup>
        <m:r>
          <m:rPr>
            <m:sty m:val="p"/>
          </m:rPr>
          <m:t>−</m:t>
        </m:r>
        <m:sSubSup>
          <m:e>
            <m:r>
              <m:rPr>
                <m:sty m:val="b"/>
              </m:rPr>
              <m:t>H</m:t>
            </m:r>
          </m:e>
          <m:sub>
            <m:r>
              <m:t>x</m:t>
            </m:r>
          </m:sub>
          <m:sup>
            <m:r>
              <m:t>0</m:t>
            </m:r>
          </m:sup>
        </m:sSubSup>
        <m:r>
          <m:rPr>
            <m:sty m:val="p"/>
          </m:rPr>
          <m:t>∥</m:t>
        </m:r>
      </m:oMath>
      <w:r>
        <w:t xml:space="preserve"> </w:t>
      </w:r>
      <w:fldSimple w:instr="NOTEREF _Ref_Footnote_105 \h \f">
        <w:r>
          <w:rPr>
            <w:vertAlign w:val="superscript"/>
          </w:rPr>
          <w:t>105</w:t>
        </w:r>
      </w:fldSimple>
      <w:r>
        <w:t xml:space="preserve">. Tested on ChatGLM-6B and Llama2-7B, it reconstructs inputs at depths where BEI and HEI fail, with stable performance across token lengths</w:t>
      </w:r>
      <w:r>
        <w:t xml:space="preserve"> </w:t>
      </w:r>
      <w:fldSimple w:instr="NOTEREF _Ref_Footnote_105 \h \f">
        <w:r>
          <w:rPr>
            <w:vertAlign w:val="superscript"/>
          </w:rPr>
          <w:t>105</w:t>
        </w:r>
      </w:fldSimple>
      <w:r>
        <w:t xml:space="preserve">. For CTFs, this demonstrates that deep-layer hidden states retain substantial input information—including potentially embedded flags—and dedicated reconstruction models can recover text linear projection cannot.</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Method</w:t>
            </w:r>
          </w:p>
        </w:tc>
        <w:tc>
          <w:tcPr/>
          <w:p>
            <w:pPr>
              <w:pStyle w:val="Compact"/>
              <w:jc w:val="left"/>
            </w:pPr>
            <w:r>
              <w:t xml:space="preserve">Architecture</w:t>
            </w:r>
          </w:p>
        </w:tc>
        <w:tc>
          <w:tcPr/>
          <w:p>
            <w:pPr>
              <w:pStyle w:val="Compact"/>
              <w:jc w:val="left"/>
            </w:pPr>
            <w:r>
              <w:t xml:space="preserve">Deep-Layer Perf.</w:t>
            </w:r>
          </w:p>
        </w:tc>
        <w:tc>
          <w:tcPr/>
          <w:p>
            <w:pPr>
              <w:pStyle w:val="Compact"/>
              <w:jc w:val="left"/>
            </w:pPr>
            <w:r>
              <w:t xml:space="preserve">Training Required</w:t>
            </w:r>
          </w:p>
        </w:tc>
        <w:tc>
          <w:tcPr/>
          <w:p>
            <w:pPr>
              <w:pStyle w:val="Compact"/>
              <w:jc w:val="left"/>
            </w:pPr>
            <w:r>
              <w:t xml:space="preserve">Computational Cost</w:t>
            </w:r>
          </w:p>
        </w:tc>
      </w:tr>
      <w:tr>
        <w:tc>
          <w:tcPr/>
          <w:p>
            <w:pPr>
              <w:pStyle w:val="Compact"/>
              <w:jc w:val="left"/>
            </w:pPr>
            <w:r>
              <w:t xml:space="preserve">BEI</w:t>
            </w:r>
          </w:p>
        </w:tc>
        <w:tc>
          <w:tcPr/>
          <w:p>
            <w:pPr>
              <w:pStyle w:val="Compact"/>
              <w:jc w:val="left"/>
            </w:pPr>
            <w:r>
              <w:t xml:space="preserve">LM head (softmax + argmax)</w:t>
            </w:r>
          </w:p>
        </w:tc>
        <w:tc>
          <w:tcPr/>
          <w:p>
            <w:pPr>
              <w:pStyle w:val="Compact"/>
              <w:jc w:val="left"/>
            </w:pPr>
            <w:r>
              <w:t xml:space="preserve">Poor—degrades with depth</w:t>
            </w:r>
            <w:r>
              <w:t xml:space="preserve"> </w:t>
            </w:r>
            <w:fldSimple w:instr="NOTEREF _Ref_Footnote_103 \h \f">
              <w:r>
                <w:rPr>
                  <w:vertAlign w:val="superscript"/>
                </w:rPr>
                <w:t>103</w:t>
              </w:r>
            </w:fldSimple>
          </w:p>
        </w:tc>
        <w:tc>
          <w:tcPr/>
          <w:p>
            <w:pPr>
              <w:pStyle w:val="Compact"/>
              <w:jc w:val="left"/>
            </w:pPr>
            <w:r>
              <w:t xml:space="preserve">None</w:t>
            </w:r>
          </w:p>
        </w:tc>
        <w:tc>
          <w:tcPr/>
          <w:p>
            <w:pPr>
              <w:pStyle w:val="Compact"/>
              <w:jc w:val="left"/>
            </w:pPr>
            <w:r>
              <w:t xml:space="preserve">Negligible</w:t>
            </w:r>
          </w:p>
        </w:tc>
      </w:tr>
      <w:tr>
        <w:tc>
          <w:tcPr/>
          <w:p>
            <w:pPr>
              <w:pStyle w:val="Compact"/>
              <w:jc w:val="left"/>
            </w:pPr>
            <w:r>
              <w:t xml:space="preserve">HEI</w:t>
            </w:r>
          </w:p>
        </w:tc>
        <w:tc>
          <w:tcPr/>
          <w:p>
            <w:pPr>
              <w:pStyle w:val="Compact"/>
              <w:jc w:val="left"/>
            </w:pPr>
            <w:r>
              <w:t xml:space="preserve">Cosine similarity in embedding space</w:t>
            </w:r>
          </w:p>
        </w:tc>
        <w:tc>
          <w:tcPr/>
          <w:p>
            <w:pPr>
              <w:pStyle w:val="Compact"/>
              <w:jc w:val="left"/>
            </w:pPr>
            <w:r>
              <w:t xml:space="preserve">Poor—similar to BEI</w:t>
            </w:r>
            <w:r>
              <w:t xml:space="preserve"> </w:t>
            </w:r>
            <w:fldSimple w:instr="NOTEREF _Ref_Footnote_104 \h \f">
              <w:r>
                <w:rPr>
                  <w:vertAlign w:val="superscript"/>
                </w:rPr>
                <w:t>104</w:t>
              </w:r>
            </w:fldSimple>
          </w:p>
        </w:tc>
        <w:tc>
          <w:tcPr/>
          <w:p>
            <w:pPr>
              <w:pStyle w:val="Compact"/>
              <w:jc w:val="left"/>
            </w:pPr>
            <w:r>
              <w:t xml:space="preserve">None</w:t>
            </w:r>
          </w:p>
        </w:tc>
        <w:tc>
          <w:tcPr/>
          <w:p>
            <w:pPr>
              <w:pStyle w:val="Compact"/>
              <w:jc w:val="left"/>
            </w:pPr>
            <w:r>
              <w:t xml:space="preserve">Negligible</w:t>
            </w:r>
          </w:p>
        </w:tc>
      </w:tr>
      <w:tr>
        <w:tc>
          <w:tcPr/>
          <w:p>
            <w:pPr>
              <w:pStyle w:val="Compact"/>
              <w:jc w:val="left"/>
            </w:pPr>
            <w:r>
              <w:t xml:space="preserve">Embed Parrot</w:t>
            </w:r>
          </w:p>
        </w:tc>
        <w:tc>
          <w:tcPr/>
          <w:p>
            <w:pPr>
              <w:pStyle w:val="Compact"/>
              <w:jc w:val="left"/>
            </w:pPr>
            <w:r>
              <w:t xml:space="preserve">Transformer decoder (GPT-2 XL)</w:t>
            </w:r>
          </w:p>
        </w:tc>
        <w:tc>
          <w:tcPr/>
          <w:p>
            <w:pPr>
              <w:pStyle w:val="Compact"/>
              <w:jc w:val="left"/>
            </w:pPr>
            <w:r>
              <w:t xml:space="preserve">Excellent—stable across depths</w:t>
            </w:r>
            <w:r>
              <w:t xml:space="preserve"> </w:t>
            </w:r>
            <w:fldSimple w:instr="NOTEREF _Ref_Footnote_105 \h \f">
              <w:r>
                <w:rPr>
                  <w:vertAlign w:val="superscript"/>
                </w:rPr>
                <w:t>105</w:t>
              </w:r>
            </w:fldSimple>
          </w:p>
        </w:tc>
        <w:tc>
          <w:tcPr/>
          <w:p>
            <w:pPr>
              <w:pStyle w:val="Compact"/>
              <w:jc w:val="left"/>
            </w:pPr>
            <w:r>
              <w:t xml:space="preserve">Dedicated decoder</w:t>
            </w:r>
          </w:p>
        </w:tc>
        <w:tc>
          <w:tcPr/>
          <w:p>
            <w:pPr>
              <w:pStyle w:val="Compact"/>
              <w:jc w:val="left"/>
            </w:pPr>
            <w:r>
              <w:t xml:space="preserve">High (full transformer)</w:t>
            </w:r>
          </w:p>
        </w:tc>
      </w:tr>
      <w:tr>
        <w:tc>
          <w:tcPr/>
          <w:p>
            <w:pPr>
              <w:pStyle w:val="Compact"/>
              <w:jc w:val="left"/>
            </w:pPr>
            <w:r>
              <w:t xml:space="preserve">Sparse Autoencoder</w:t>
            </w:r>
          </w:p>
        </w:tc>
        <w:tc>
          <w:tcPr/>
          <w:p>
            <w:pPr>
              <w:pStyle w:val="Compact"/>
              <w:jc w:val="left"/>
            </w:pPr>
            <w:r>
              <w:t xml:space="preserve">ReLU autoencoder with L1 sparsity</w:t>
            </w:r>
          </w:p>
        </w:tc>
        <w:tc>
          <w:tcPr/>
          <w:p>
            <w:pPr>
              <w:pStyle w:val="Compact"/>
              <w:jc w:val="left"/>
            </w:pPr>
            <w:r>
              <w:t xml:space="preserve">Good—feature decomposition</w:t>
            </w:r>
            <w:r>
              <w:t xml:space="preserve"> </w:t>
            </w:r>
            <w:r>
              <w:rPr>
                <w:vertAlign w:val="superscript"/>
              </w:rPr>
              <w:footnoteReference w:id="106"/>
            </w:r>
          </w:p>
        </w:tc>
        <w:tc>
          <w:tcPr/>
          <w:p>
            <w:pPr>
              <w:pStyle w:val="Compact"/>
              <w:jc w:val="left"/>
            </w:pPr>
            <w:r>
              <w:t xml:space="preserve">Autoencoder training</w:t>
            </w:r>
          </w:p>
        </w:tc>
        <w:tc>
          <w:tcPr/>
          <w:p>
            <w:pPr>
              <w:pStyle w:val="Compact"/>
              <w:jc w:val="left"/>
            </w:pPr>
            <w:r>
              <w:t xml:space="preserve">High (dictionary learning)</w:t>
            </w:r>
          </w:p>
        </w:tc>
      </w:tr>
    </w:tbl>
    <w:p>
      <w:pPr>
        <w:pStyle w:val="BodyText"/>
      </w:pPr>
      <w:r>
        <w:t xml:space="preserve">The table reveals a fundamental trade-off: linear methods (BEI, HEI) are fast and training-free but depth-limited; learned methods require investment but access information at depths where linear methods fail. For Ode Triunfal, where projecting hidden states to vocabulary</w:t>
      </w:r>
      <w:r>
        <w:t xml:space="preserve"> </w:t>
      </w:r>
      <w:r>
        <w:t xml:space="preserve">“</w:t>
      </w:r>
      <w:r>
        <w:t xml:space="preserve">yielded nothing readable,</w:t>
      </w:r>
      <w:r>
        <w:t xml:space="preserve">”</w:t>
      </w:r>
      <w:r>
        <w:t xml:space="preserve"> </w:t>
      </w:r>
      <w:r>
        <w:t xml:space="preserve">the evidence suggests linear projection is insufficient and learned decoders are warranted</w:t>
      </w:r>
      <w:r>
        <w:t xml:space="preserve"> </w:t>
      </w:r>
      <w:fldSimple w:instr="NOTEREF _Ref_Footnote_85 \h \f">
        <w:r>
          <w:rPr>
            <w:vertAlign w:val="superscript"/>
          </w:rPr>
          <w:t>85</w:t>
        </w:r>
      </w:fldSimple>
      <w:r>
        <w:t xml:space="preserve"> </w:t>
      </w:r>
      <w:fldSimple w:instr="NOTEREF _Ref_Footnote_94 \h \f">
        <w:r>
          <w:rPr>
            <w:vertAlign w:val="superscript"/>
          </w:rPr>
          <w:t>94</w:t>
        </w:r>
      </w:fldSimple>
      <w:r>
        <w:t xml:space="preserve">.</w:t>
      </w:r>
    </w:p>
    <w:bookmarkEnd w:id="78"/>
    <w:bookmarkStart w:id="79" w:name="X3e1126c1f1ef191886416dae42022ba9b15192f"/>
    <w:p>
      <w:pPr>
        <w:pStyle w:val="Heading4"/>
      </w:pPr>
      <w:r>
        <w:t xml:space="preserve">5.3.2 Nonlinear Probe Training for Flag Text Recovery</w:t>
      </w:r>
    </w:p>
    <w:p>
      <w:pPr>
        <w:pStyle w:val="FirstParagraph"/>
      </w:pPr>
      <w:r>
        <w:t xml:space="preserve">Linear probes train classifiers on hidden states to extract concepts</w:t>
      </w:r>
      <w:r>
        <w:t xml:space="preserve"> </w:t>
      </w:r>
      <w:r>
        <w:rPr>
          <w:vertAlign w:val="superscript"/>
        </w:rPr>
        <w:footnoteReference w:id="107"/>
      </w:r>
      <w:r>
        <w:t xml:space="preserve">, but nonlinear probes access features invisible to linear ones. A study using a 2-layer MLP with SiLU and just 10 hidden neurons (Linear(5376, 10) → SiLU → Linear(10, 1)) achieved 117/198 accuracy on predicting whether additional computation would help or hurt performance, identifying a 107-dimensional feature fully readable without nonlinearity per Cover’s theorem bounds</w:t>
      </w:r>
      <w:r>
        <w:t xml:space="preserve"> </w:t>
      </w:r>
      <w:fldSimple w:instr="NOTEREF _Ref_Footnote_94 \h \f">
        <w:r>
          <w:rPr>
            <w:vertAlign w:val="superscript"/>
          </w:rPr>
          <w:t>94</w:t>
        </w:r>
      </w:fldSimple>
      <w:r>
        <w:t xml:space="preserve">.</w:t>
      </w:r>
    </w:p>
    <w:p>
      <w:pPr>
        <w:pStyle w:val="BodyText"/>
      </w:pPr>
      <w:r>
        <w:t xml:space="preserve">For flag extraction, the protocol is: extract post-layer-normalization hidden states</w:t>
      </w:r>
      <w:r>
        <w:t xml:space="preserve"> </w:t>
      </w:r>
      <w:fldSimple w:instr="NOTEREF _Ref_Footnote_107 \h \f">
        <w:r>
          <w:rPr>
            <w:vertAlign w:val="superscript"/>
          </w:rPr>
          <w:t>107</w:t>
        </w:r>
      </w:fldSimple>
      <w:r>
        <w:t xml:space="preserve">; construct labeled datasets of flag-format (</w:t>
      </w:r>
      <w:r>
        <w:rPr>
          <w:rStyle w:val="VerbatimChar"/>
        </w:rPr>
        <w:t xml:space="preserve">flag{...}</w:t>
      </w:r>
      <w:r>
        <w:t xml:space="preserve">) versus non-flag sequences; train a small MLP probe to classify flag presence with cross-validation and hyperparameter search</w:t>
      </w:r>
      <w:r>
        <w:t xml:space="preserve"> </w:t>
      </w:r>
      <w:r>
        <w:rPr>
          <w:vertAlign w:val="superscript"/>
        </w:rPr>
        <w:footnoteReference w:id="108"/>
      </w:r>
      <w:r>
        <w:t xml:space="preserve">. Even 10-neuron probes identify low-dimensional structure in high-dimensional hidden states that may encode flag characters when full vocabulary projection shows no readable text. The memTrace framework corroborates this: membership signals are</w:t>
      </w:r>
      <w:r>
        <w:t xml:space="preserve"> </w:t>
      </w:r>
      <w:r>
        <w:t xml:space="preserve">“</w:t>
      </w:r>
      <w:r>
        <w:t xml:space="preserve">strongly encoded in models’ internal representations, even when output distributions show minimal differences,</w:t>
      </w:r>
      <w:r>
        <w:t xml:space="preserve">”</w:t>
      </w:r>
      <w:r>
        <w:t xml:space="preserve"> </w:t>
      </w:r>
      <w:r>
        <w:t xml:space="preserve">with deeper layers harboring stronger signals and lightweight classifiers achieving 0.85 AUC on membership inference</w:t>
      </w:r>
      <w:r>
        <w:t xml:space="preserve"> </w:t>
      </w:r>
      <w:r>
        <w:rPr>
          <w:vertAlign w:val="superscript"/>
        </w:rPr>
        <w:footnoteReference w:id="109"/>
      </w:r>
      <w:r>
        <w:t xml:space="preserve">.</w:t>
      </w:r>
    </w:p>
    <w:bookmarkEnd w:id="79"/>
    <w:bookmarkStart w:id="80" w:name="Xeb8947eec06102b394345daea32e1e826635c12"/>
    <w:p>
      <w:pPr>
        <w:pStyle w:val="Heading4"/>
      </w:pPr>
      <w:r>
        <w:t xml:space="preserve">5.3.3 Differential Hidden State Analysis: Normal vs. Ablated Runs</w:t>
      </w:r>
    </w:p>
    <w:p>
      <w:pPr>
        <w:pStyle w:val="FirstParagraph"/>
      </w:pPr>
      <w:r>
        <w:t xml:space="preserve">The most immediately applicable technique for Ode Triunfal is differential analysis between normal and ablated runs. Since ablating MLP6 substantially changes the output distribution (P(</w:t>
      </w:r>
      <w:r>
        <w:rPr>
          <w:iCs/>
          <w:i/>
        </w:rPr>
        <w:t xml:space="preserve">f</w:t>
      </w:r>
      <w:r>
        <w:t xml:space="preserve">) → 0.507), hidden state trajectories diverge significantly. Computing</w:t>
      </w:r>
      <w:r>
        <w:t xml:space="preserve"> </w:t>
      </w:r>
      <m:oMath>
        <m:r>
          <m:t>Δ</m:t>
        </m:r>
        <m:sSup>
          <m:e>
            <m:r>
              <m:rPr>
                <m:sty m:val="b"/>
              </m:rPr>
              <m:t>h</m:t>
            </m:r>
          </m:e>
          <m:sup>
            <m:d>
              <m:dPr>
                <m:begChr m:val="("/>
                <m:endChr m:val=")"/>
                <m:sepChr m:val=""/>
                <m:grow/>
              </m:dPr>
              <m:e>
                <m:r>
                  <m:t>l</m:t>
                </m:r>
              </m:e>
            </m:d>
          </m:sup>
        </m:sSup>
        <m:r>
          <m:rPr>
            <m:sty m:val="p"/>
          </m:rPr>
          <m:t>=</m:t>
        </m:r>
        <m:sSubSup>
          <m:e>
            <m:r>
              <m:rPr>
                <m:sty m:val="b"/>
              </m:rPr>
              <m:t>h</m:t>
            </m:r>
          </m:e>
          <m:sub>
            <m:r>
              <m:rPr>
                <m:nor/>
                <m:sty m:val="p"/>
              </m:rPr>
              <m:t>ablated</m:t>
            </m:r>
          </m:sub>
          <m:sup>
            <m:d>
              <m:dPr>
                <m:begChr m:val="("/>
                <m:endChr m:val=")"/>
                <m:sepChr m:val=""/>
                <m:grow/>
              </m:dPr>
              <m:e>
                <m:r>
                  <m:t>l</m:t>
                </m:r>
              </m:e>
            </m:d>
          </m:sup>
        </m:sSubSup>
        <m:r>
          <m:rPr>
            <m:sty m:val="p"/>
          </m:rPr>
          <m:t>−</m:t>
        </m:r>
        <m:sSubSup>
          <m:e>
            <m:r>
              <m:rPr>
                <m:sty m:val="b"/>
              </m:rPr>
              <m:t>h</m:t>
            </m:r>
          </m:e>
          <m:sub>
            <m:r>
              <m:rPr>
                <m:nor/>
                <m:sty m:val="p"/>
              </m:rPr>
              <m:t>normal</m:t>
            </m:r>
          </m:sub>
          <m:sup>
            <m:d>
              <m:dPr>
                <m:begChr m:val="("/>
                <m:endChr m:val=")"/>
                <m:sepChr m:val=""/>
                <m:grow/>
              </m:dPr>
              <m:e>
                <m:r>
                  <m:t>l</m:t>
                </m:r>
              </m:e>
            </m:d>
          </m:sup>
        </m:sSubSup>
      </m:oMath>
      <w:r>
        <w:t xml:space="preserve"> </w:t>
      </w:r>
      <w:r>
        <w:t xml:space="preserve">at each layer and projecting these differences to vocabulary space may reveal signals invisible in either run individually.</w:t>
      </w:r>
    </w:p>
    <w:p>
      <w:pPr>
        <w:pStyle w:val="BodyText"/>
      </w:pPr>
      <w:r>
        <w:t xml:space="preserve">This draws on the residual stream framework</w:t>
      </w:r>
      <w:r>
        <w:t xml:space="preserve"> </w:t>
      </w:r>
      <w:r>
        <w:rPr>
          <w:vertAlign w:val="superscript"/>
        </w:rPr>
        <w:footnoteReference w:id="110"/>
      </w:r>
      <w:r>
        <w:t xml:space="preserve"> </w:t>
      </w:r>
      <w:r>
        <w:rPr>
          <w:vertAlign w:val="superscript"/>
        </w:rPr>
        <w:footnoteReference w:id="111"/>
      </w:r>
      <w:r>
        <w:t xml:space="preserve">, which views transformers as reading from and writing to a shared communication channel where different subspaces carry different information types—some affecting predictions directly, others serving as</w:t>
      </w:r>
      <w:r>
        <w:t xml:space="preserve"> </w:t>
      </w:r>
      <w:r>
        <w:t xml:space="preserve">“</w:t>
      </w:r>
      <w:r>
        <w:t xml:space="preserve">internal communication</w:t>
      </w:r>
      <w:r>
        <w:t xml:space="preserve">”</w:t>
      </w:r>
      <w:r>
        <w:t xml:space="preserve"> </w:t>
      </w:r>
      <w:r>
        <w:t xml:space="preserve">or</w:t>
      </w:r>
      <w:r>
        <w:t xml:space="preserve"> </w:t>
      </w:r>
      <w:r>
        <w:t xml:space="preserve">“</w:t>
      </w:r>
      <w:r>
        <w:t xml:space="preserve">metadata</w:t>
      </w:r>
      <w:r>
        <w:t xml:space="preserve">”</w:t>
      </w:r>
      <w:r>
        <w:t xml:space="preserve"> </w:t>
      </w:r>
      <w:fldSimple w:instr="NOTEREF _Ref_Footnote_111 \h \f">
        <w:r>
          <w:rPr>
            <w:vertAlign w:val="superscript"/>
          </w:rPr>
          <w:t>111</w:t>
        </w:r>
      </w:fldSimple>
      <w:r>
        <w:t xml:space="preserve"> </w:t>
      </w:r>
      <w:r>
        <w:rPr>
          <w:vertAlign w:val="superscript"/>
        </w:rPr>
        <w:footnoteReference w:id="112"/>
      </w:r>
      <w:r>
        <w:t xml:space="preserve">. The MLP6 suppression circuit likely writes to a specific subspace counteracting flag signals; differential analysis isolates this subspace by examining exactly what changes when suppression is removed.</w:t>
      </w:r>
    </w:p>
    <w:p>
      <w:pPr>
        <w:pStyle w:val="BodyText"/>
      </w:pPr>
      <w:r>
        <w:t xml:space="preserve">The practical protocol: run the model with</w:t>
      </w:r>
      <w:r>
        <w:t xml:space="preserve"> </w:t>
      </w:r>
      <w:r>
        <w:rPr>
          <w:rStyle w:val="VerbatimChar"/>
        </w:rPr>
        <w:t xml:space="preserve">output_hidden_states=True</w:t>
      </w:r>
      <w:r>
        <w:t xml:space="preserve"> </w:t>
      </w:r>
      <w:r>
        <w:rPr>
          <w:vertAlign w:val="superscript"/>
        </w:rPr>
        <w:footnoteReference w:id="113"/>
      </w:r>
      <w:r>
        <w:t xml:space="preserve"> </w:t>
      </w:r>
      <w:r>
        <w:rPr>
          <w:vertAlign w:val="superscript"/>
        </w:rPr>
        <w:footnoteReference w:id="114"/>
      </w:r>
      <w:r>
        <w:t xml:space="preserve">in normal and MLP6-ablated configurations; compute layer-wise</w:t>
      </w:r>
      <w:r>
        <w:t xml:space="preserve"> </w:t>
      </w:r>
      <m:oMath>
        <m:r>
          <m:t>Δ</m:t>
        </m:r>
        <m:sSup>
          <m:e>
            <m:r>
              <m:rPr>
                <m:sty m:val="b"/>
              </m:rPr>
              <m:t>h</m:t>
            </m:r>
          </m:e>
          <m:sup>
            <m:d>
              <m:dPr>
                <m:begChr m:val="("/>
                <m:endChr m:val=")"/>
                <m:sepChr m:val=""/>
                <m:grow/>
              </m:dPr>
              <m:e>
                <m:r>
                  <m:t>l</m:t>
                </m:r>
              </m:e>
            </m:d>
          </m:sup>
        </m:sSup>
      </m:oMath>
      <w:r>
        <w:t xml:space="preserve">; apply tuned-lens projection (not raw unembedding) to account for drift</w:t>
      </w:r>
      <w:r>
        <w:t xml:space="preserve"> </w:t>
      </w:r>
      <w:fldSimple w:instr="NOTEREF _Ref_Footnote_85 \h \f">
        <w:r>
          <w:rPr>
            <w:vertAlign w:val="superscript"/>
          </w:rPr>
          <w:t>85</w:t>
        </w:r>
      </w:fldSimple>
      <w:r>
        <w:t xml:space="preserve">; scan for ASCII-printable characters and flag-format patterns. The anomalous</w:t>
      </w:r>
      <w:r>
        <w:t xml:space="preserve"> </w:t>
      </w:r>
      <w:r>
        <w:rPr>
          <w:rStyle w:val="VerbatimChar"/>
        </w:rPr>
        <w:t xml:space="preserve">*</w:t>
      </w:r>
      <w:r>
        <w:t xml:space="preserve"> </w:t>
      </w:r>
      <w:r>
        <w:t xml:space="preserve">at 12.5% in layer 4 logits—unusual for Portuguese—suggests differential anomalies contain extractable information</w:t>
      </w:r>
      <w:r>
        <w:t xml:space="preserve"> </w:t>
      </w:r>
      <w:fldSimple w:instr="NOTEREF _Ref_Footnote_88 \h \f">
        <w:r>
          <w:rPr>
            <w:vertAlign w:val="superscript"/>
          </w:rPr>
          <w:t>88</w:t>
        </w:r>
      </w:fldSimple>
      <w:r>
        <w:t xml:space="preserve">. Complementing with EAP to trace the MLP6-to-output path and nonlinear probes on</w:t>
      </w:r>
      <w:r>
        <w:t xml:space="preserve"> </w:t>
      </w:r>
      <m:oMath>
        <m:r>
          <m:t>Δ</m:t>
        </m:r>
        <m:sSup>
          <m:e>
            <m:r>
              <m:rPr>
                <m:sty m:val="b"/>
              </m:rPr>
              <m:t>h</m:t>
            </m:r>
          </m:e>
          <m:sup>
            <m:d>
              <m:dPr>
                <m:begChr m:val="("/>
                <m:endChr m:val=")"/>
                <m:sepChr m:val=""/>
                <m:grow/>
              </m:dPr>
              <m:e>
                <m:r>
                  <m:t>l</m:t>
                </m:r>
              </m:e>
            </m:d>
          </m:sup>
        </m:sSup>
      </m:oMath>
      <w:r>
        <w:t xml:space="preserve"> </w:t>
      </w:r>
      <w:r>
        <w:t xml:space="preserve">provides a multi-pronged approach to recovering flag text even when standard decoding produces only Portuguese.</w:t>
      </w:r>
    </w:p>
    <w:p>
      <w:r>
        <w:pict>
          <v:rect style="width:0;height:1.5pt" o:hralign="center" o:hrstd="t" o:hr="t"/>
        </w:pict>
      </w:r>
    </w:p>
    <w:bookmarkEnd w:id="80"/>
    <w:bookmarkEnd w:id="81"/>
    <w:bookmarkEnd w:id="82"/>
    <w:bookmarkStart w:id="98" w:name="Xcfd8b864bb0c5acd1472249b23083a00d4cd29d"/>
    <w:p>
      <w:pPr>
        <w:pStyle w:val="Heading2"/>
      </w:pPr>
      <w:r>
        <w:t xml:space="preserve">6. Adversarial Optimization &amp; Circuit Manipulation</w:t>
      </w:r>
    </w:p>
    <w:p>
      <w:pPr>
        <w:pStyle w:val="FirstParagraph"/>
      </w:pPr>
      <w:r>
        <w:t xml:space="preserve">The extraction of a hidden flag from a frozen language model sits at the intersection of two complementary technical disciplines: gradient-based adversarial optimization, which searches the input space for prompts that elicit target outputs, and mechanistic circuit manipulation, which intervenes on internal model components to bypass suppression mechanisms. This chapter surveys both approaches, synthesizing findings from the GCG algorithm family, suppression bypass techniques, circuit-level interventions, and prior CTF competition precedents to construct a unified operational framework for challenges such as Ode Triunfal.</w:t>
      </w:r>
    </w:p>
    <w:bookmarkStart w:id="86" w:name="gcg-and-variants"/>
    <w:p>
      <w:pPr>
        <w:pStyle w:val="Heading3"/>
      </w:pPr>
      <w:r>
        <w:t xml:space="preserve">6.1 GCG and Variants</w:t>
      </w:r>
    </w:p>
    <w:bookmarkStart w:id="83" w:name="Xb75c5fb7c3c2d4401725ad5d70f40349e024d88"/>
    <w:p>
      <w:pPr>
        <w:pStyle w:val="Heading4"/>
      </w:pPr>
      <w:r>
        <w:t xml:space="preserve">6.1.1 GCG Fundamentals: 88% ASR on Exact String Matching</w:t>
      </w:r>
    </w:p>
    <w:p>
      <w:pPr>
        <w:pStyle w:val="FirstParagraph"/>
      </w:pPr>
      <w:r>
        <w:t xml:space="preserve">The Greedy Coordinate Gradient (GCG) algorithm, introduced by Zou et al. in 2023, remains the foundational white-box method for adversarially optimizing discrete token sequences to elicit desired outputs from language models</w:t>
      </w:r>
      <w:r>
        <w:t xml:space="preserve"> </w:t>
      </w:r>
      <w:r>
        <w:rPr>
          <w:vertAlign w:val="superscript"/>
        </w:rPr>
        <w:footnoteReference w:id="115"/>
      </w:r>
      <w:r>
        <w:t xml:space="preserve">. GCG addresses the high-dimensional discrete optimization problem of finding a suffix</w:t>
      </w:r>
      <w:r>
        <w:t xml:space="preserve"> </w:t>
      </w:r>
      <m:oMath>
        <m:r>
          <m:t>S</m:t>
        </m:r>
        <m:r>
          <m:rPr>
            <m:sty m:val="p"/>
          </m:rPr>
          <m:t>=</m:t>
        </m:r>
        <m:d>
          <m:dPr>
            <m:begChr m:val="("/>
            <m:endChr m:val=")"/>
            <m:sepChr m:val=""/>
            <m:grow/>
          </m:dPr>
          <m:e>
            <m:sSub>
              <m:e>
                <m:r>
                  <m:t>s</m:t>
                </m:r>
              </m:e>
              <m:sub>
                <m:r>
                  <m:t>1</m:t>
                </m:r>
              </m:sub>
            </m:sSub>
            <m:r>
              <m:rPr>
                <m:sty m:val="p"/>
              </m:rPr>
              <m:t>,</m:t>
            </m:r>
            <m:r>
              <m:rPr>
                <m:sty m:val="p"/>
              </m:rPr>
              <m:t>…</m:t>
            </m:r>
            <m:r>
              <m:rPr>
                <m:sty m:val="p"/>
              </m:rPr>
              <m:t>,</m:t>
            </m:r>
            <m:sSub>
              <m:e>
                <m:r>
                  <m:t>s</m:t>
                </m:r>
              </m:e>
              <m:sub>
                <m:r>
                  <m:t>L</m:t>
                </m:r>
              </m:sub>
            </m:sSub>
          </m:e>
        </m:d>
      </m:oMath>
      <w:r>
        <w:t xml:space="preserve"> </w:t>
      </w:r>
      <w:r>
        <w:t xml:space="preserve">from vocabulary</w:t>
      </w:r>
      <w:r>
        <w:t xml:space="preserve"> </w:t>
      </w:r>
      <m:oMath>
        <m:r>
          <m:t>V</m:t>
        </m:r>
      </m:oMath>
      <w:r>
        <w:t xml:space="preserve"> </w:t>
      </w:r>
      <w:r>
        <w:t xml:space="preserve">that maximizes a target loss function</w:t>
      </w:r>
      <w:r>
        <w:t xml:space="preserve"> </w:t>
      </w:r>
      <m:oMath>
        <m:r>
          <m:rPr>
            <m:sty m:val="p"/>
            <m:scr m:val="script"/>
          </m:rPr>
          <m:t>L</m:t>
        </m:r>
        <m:d>
          <m:dPr>
            <m:begChr m:val="("/>
            <m:endChr m:val=")"/>
            <m:sepChr m:val=""/>
            <m:grow/>
          </m:dPr>
          <m:e>
            <m:r>
              <m:t>S</m:t>
            </m:r>
          </m:e>
        </m:d>
      </m:oMath>
      <w:r>
        <w:t xml:space="preserve">, where the search space is</w:t>
      </w:r>
      <w:r>
        <w:t xml:space="preserve"> </w:t>
      </w:r>
      <m:oMath>
        <m:sSup>
          <m:e>
            <m:d>
              <m:dPr>
                <m:begChr m:val="|"/>
                <m:endChr m:val="|"/>
                <m:sepChr m:val=""/>
                <m:grow/>
              </m:dPr>
              <m:e>
                <m:r>
                  <m:t>V</m:t>
                </m:r>
              </m:e>
            </m:d>
          </m:e>
          <m:sup>
            <m:r>
              <m:t>L</m:t>
            </m:r>
          </m:sup>
        </m:sSup>
      </m:oMath>
      <w:r>
        <w:t xml:space="preserve"> </w:t>
      </w:r>
      <w:r>
        <w:t xml:space="preserve">— for a vocabulary of size ~50,000 and suffix length</w:t>
      </w:r>
      <w:r>
        <w:t xml:space="preserve"> </w:t>
      </w:r>
      <m:oMath>
        <m:r>
          <m:t>L</m:t>
        </m:r>
        <m:r>
          <m:rPr>
            <m:sty m:val="p"/>
          </m:rPr>
          <m:t>=</m:t>
        </m:r>
        <m:r>
          <m:t>20</m:t>
        </m:r>
      </m:oMath>
      <w:r>
        <w:t xml:space="preserve">, this yields</w:t>
      </w:r>
      <w:r>
        <w:t xml:space="preserve"> </w:t>
      </w:r>
      <m:oMath>
        <m:sSup>
          <m:e>
            <m:d>
              <m:dPr>
                <m:begChr m:val="("/>
                <m:endChr m:val=")"/>
                <m:sepChr m:val=""/>
                <m:grow/>
              </m:dPr>
              <m:e>
                <m:r>
                  <m:t>5</m:t>
                </m:r>
                <m:r>
                  <m:rPr>
                    <m:sty m:val="p"/>
                  </m:rPr>
                  <m:t>×</m:t>
                </m:r>
                <m:sSup>
                  <m:e>
                    <m:r>
                      <m:t>10</m:t>
                    </m:r>
                  </m:e>
                  <m:sup>
                    <m:r>
                      <m:t>4</m:t>
                    </m:r>
                  </m:sup>
                </m:sSup>
              </m:e>
            </m:d>
          </m:e>
          <m:sup>
            <m:r>
              <m:t>20</m:t>
            </m:r>
          </m:sup>
        </m:sSup>
      </m:oMath>
      <w:r>
        <w:t xml:space="preserve"> </w:t>
      </w:r>
      <w:r>
        <w:t xml:space="preserve">possible sequences</w:t>
      </w:r>
      <w:r>
        <w:t xml:space="preserve"> </w:t>
      </w:r>
      <w:r>
        <w:rPr>
          <w:vertAlign w:val="superscript"/>
        </w:rPr>
        <w:footnoteReference w:id="116"/>
      </w:r>
      <w:r>
        <w:t xml:space="preserve">. The algorithm iteratively computes gradients with respect to each suffix token via one-hot embedding relaxation, ranks candidate replacements by their gradient-informed loss improvement, and evaluates the top-</w:t>
      </w:r>
      <m:oMath>
        <m:r>
          <m:t>K</m:t>
        </m:r>
      </m:oMath>
      <w:r>
        <w:t xml:space="preserve"> </w:t>
      </w:r>
      <w:r>
        <w:t xml:space="preserve">candidates in batches</w:t>
      </w:r>
      <w:r>
        <w:t xml:space="preserve"> </w:t>
      </w:r>
      <w:fldSimple w:instr="NOTEREF _Ref_Footnote_115 \h \f">
        <w:r>
          <w:rPr>
            <w:vertAlign w:val="superscript"/>
          </w:rPr>
          <w:t>115</w:t>
        </w:r>
      </w:fldSimple>
      <w:r>
        <w:t xml:space="preserve"> </w:t>
      </w:r>
      <w:r>
        <w:rPr>
          <w:vertAlign w:val="superscript"/>
        </w:rPr>
        <w:footnoteReference w:id="117"/>
      </w:r>
      <w:r>
        <w:t xml:space="preserve">.</w:t>
      </w:r>
    </w:p>
    <w:p>
      <w:pPr>
        <w:pStyle w:val="BodyText"/>
      </w:pPr>
      <w:r>
        <w:t xml:space="preserve">The reported effectiveness of GCG is substantial: 88% attack success rate (ASR) on exact string matching and 99% ASR on eliciting undesirable behaviors</w:t>
      </w:r>
      <w:r>
        <w:t xml:space="preserve"> </w:t>
      </w:r>
      <w:fldSimple w:instr="NOTEREF _Ref_Footnote_115 \h \f">
        <w:r>
          <w:rPr>
            <w:vertAlign w:val="superscript"/>
          </w:rPr>
          <w:t>115</w:t>
        </w:r>
      </w:fldSimple>
      <w:r>
        <w:t xml:space="preserve">. However, practical deployment reveals a more nuanced picture — only about 2% of generated suffixes successfully affect production models such as GPT-3.5 Turbo, owing to the computational cost of generating thousands of candidate prompts per attack</w:t>
      </w:r>
      <w:r>
        <w:t xml:space="preserve"> </w:t>
      </w:r>
      <w:fldSimple w:instr="NOTEREF _Ref_Footnote_115 \h \f">
        <w:r>
          <w:rPr>
            <w:vertAlign w:val="superscript"/>
          </w:rPr>
          <w:t>115</w:t>
        </w:r>
      </w:fldSimple>
      <w:r>
        <w:t xml:space="preserve">. For small-scale models such as the ~50M parameter architecture in Ode Triunfal, this cost is significantly more tractable. Implementation libraries such as nanoGCG provide lightweight, full-featured implementations supporting multi-position token swapping, historical attack buffers, and the Mellowmax loss function</w:t>
      </w:r>
      <w:r>
        <w:t xml:space="preserve"> </w:t>
      </w:r>
      <w:r>
        <w:rPr>
          <w:vertAlign w:val="superscript"/>
        </w:rPr>
        <w:footnoteReference w:id="118"/>
      </w:r>
      <w:r>
        <w:t xml:space="preserve">.</w:t>
      </w:r>
    </w:p>
    <w:p>
      <w:pPr>
        <w:pStyle w:val="BodyText"/>
      </w:pPr>
      <w:r>
        <w:t xml:space="preserve">Key hyperparameters governing GCG performance include batch size</w:t>
      </w:r>
      <w:r>
        <w:t xml:space="preserve"> </w:t>
      </w:r>
      <m:oMath>
        <m:r>
          <m:t>B</m:t>
        </m:r>
      </m:oMath>
      <w:r>
        <w:t xml:space="preserve"> </w:t>
      </w:r>
      <w:r>
        <w:t xml:space="preserve">(typically 64–512), the number of gradient-ranked candidates per position</w:t>
      </w:r>
      <w:r>
        <w:t xml:space="preserve"> </w:t>
      </w:r>
      <m:oMath>
        <m:r>
          <m:t>K</m:t>
        </m:r>
      </m:oMath>
      <w:r>
        <w:t xml:space="preserve"> </w:t>
      </w:r>
      <w:r>
        <w:t xml:space="preserve">(typically 256), optimization iterations</w:t>
      </w:r>
      <w:r>
        <w:t xml:space="preserve"> </w:t>
      </w:r>
      <m:oMath>
        <m:r>
          <m:t>T</m:t>
        </m:r>
      </m:oMath>
      <w:r>
        <w:t xml:space="preserve"> </w:t>
      </w:r>
      <w:r>
        <w:t xml:space="preserve">(typically 500), and suffix length (20–40 tokens). Initialization conventions vary, but sequences of exclamation marks are commonly used as starting points</w:t>
      </w:r>
      <w:r>
        <w:t xml:space="preserve"> </w:t>
      </w:r>
      <w:fldSimple w:instr="NOTEREF _Ref_Footnote_115 \h \f">
        <w:r>
          <w:rPr>
            <w:vertAlign w:val="superscript"/>
          </w:rPr>
          <w:t>115</w:t>
        </w:r>
      </w:fldSimple>
      <w:r>
        <w:t xml:space="preserve">.</w:t>
      </w:r>
    </w:p>
    <w:bookmarkEnd w:id="83"/>
    <w:bookmarkStart w:id="84" w:name="Xc04b2473a0547762e1aff7a3f137efb7b0feb4a"/>
    <w:p>
      <w:pPr>
        <w:pStyle w:val="Heading4"/>
      </w:pPr>
      <w:r>
        <w:t xml:space="preserve">6.1.2 MiniPrompt and ACR: Finding Minimal Eliciting Prompts</w:t>
      </w:r>
    </w:p>
    <w:p>
      <w:pPr>
        <w:pStyle w:val="FirstParagraph"/>
      </w:pPr>
      <w:r>
        <w:t xml:space="preserve">The Adversarial Compression Ratio (ACR) formalization, proposed by Schwarzschild et al. at NeurIPS 2024, reframes memorization detection as a compressibility problem: a string is considered memorized if an adversarial prompt shorter than the string itself can elicit it verbatim</w:t>
      </w:r>
      <w:r>
        <w:t xml:space="preserve"> </w:t>
      </w:r>
      <w:r>
        <w:rPr>
          <w:vertAlign w:val="superscript"/>
        </w:rPr>
        <w:footnoteReference w:id="119"/>
      </w:r>
      <w:r>
        <w:t xml:space="preserve"> </w:t>
      </w:r>
      <w:fldSimple w:instr="NOTEREF _Ref_Footnote_3 \h \f">
        <w:r>
          <w:rPr>
            <w:vertAlign w:val="superscript"/>
          </w:rPr>
          <w:t>3</w:t>
        </w:r>
      </w:fldSimple>
      <w:r>
        <w:t xml:space="preserve">. The ACR metric is defined as the ratio of output token count to optimized input token count — values exceeding 1.0 indicate memorization. Empirically, famous quotes from training data yield ACR</w:t>
      </w:r>
      <w:r>
        <w:t xml:space="preserve"> </w:t>
      </w:r>
      <m:oMath>
        <m:r>
          <m:rPr>
            <m:sty m:val="p"/>
          </m:rPr>
          <m:t>&gt;</m:t>
        </m:r>
      </m:oMath>
      <w:r>
        <w:t xml:space="preserve"> </w:t>
      </w:r>
      <w:r>
        <w:t xml:space="preserve">1, while text posted after training cutoff (and therefore not memorized) yields ACR</w:t>
      </w:r>
      <w:r>
        <w:t xml:space="preserve"> </w:t>
      </w:r>
      <m:oMath>
        <m:r>
          <m:rPr>
            <m:sty m:val="p"/>
          </m:rPr>
          <m:t>&lt;</m:t>
        </m:r>
      </m:oMath>
      <w:r>
        <w:t xml:space="preserve"> </w:t>
      </w:r>
      <w:r>
        <w:t xml:space="preserve">1</w:t>
      </w:r>
      <w:r>
        <w:t xml:space="preserve"> </w:t>
      </w:r>
      <w:fldSimple w:instr="NOTEREF _Ref_Footnote_3 \h \f">
        <w:r>
          <w:rPr>
            <w:vertAlign w:val="superscript"/>
          </w:rPr>
          <w:t>3</w:t>
        </w:r>
      </w:fldSimple>
      <w:r>
        <w:t xml:space="preserve">. Notably, even after in-context unlearning,</w:t>
      </w:r>
      <w:r>
        <w:t xml:space="preserve"> </w:t>
      </w:r>
      <w:r>
        <w:t xml:space="preserve">“</w:t>
      </w:r>
      <w:r>
        <w:t xml:space="preserve">nearly the same amount of Harry Potter text is still memorized</w:t>
      </w:r>
      <w:r>
        <w:t xml:space="preserve">”</w:t>
      </w:r>
      <w:r>
        <w:t xml:space="preserve"> </w:t>
      </w:r>
      <w:fldSimple w:instr="NOTEREF _Ref_Footnote_3 \h \f">
        <w:r>
          <w:rPr>
            <w:vertAlign w:val="superscript"/>
          </w:rPr>
          <w:t>3</w:t>
        </w:r>
      </w:fldSimple>
      <w:r>
        <w:t xml:space="preserve">, underscoring the resilience of learned associations to naive defensive interventions.</w:t>
      </w:r>
    </w:p>
    <w:p>
      <w:pPr>
        <w:pStyle w:val="BodyText"/>
      </w:pPr>
      <w:r>
        <w:t xml:space="preserve">The MiniPrompt algorithm operationalizes ACR measurement by combining GCG with iterative length search. Starting from a 5-token prompt, each step runs GCG for up to</w:t>
      </w:r>
      <w:r>
        <w:t xml:space="preserve"> </w:t>
      </w:r>
      <m:oMath>
        <m:r>
          <m:t>n</m:t>
        </m:r>
        <m:r>
          <m:rPr>
            <m:sty m:val="p"/>
          </m:rPr>
          <m:t>=</m:t>
        </m:r>
        <m:r>
          <m:t>200</m:t>
        </m:r>
      </m:oMath>
      <w:r>
        <w:t xml:space="preserve"> </w:t>
      </w:r>
      <w:r>
        <w:t xml:space="preserve">iterations; if the target string is successfully elicited, the prompt length is decreased by one token, otherwise it is increased by five tokens with a proportional step-size increase of +20%</w:t>
      </w:r>
      <w:r>
        <w:t xml:space="preserve"> </w:t>
      </w:r>
      <w:r>
        <w:rPr>
          <w:vertAlign w:val="superscript"/>
        </w:rPr>
        <w:footnoteReference w:id="120"/>
      </w:r>
      <w:r>
        <w:t xml:space="preserve">. This binary-search-like procedure efficiently converges on the minimal eliciting prompt length, providing both a memorization verdict and a practical extraction vector. The multi-prefix memorization detection framework extends this approach by requiring multiple distinct prefixes (with pairwise cosine distance above a threshold) that all elicit the same target, yielding ASR of 0.60–0.90 for memorized sequences versus</w:t>
      </w:r>
      <w:r>
        <w:t xml:space="preserve"> </w:t>
      </w:r>
      <m:oMath>
        <m:r>
          <m:rPr>
            <m:sty m:val="p"/>
          </m:rPr>
          <m:t>&lt;</m:t>
        </m:r>
      </m:oMath>
      <w:r>
        <w:t xml:space="preserve"> </w:t>
      </w:r>
      <w:r>
        <w:t xml:space="preserve">0.02 for non-memorized controls across the Pythia model family</w:t>
      </w:r>
      <w:r>
        <w:t xml:space="preserve"> </w:t>
      </w:r>
      <w:r>
        <w:rPr>
          <w:vertAlign w:val="superscript"/>
        </w:rPr>
        <w:footnoteReference w:id="121"/>
      </w:r>
      <w:r>
        <w:t xml:space="preserve"> </w:t>
      </w:r>
      <w:r>
        <w:rPr>
          <w:vertAlign w:val="superscript"/>
        </w:rPr>
        <w:footnoteReference w:id="122"/>
      </w:r>
      <w:r>
        <w:t xml:space="preserve">.</w:t>
      </w:r>
    </w:p>
    <w:bookmarkEnd w:id="84"/>
    <w:bookmarkStart w:id="85" w:name="X261b21d3bbe3f0842d4d1a149f00bd96b0d4dab"/>
    <w:p>
      <w:pPr>
        <w:pStyle w:val="Heading4"/>
      </w:pPr>
      <w:r>
        <w:t xml:space="preserve">6.1.3 Accelerated Variants: Probe Sampling, Faster-GCG, I-GCG</w:t>
      </w:r>
    </w:p>
    <w:p>
      <w:pPr>
        <w:pStyle w:val="FirstParagraph"/>
      </w:pPr>
      <w:r>
        <w:t xml:space="preserve">The computational cost of vanilla GCG has motivated significant algorithmic innovation. Three accelerated variants are particularly relevant for time-constrained CTF competitions:</w:t>
      </w:r>
    </w:p>
    <w:tbl>
      <w:tblPr>
        <w:tblStyle w:val="Table"/>
        <w:tblW w:type="pct" w:w="5000"/>
        <w:tblLook w:firstRow="1" w:lastRow="0" w:firstColumn="0" w:lastColumn="0" w:noHBand="0" w:noVBand="0" w:val="0020"/>
      </w:tblPr>
      <w:tblGrid>
        <w:gridCol w:w="1272"/>
        <w:gridCol w:w="1272"/>
        <w:gridCol w:w="3111"/>
        <w:gridCol w:w="2262"/>
      </w:tblGrid>
      <w:tr>
        <w:trPr>
          <w:tblHeader w:val="true"/>
        </w:trPr>
        <w:tc>
          <w:tcPr/>
          <w:p>
            <w:pPr>
              <w:pStyle w:val="Compact"/>
              <w:jc w:val="left"/>
            </w:pPr>
            <w:r>
              <w:t xml:space="preserve">Variant</w:t>
            </w:r>
          </w:p>
        </w:tc>
        <w:tc>
          <w:tcPr/>
          <w:p>
            <w:pPr>
              <w:pStyle w:val="Compact"/>
              <w:jc w:val="left"/>
            </w:pPr>
            <w:r>
              <w:t xml:space="preserve">Speedup</w:t>
            </w:r>
          </w:p>
        </w:tc>
        <w:tc>
          <w:tcPr/>
          <w:p>
            <w:pPr>
              <w:pStyle w:val="Compact"/>
              <w:jc w:val="left"/>
            </w:pPr>
            <w:r>
              <w:t xml:space="preserve">ASR (relative to GCG)</w:t>
            </w:r>
          </w:p>
        </w:tc>
        <w:tc>
          <w:tcPr/>
          <w:p>
            <w:pPr>
              <w:pStyle w:val="Compact"/>
              <w:jc w:val="left"/>
            </w:pPr>
            <w:r>
              <w:t xml:space="preserve">Key Innovation</w:t>
            </w:r>
          </w:p>
        </w:tc>
      </w:tr>
      <w:tr>
        <w:tc>
          <w:tcPr/>
          <w:p>
            <w:pPr>
              <w:pStyle w:val="Compact"/>
              <w:jc w:val="left"/>
            </w:pPr>
            <w:r>
              <w:t xml:space="preserve">Probe Sampling (GCG-PS)</w:t>
            </w:r>
            <w:r>
              <w:t xml:space="preserve"> </w:t>
            </w:r>
            <w:fldSimple w:instr="NOTEREF _Ref_Footnote_96 \h \f">
              <w:r>
                <w:rPr>
                  <w:vertAlign w:val="superscript"/>
                </w:rPr>
                <w:t>96</w:t>
              </w:r>
            </w:fldSimple>
          </w:p>
        </w:tc>
        <w:tc>
          <w:tcPr/>
          <w:p>
            <w:pPr>
              <w:pStyle w:val="Compact"/>
              <w:jc w:val="left"/>
            </w:pPr>
            <w:r>
              <w:t xml:space="preserve">5.6x</w:t>
            </w:r>
          </w:p>
        </w:tc>
        <w:tc>
          <w:tcPr/>
          <w:p>
            <w:pPr>
              <w:pStyle w:val="Compact"/>
              <w:jc w:val="left"/>
            </w:pPr>
            <w:r>
              <w:t xml:space="preserve">Equal or improved</w:t>
            </w:r>
          </w:p>
        </w:tc>
        <w:tc>
          <w:tcPr/>
          <w:p>
            <w:pPr>
              <w:pStyle w:val="Compact"/>
              <w:jc w:val="left"/>
            </w:pPr>
            <w:r>
              <w:t xml:space="preserve">Draft-model filtering of candidates based on prediction similarity; also accelerates AutoPrompt (1.8x), APE (2.4x), and AutoDAN (2.4x)</w:t>
            </w:r>
            <w:r>
              <w:t xml:space="preserve"> </w:t>
            </w:r>
            <w:fldSimple w:instr="NOTEREF _Ref_Footnote_96 \h \f">
              <w:r>
                <w:rPr>
                  <w:vertAlign w:val="superscript"/>
                </w:rPr>
                <w:t>96</w:t>
              </w:r>
            </w:fldSimple>
          </w:p>
        </w:tc>
      </w:tr>
      <w:tr>
        <w:tc>
          <w:tcPr/>
          <w:p>
            <w:pPr>
              <w:pStyle w:val="Compact"/>
              <w:jc w:val="left"/>
            </w:pPr>
            <w:r>
              <w:t xml:space="preserve">Faster-GCG</w:t>
            </w:r>
            <w:r>
              <w:t xml:space="preserve"> </w:t>
            </w:r>
            <w:fldSimple w:instr="NOTEREF _Ref_Footnote_113 \h \f">
              <w:r>
                <w:rPr>
                  <w:vertAlign w:val="superscript"/>
                </w:rPr>
                <w:t>113</w:t>
              </w:r>
            </w:fldSimple>
          </w:p>
        </w:tc>
        <w:tc>
          <w:tcPr/>
          <w:p>
            <w:pPr>
              <w:pStyle w:val="Compact"/>
              <w:jc w:val="left"/>
            </w:pPr>
            <w:r>
              <w:t xml:space="preserve">8x sample efficiency, 7x wall-clock</w:t>
            </w:r>
          </w:p>
        </w:tc>
        <w:tc>
          <w:tcPr/>
          <w:p>
            <w:pPr>
              <w:pStyle w:val="Compact"/>
              <w:jc w:val="left"/>
            </w:pPr>
            <w:r>
              <w:t xml:space="preserve">78.1% avg. across 5 models</w:t>
            </w:r>
          </w:p>
        </w:tc>
        <w:tc>
          <w:tcPr/>
          <w:p>
            <w:pPr>
              <w:pStyle w:val="Compact"/>
              <w:jc w:val="left"/>
            </w:pPr>
            <w:r>
              <w:t xml:space="preserve">Distance-regularized candidate selection (CCC improved from 0.044 to 0.285), temperature-controlled sampling (</w:t>
            </w:r>
            <m:oMath>
              <m:r>
                <m:t>τ</m:t>
              </m:r>
            </m:oMath>
            <w:r>
              <w:t xml:space="preserve">=0.1), visited-suffix deduplication</w:t>
            </w:r>
            <w:r>
              <w:t xml:space="preserve"> </w:t>
            </w:r>
            <w:fldSimple w:instr="NOTEREF _Ref_Footnote_113 \h \f">
              <w:r>
                <w:rPr>
                  <w:vertAlign w:val="superscript"/>
                </w:rPr>
                <w:t>113</w:t>
              </w:r>
            </w:fldSimple>
          </w:p>
        </w:tc>
      </w:tr>
      <w:tr>
        <w:tc>
          <w:tcPr/>
          <w:p>
            <w:pPr>
              <w:pStyle w:val="Compact"/>
              <w:jc w:val="left"/>
            </w:pPr>
            <w:r>
              <w:t xml:space="preserve">I-GCG</w:t>
            </w:r>
            <w:r>
              <w:t xml:space="preserve"> </w:t>
            </w:r>
            <w:fldSimple w:instr="NOTEREF _Ref_Footnote_91 \h \f">
              <w:r>
                <w:rPr>
                  <w:vertAlign w:val="superscript"/>
                </w:rPr>
                <w:t>91</w:t>
              </w:r>
            </w:fldSimple>
          </w:p>
        </w:tc>
        <w:tc>
          <w:tcPr/>
          <w:p>
            <w:pPr>
              <w:pStyle w:val="Compact"/>
              <w:jc w:val="left"/>
            </w:pPr>
            <w:r>
              <w:t xml:space="preserve">Unspecified</w:t>
            </w:r>
          </w:p>
        </w:tc>
        <w:tc>
          <w:tcPr/>
          <w:p>
            <w:pPr>
              <w:pStyle w:val="Compact"/>
              <w:jc w:val="left"/>
            </w:pPr>
            <w:r>
              <w:t xml:space="preserve">~100% on all tested models</w:t>
            </w:r>
          </w:p>
        </w:tc>
        <w:tc>
          <w:tcPr/>
          <w:p>
            <w:pPr>
              <w:pStyle w:val="Compact"/>
              <w:jc w:val="left"/>
            </w:pPr>
            <w:r>
              <w:t xml:space="preserve">Diverse target templates with harmful self-suggestion, automatic multi-coordinate updating, easy-to-hard initialization</w:t>
            </w:r>
            <w:r>
              <w:t xml:space="preserve"> </w:t>
            </w:r>
            <w:fldSimple w:instr="NOTEREF _Ref_Footnote_91 \h \f">
              <w:r>
                <w:rPr>
                  <w:vertAlign w:val="superscript"/>
                </w:rPr>
                <w:t>91</w:t>
              </w:r>
            </w:fldSimple>
          </w:p>
        </w:tc>
      </w:tr>
      <w:tr>
        <w:tc>
          <w:tcPr/>
          <w:p>
            <w:pPr>
              <w:pStyle w:val="Compact"/>
              <w:jc w:val="left"/>
            </w:pPr>
            <w:r>
              <w:t xml:space="preserve">SM-GCG</w:t>
            </w:r>
            <w:r>
              <w:t xml:space="preserve"> </w:t>
            </w:r>
            <w:r>
              <w:rPr>
                <w:vertAlign w:val="superscript"/>
              </w:rPr>
              <w:footnoteReference w:id="123"/>
            </w:r>
          </w:p>
        </w:tc>
        <w:tc>
          <w:tcPr/>
          <w:p>
            <w:pPr>
              <w:pStyle w:val="Compact"/>
              <w:jc w:val="left"/>
            </w:pPr>
            <w:r>
              <w:t xml:space="preserve">Unspecified</w:t>
            </w:r>
          </w:p>
        </w:tc>
        <w:tc>
          <w:tcPr/>
          <w:p>
            <w:pPr>
              <w:pStyle w:val="Compact"/>
              <w:jc w:val="left"/>
            </w:pPr>
            <w:r>
              <w:t xml:space="preserve">+10–15% over baseline</w:t>
            </w:r>
          </w:p>
        </w:tc>
        <w:tc>
          <w:tcPr/>
          <w:p>
            <w:pPr>
              <w:pStyle w:val="Compact"/>
              <w:jc w:val="left"/>
            </w:pPr>
            <w:r>
              <w:t xml:space="preserve">Spatial momentum across candidate, text, token, one-hot, and embedding spaces</w:t>
            </w:r>
            <w:r>
              <w:t xml:space="preserve"> </w:t>
            </w:r>
            <w:fldSimple w:instr="NOTEREF _Ref_Footnote_123 \h \f">
              <w:r>
                <w:rPr>
                  <w:vertAlign w:val="superscript"/>
                </w:rPr>
                <w:t>123</w:t>
              </w:r>
            </w:fldSimple>
          </w:p>
        </w:tc>
      </w:tr>
    </w:tbl>
    <w:p>
      <w:pPr>
        <w:pStyle w:val="BodyText"/>
      </w:pPr>
      <w:r>
        <w:t xml:space="preserve">Probe Sampling (GCG-PS), presented at NeurIPS 2024, introduces a draft-model mechanism that dynamically filters prompt candidates by measuring prediction similarity between a smaller draft model and the target model, reducing computation when the models agree</w:t>
      </w:r>
      <w:r>
        <w:t xml:space="preserve"> </w:t>
      </w:r>
      <w:r>
        <w:rPr>
          <w:vertAlign w:val="superscript"/>
        </w:rPr>
        <w:footnoteReference w:id="124"/>
      </w:r>
      <w:r>
        <w:t xml:space="preserve">. Faster-GCG addresses three fundamental limitations of GCG simultaneously: inaccurate gradient-based candidate selection (mitigated via embedding-space distance regularization with</w:t>
      </w:r>
      <w:r>
        <w:t xml:space="preserve"> </w:t>
      </w:r>
      <m:oMath>
        <m:r>
          <m:t>λ</m:t>
        </m:r>
        <m:r>
          <m:rPr>
            <m:sty m:val="p"/>
          </m:rPr>
          <m:t>=</m:t>
        </m:r>
        <m:r>
          <m:t>10</m:t>
        </m:r>
      </m:oMath>
      <w:r>
        <w:t xml:space="preserve">), inefficient uniform sampling (replaced with temperature-controlled sampling at</w:t>
      </w:r>
      <w:r>
        <w:t xml:space="preserve"> </w:t>
      </w:r>
      <m:oMath>
        <m:r>
          <m:t>τ</m:t>
        </m:r>
        <m:r>
          <m:rPr>
            <m:sty m:val="p"/>
          </m:rPr>
          <m:t>=</m:t>
        </m:r>
        <m:r>
          <m:t>0.1</m:t>
        </m:r>
      </m:oMath>
      <w:r>
        <w:t xml:space="preserve">), and redundant suffix re-evaluation (eliminated through visited-suffix marking)</w:t>
      </w:r>
      <w:r>
        <w:t xml:space="preserve"> </w:t>
      </w:r>
      <w:fldSimple w:instr="NOTEREF _Ref_Footnote_113 \h \f">
        <w:r>
          <w:rPr>
            <w:vertAlign w:val="superscript"/>
          </w:rPr>
          <w:t>113</w:t>
        </w:r>
      </w:fldSimple>
      <w:r>
        <w:t xml:space="preserve">. Under reduced attack budgets, Faster-GCG achieves 78.1% average jailbreak success rate across five aligned LLMs</w:t>
      </w:r>
      <w:r>
        <w:t xml:space="preserve"> </w:t>
      </w:r>
      <w:fldSimple w:instr="NOTEREF _Ref_Footnote_113 \h \f">
        <w:r>
          <w:rPr>
            <w:vertAlign w:val="superscript"/>
          </w:rPr>
          <w:t>113</w:t>
        </w:r>
      </w:fldSimple>
      <w:r>
        <w:t xml:space="preserve">. I-GCG takes a different approach, using diverse target templates that incorporate self-suggesting harmful completions and easy-to-hard initialization — starting with simpler jailbreak targets before transferring to harder ones — to achieve near-100% ASR</w:t>
      </w:r>
      <w:r>
        <w:t xml:space="preserve"> </w:t>
      </w:r>
      <w:fldSimple w:instr="NOTEREF _Ref_Footnote_91 \h \f">
        <w:r>
          <w:rPr>
            <w:vertAlign w:val="superscript"/>
          </w:rPr>
          <w:t>91</w:t>
        </w:r>
      </w:fldSimple>
      <w:r>
        <w:t xml:space="preserve">.</w:t>
      </w:r>
    </w:p>
    <w:p>
      <w:pPr>
        <w:pStyle w:val="BodyText"/>
      </w:pPr>
      <w:r>
        <w:t xml:space="preserve">For CTF practitioners, the choice among variants depends on constraints: Probe Sampling excels when a smaller draft model is available; Faster-GCG is preferred under strict time budgets with white-box access; I-GCG is optimal when maximum success probability is required and computational cost is secondary.</w:t>
      </w:r>
    </w:p>
    <w:bookmarkEnd w:id="85"/>
    <w:bookmarkEnd w:id="86"/>
    <w:bookmarkStart w:id="90" w:name="suppression-bypass-techniques"/>
    <w:p>
      <w:pPr>
        <w:pStyle w:val="Heading3"/>
      </w:pPr>
      <w:r>
        <w:t xml:space="preserve">6.2 Suppression Bypass Techniques</w:t>
      </w:r>
    </w:p>
    <w:bookmarkStart w:id="87" w:name="Xab50654dc867a1523204f93e3e6236147b155c6"/>
    <w:p>
      <w:pPr>
        <w:pStyle w:val="Heading4"/>
      </w:pPr>
      <w:r>
        <w:t xml:space="preserve">6.2.1 DSN (Don’t Say No): Loss Modification for Suppression Bypass</w:t>
      </w:r>
    </w:p>
    <w:p>
      <w:pPr>
        <w:pStyle w:val="FirstParagraph"/>
      </w:pPr>
      <w:r>
        <w:t xml:space="preserve">The</w:t>
      </w:r>
      <w:r>
        <w:t xml:space="preserve"> </w:t>
      </w:r>
      <w:r>
        <w:t xml:space="preserve">“</w:t>
      </w:r>
      <w:r>
        <w:t xml:space="preserve">Don’t Say No</w:t>
      </w:r>
      <w:r>
        <w:t xml:space="preserve">”</w:t>
      </w:r>
      <w:r>
        <w:t xml:space="preserve"> </w:t>
      </w:r>
      <w:r>
        <w:t xml:space="preserve">(DSN) attack represents a principled adaptation of adversarial optimization to target suppression mechanisms directly</w:t>
      </w:r>
      <w:r>
        <w:t xml:space="preserve"> </w:t>
      </w:r>
      <w:r>
        <w:rPr>
          <w:vertAlign w:val="superscript"/>
        </w:rPr>
        <w:footnoteReference w:id="125"/>
      </w:r>
      <w:r>
        <w:t xml:space="preserve"> </w:t>
      </w:r>
      <w:r>
        <w:rPr>
          <w:vertAlign w:val="superscript"/>
        </w:rPr>
        <w:footnoteReference w:id="126"/>
      </w:r>
      <w:r>
        <w:t xml:space="preserve"> </w:t>
      </w:r>
      <w:r>
        <w:rPr>
          <w:vertAlign w:val="superscript"/>
        </w:rPr>
        <w:footnoteReference w:id="127"/>
      </w:r>
      <w:r>
        <w:t xml:space="preserve">. Unlike standard GCG, which optimizes toward a specific target output, DSN employs a two-component loss function:</w:t>
      </w:r>
      <w:r>
        <w:t xml:space="preserve"> </w:t>
      </w:r>
      <m:oMath>
        <m:sSub>
          <m:e>
            <m:r>
              <m:rPr>
                <m:sty m:val="p"/>
                <m:scr m:val="script"/>
              </m:rPr>
              <m:t>L</m:t>
            </m:r>
          </m:e>
          <m:sub>
            <m:r>
              <m:rPr>
                <m:nor/>
                <m:sty m:val="p"/>
              </m:rPr>
              <m:t>DSN</m:t>
            </m:r>
          </m:sub>
        </m:sSub>
        <m:r>
          <m:rPr>
            <m:sty m:val="p"/>
          </m:rPr>
          <m:t>=</m:t>
        </m:r>
        <m:sSub>
          <m:e>
            <m:r>
              <m:rPr>
                <m:sty m:val="p"/>
                <m:scr m:val="script"/>
              </m:rPr>
              <m:t>L</m:t>
            </m:r>
          </m:e>
          <m:sub>
            <m:r>
              <m:rPr>
                <m:nor/>
                <m:sty m:val="p"/>
              </m:rPr>
              <m:t>refusal</m:t>
            </m:r>
          </m:sub>
        </m:sSub>
        <m:r>
          <m:rPr>
            <m:sty m:val="p"/>
          </m:rPr>
          <m:t>+</m:t>
        </m:r>
        <m:sSub>
          <m:e>
            <m:r>
              <m:rPr>
                <m:sty m:val="p"/>
                <m:scr m:val="script"/>
              </m:rPr>
              <m:t>L</m:t>
            </m:r>
          </m:e>
          <m:sub>
            <m:r>
              <m:rPr>
                <m:nor/>
                <m:sty m:val="p"/>
              </m:rPr>
              <m:t>affirmative</m:t>
            </m:r>
          </m:sub>
        </m:sSub>
      </m:oMath>
      <w:r>
        <w:t xml:space="preserve">, where</w:t>
      </w:r>
      <w:r>
        <w:t xml:space="preserve"> </w:t>
      </w:r>
      <m:oMath>
        <m:sSub>
          <m:e>
            <m:r>
              <m:rPr>
                <m:sty m:val="p"/>
                <m:scr m:val="script"/>
              </m:rPr>
              <m:t>L</m:t>
            </m:r>
          </m:e>
          <m:sub>
            <m:r>
              <m:rPr>
                <m:nor/>
                <m:sty m:val="p"/>
              </m:rPr>
              <m:t>refusal</m:t>
            </m:r>
          </m:sub>
        </m:sSub>
      </m:oMath>
      <w:r>
        <w:t xml:space="preserve"> </w:t>
      </w:r>
      <w:r>
        <w:t xml:space="preserve">maximizes distance from refusal tokens and</w:t>
      </w:r>
      <w:r>
        <w:t xml:space="preserve"> </w:t>
      </w:r>
      <m:oMath>
        <m:sSub>
          <m:e>
            <m:r>
              <m:rPr>
                <m:sty m:val="p"/>
                <m:scr m:val="script"/>
              </m:rPr>
              <m:t>L</m:t>
            </m:r>
          </m:e>
          <m:sub>
            <m:r>
              <m:rPr>
                <m:nor/>
                <m:sty m:val="p"/>
              </m:rPr>
              <m:t>affirmative</m:t>
            </m:r>
          </m:sub>
        </m:sSub>
      </m:oMath>
      <w:r>
        <w:t xml:space="preserve"> </w:t>
      </w:r>
      <w:r>
        <w:t xml:space="preserve">maximizes the probability of affirmative response prefixes such as</w:t>
      </w:r>
      <w:r>
        <w:t xml:space="preserve"> </w:t>
      </w:r>
      <w:r>
        <w:t xml:space="preserve">“</w:t>
      </w:r>
      <w:r>
        <w:t xml:space="preserve">Sure, here is…</w:t>
      </w:r>
      <w:r>
        <w:t xml:space="preserve">”</w:t>
      </w:r>
      <w:r>
        <w:t xml:space="preserve"> </w:t>
      </w:r>
      <w:fldSimple w:instr="NOTEREF _Ref_Footnote_126 \h \f">
        <w:r>
          <w:rPr>
            <w:vertAlign w:val="superscript"/>
          </w:rPr>
          <w:t>126</w:t>
        </w:r>
      </w:fldSimple>
      <w:r>
        <w:t xml:space="preserve">. The key insight is that refusal and suppression responses are</w:t>
      </w:r>
      <w:r>
        <w:t xml:space="preserve"> </w:t>
      </w:r>
      <w:r>
        <w:t xml:space="preserve">“</w:t>
      </w:r>
      <w:r>
        <w:t xml:space="preserve">typically less diverse and more predictable, making them particularly suited and easy to be suppressed</w:t>
      </w:r>
      <w:r>
        <w:t xml:space="preserve">”</w:t>
      </w:r>
      <w:r>
        <w:t xml:space="preserve"> </w:t>
      </w:r>
      <w:fldSimple w:instr="NOTEREF _Ref_Footnote_127 \h \f">
        <w:r>
          <w:rPr>
            <w:vertAlign w:val="superscript"/>
          </w:rPr>
          <w:t>127</w:t>
        </w:r>
      </w:fldSimple>
      <w:r>
        <w:t xml:space="preserve">— by steering away from this narrower, more constrained output distribution, the optimization landscape becomes more navigable.</w:t>
      </w:r>
    </w:p>
    <w:p>
      <w:pPr>
        <w:pStyle w:val="BodyText"/>
      </w:pPr>
      <w:r>
        <w:t xml:space="preserve">DSN is evaluated through an ensemble pipeline integrating Natural Language Inference (NLI) contradiction assessment with two external LLM evaluators</w:t>
      </w:r>
      <w:r>
        <w:t xml:space="preserve"> </w:t>
      </w:r>
      <w:fldSimple w:instr="NOTEREF _Ref_Footnote_125 \h \f">
        <w:r>
          <w:rPr>
            <w:vertAlign w:val="superscript"/>
          </w:rPr>
          <w:t>125</w:t>
        </w:r>
      </w:fldSimple>
      <w:r>
        <w:t xml:space="preserve">. For challenges featuring trained suppression circuits such as Ode Triunfal’s Portuguesify mechanism, the DSN loss formulation can be adapted to specifically penalize Portuguese-pattern token probabilities while rewarding flag-character emissions. This adaptation transforms the suppression bypass from an incidental effect of jailbreaking into an explicitly optimized objective.</w:t>
      </w:r>
    </w:p>
    <w:bookmarkEnd w:id="87"/>
    <w:bookmarkStart w:id="88" w:name="X0e140e3e21fdc8c31a11d7a7877fe2fdfdda6ef"/>
    <w:p>
      <w:pPr>
        <w:pStyle w:val="Heading4"/>
      </w:pPr>
      <w:r>
        <w:t xml:space="preserve">6.2.2 Activation Steering: Portuguesify Negation Vectors</w:t>
      </w:r>
    </w:p>
    <w:p>
      <w:pPr>
        <w:pStyle w:val="FirstParagraph"/>
      </w:pPr>
      <w:r>
        <w:t xml:space="preserve">Activation steering — also known as Activation Addition (ActAdd) — provides an optimization-free alternative for bypassing suppression circuits</w:t>
      </w:r>
      <w:r>
        <w:t xml:space="preserve"> </w:t>
      </w:r>
      <w:r>
        <w:rPr>
          <w:vertAlign w:val="superscript"/>
        </w:rPr>
        <w:footnoteReference w:id="128"/>
      </w:r>
      <w:r>
        <w:t xml:space="preserve"> </w:t>
      </w:r>
      <w:r>
        <w:rPr>
          <w:vertAlign w:val="superscript"/>
        </w:rPr>
        <w:footnoteReference w:id="129"/>
      </w:r>
      <w:r>
        <w:t xml:space="preserve">. Given a contrast pair</w:t>
      </w:r>
      <w:r>
        <w:t xml:space="preserve"> </w:t>
      </w:r>
      <m:oMath>
        <m:d>
          <m:dPr>
            <m:begChr m:val="("/>
            <m:endChr m:val=")"/>
            <m:sepChr m:val=""/>
            <m:grow/>
          </m:dPr>
          <m:e>
            <m:sSub>
              <m:e>
                <m:r>
                  <m:t>p</m:t>
                </m:r>
              </m:e>
              <m:sub>
                <m:r>
                  <m:rPr>
                    <m:sty m:val="p"/>
                  </m:rPr>
                  <m:t>+</m:t>
                </m:r>
              </m:sub>
            </m:sSub>
            <m:r>
              <m:rPr>
                <m:sty m:val="p"/>
              </m:rPr>
              <m:t>,</m:t>
            </m:r>
            <m:sSub>
              <m:e>
                <m:r>
                  <m:t>p</m:t>
                </m:r>
              </m:e>
              <m:sub>
                <m:r>
                  <m:rPr>
                    <m:sty m:val="p"/>
                  </m:rPr>
                  <m:t>−</m:t>
                </m:r>
              </m:sub>
            </m:sSub>
          </m:e>
        </m:d>
      </m:oMath>
      <w:r>
        <w:t xml:space="preserve">, the steering vector is computed as</w:t>
      </w:r>
      <w:r>
        <w:t xml:space="preserve"> </w:t>
      </w:r>
      <m:oMath>
        <m:r>
          <m:t>v</m:t>
        </m:r>
        <m:r>
          <m:rPr>
            <m:sty m:val="p"/>
          </m:rPr>
          <m:t>=</m:t>
        </m:r>
        <m:r>
          <m:t>c</m:t>
        </m:r>
        <m:r>
          <m:rPr>
            <m:sty m:val="p"/>
          </m:rPr>
          <m:t>⋅</m:t>
        </m:r>
        <m:d>
          <m:dPr>
            <m:begChr m:val="("/>
            <m:endChr m:val=")"/>
            <m:sepChr m:val=""/>
            <m:grow/>
          </m:dPr>
          <m:e>
            <m:sSubSup>
              <m:e>
                <m:r>
                  <m:t>h</m:t>
                </m:r>
              </m:e>
              <m:sub>
                <m:r>
                  <m:rPr>
                    <m:sty m:val="p"/>
                  </m:rPr>
                  <m:t>+</m:t>
                </m:r>
              </m:sub>
              <m:sup>
                <m:r>
                  <m:t>l</m:t>
                </m:r>
              </m:sup>
            </m:sSubSup>
            <m:r>
              <m:rPr>
                <m:sty m:val="p"/>
              </m:rPr>
              <m:t>−</m:t>
            </m:r>
            <m:sSubSup>
              <m:e>
                <m:r>
                  <m:t>h</m:t>
                </m:r>
              </m:e>
              <m:sub>
                <m:r>
                  <m:rPr>
                    <m:sty m:val="p"/>
                  </m:rPr>
                  <m:t>−</m:t>
                </m:r>
              </m:sub>
              <m:sup>
                <m:r>
                  <m:t>l</m:t>
                </m:r>
              </m:sup>
            </m:sSubSup>
          </m:e>
        </m:d>
      </m:oMath>
      <w:r>
        <w:t xml:space="preserve">, where</w:t>
      </w:r>
      <w:r>
        <w:t xml:space="preserve"> </w:t>
      </w:r>
      <m:oMath>
        <m:sSubSup>
          <m:e>
            <m:r>
              <m:t>h</m:t>
            </m:r>
          </m:e>
          <m:sub>
            <m:r>
              <m:rPr>
                <m:sty m:val="p"/>
              </m:rPr>
              <m:t>+</m:t>
            </m:r>
          </m:sub>
          <m:sup>
            <m:r>
              <m:t>l</m:t>
            </m:r>
          </m:sup>
        </m:sSubSup>
      </m:oMath>
      <w:r>
        <w:t xml:space="preserve"> </w:t>
      </w:r>
      <w:r>
        <w:t xml:space="preserve">and</w:t>
      </w:r>
      <w:r>
        <w:t xml:space="preserve"> </w:t>
      </w:r>
      <m:oMath>
        <m:sSubSup>
          <m:e>
            <m:r>
              <m:t>h</m:t>
            </m:r>
          </m:e>
          <m:sub>
            <m:r>
              <m:rPr>
                <m:sty m:val="p"/>
              </m:rPr>
              <m:t>−</m:t>
            </m:r>
          </m:sub>
          <m:sup>
            <m:r>
              <m:t>l</m:t>
            </m:r>
          </m:sup>
        </m:sSubSup>
      </m:oMath>
      <w:r>
        <w:t xml:space="preserve"> </w:t>
      </w:r>
      <w:r>
        <w:t xml:space="preserve">are activations at layer</w:t>
      </w:r>
      <w:r>
        <w:t xml:space="preserve"> </w:t>
      </w:r>
      <m:oMath>
        <m:r>
          <m:t>l</m:t>
        </m:r>
      </m:oMath>
      <w:r>
        <w:t xml:space="preserve"> </w:t>
      </w:r>
      <w:r>
        <w:t xml:space="preserve">for positive and negative prompts respectively, and</w:t>
      </w:r>
      <w:r>
        <w:t xml:space="preserve"> </w:t>
      </w:r>
      <m:oMath>
        <m:r>
          <m:t>c</m:t>
        </m:r>
      </m:oMath>
      <w:r>
        <w:t xml:space="preserve"> </w:t>
      </w:r>
      <w:r>
        <w:t xml:space="preserve">is a scaling coefficient</w:t>
      </w:r>
      <w:r>
        <w:t xml:space="preserve"> </w:t>
      </w:r>
      <w:fldSimple w:instr="NOTEREF _Ref_Footnote_128 \h \f">
        <w:r>
          <w:rPr>
            <w:vertAlign w:val="superscript"/>
          </w:rPr>
          <w:t>128</w:t>
        </w:r>
      </w:fldSimple>
      <w:r>
        <w:t xml:space="preserve">. This vector is then added to the residual stream during inference.</w:t>
      </w:r>
    </w:p>
    <w:p>
      <w:pPr>
        <w:pStyle w:val="BodyText"/>
      </w:pPr>
      <w:r>
        <w:t xml:space="preserve">In the context of Ode Triunfal, the</w:t>
      </w:r>
      <w:r>
        <w:t xml:space="preserve"> </w:t>
      </w:r>
      <w:r>
        <w:t xml:space="preserve">“</w:t>
      </w:r>
      <w:r>
        <w:t xml:space="preserve">Portuguesify negation vector</w:t>
      </w:r>
      <w:r>
        <w:t xml:space="preserve">”</w:t>
      </w:r>
      <w:r>
        <w:t xml:space="preserve"> </w:t>
      </w:r>
      <w:r>
        <w:t xml:space="preserve">can be computed as the difference between MLP6 outputs under normal operation (Portuguese-promoting) and under ablation (suppression-disabled). Adding this vector at controlled scales during inference provides a continuously tunable suppression bypass — rather than the binary on/off of full ablation. Contrastive Activation Addition (CAA), which averages activation differences across dozens of contrast pairs, generalizes from multiple-choice evaluation formats to open-ended generation and has been shown to steer Llama-2 behavior effectively on top of both fine-tuning and system prompt design</w:t>
      </w:r>
      <w:r>
        <w:t xml:space="preserve"> </w:t>
      </w:r>
      <w:r>
        <w:rPr>
          <w:vertAlign w:val="superscript"/>
        </w:rPr>
        <w:footnoteReference w:id="130"/>
      </w:r>
      <w:r>
        <w:t xml:space="preserve"> </w:t>
      </w:r>
      <w:r>
        <w:rPr>
          <w:vertAlign w:val="superscript"/>
        </w:rPr>
        <w:footnoteReference w:id="131"/>
      </w:r>
      <w:r>
        <w:t xml:space="preserve">.</w:t>
      </w:r>
    </w:p>
    <w:p>
      <w:pPr>
        <w:pStyle w:val="BodyText"/>
      </w:pPr>
      <w:r>
        <w:t xml:space="preserve">Recent advances include Sparse Activation Control (SAC), which modifies task-specific attention heads without interfering with general performance</w:t>
      </w:r>
      <w:r>
        <w:t xml:space="preserve"> </w:t>
      </w:r>
      <w:r>
        <w:rPr>
          <w:vertAlign w:val="superscript"/>
        </w:rPr>
        <w:footnoteReference w:id="132"/>
      </w:r>
      <w:r>
        <w:t xml:space="preserve">; Dynamic Activation Composition (DAC), which modulates steering strength throughout generation</w:t>
      </w:r>
      <w:r>
        <w:t xml:space="preserve"> </w:t>
      </w:r>
      <w:fldSimple w:instr="NOTEREF _Ref_Footnote_132 \h \f">
        <w:r>
          <w:rPr>
            <w:vertAlign w:val="superscript"/>
          </w:rPr>
          <w:t>132</w:t>
        </w:r>
      </w:fldSimple>
      <w:r>
        <w:t xml:space="preserve">; and Entropic Activation Steering (EAST), which manipulates internal uncertainty representations to increase exploration</w:t>
      </w:r>
      <w:r>
        <w:t xml:space="preserve"> </w:t>
      </w:r>
      <w:fldSimple w:instr="NOTEREF _Ref_Footnote_132 \h \f">
        <w:r>
          <w:rPr>
            <w:vertAlign w:val="superscript"/>
          </w:rPr>
          <w:t>132</w:t>
        </w:r>
      </w:fldSimple>
      <w:r>
        <w:t xml:space="preserve">. The convergence of these methods suggests that suppression circuits can be bypassed not only by removing their influence but by actively steering the model into representation states where suppressed content becomes accessible.</w:t>
      </w:r>
    </w:p>
    <w:bookmarkEnd w:id="88"/>
    <w:bookmarkStart w:id="89" w:name="X0bccfccff90eca70382046838b8d7fdac7dfa19"/>
    <w:p>
      <w:pPr>
        <w:pStyle w:val="Heading4"/>
      </w:pPr>
      <w:r>
        <w:t xml:space="preserve">6.2.3 Two-Stage Optimization: Stage 1 Maximize P(f), Stage 2 Extract Full Flag</w:t>
      </w:r>
    </w:p>
    <w:p>
      <w:pPr>
        <w:pStyle w:val="FirstParagraph"/>
      </w:pPr>
      <w:r>
        <w:t xml:space="preserve">Evidence from Ode Triunfal indicates that negating MLP6 output raises the probability of flag-initial characters to</w:t>
      </w:r>
      <w:r>
        <w:t xml:space="preserve"> </w:t>
      </w:r>
      <m:oMath>
        <m:r>
          <m:t>P</m:t>
        </m:r>
        <m:d>
          <m:dPr>
            <m:begChr m:val="("/>
            <m:endChr m:val=")"/>
            <m:sepChr m:val=""/>
            <m:grow/>
          </m:dPr>
          <m:e>
            <m:r>
              <m:t>f</m:t>
            </m:r>
          </m:e>
        </m:d>
        <m:r>
          <m:rPr>
            <m:sty m:val="p"/>
          </m:rPr>
          <m:t>=</m:t>
        </m:r>
        <m:r>
          <m:t>0.507</m:t>
        </m:r>
      </m:oMath>
      <w:r>
        <w:t xml:space="preserve">, yet greedy generation still produces Portuguese text — suggesting that suppression operates through multiple redundant pathways</w:t>
      </w:r>
      <w:r>
        <w:t xml:space="preserve"> </w:t>
      </w:r>
      <w:fldSimple w:instr="NOTEREF _Ref_Footnote_2 \h \f">
        <w:r>
          <w:rPr>
            <w:vertAlign w:val="superscript"/>
          </w:rPr>
          <w:t>2</w:t>
        </w:r>
      </w:fldSimple>
      <w:r>
        <w:t xml:space="preserve"> </w:t>
      </w:r>
      <w:r>
        <w:rPr>
          <w:vertAlign w:val="superscript"/>
        </w:rPr>
        <w:footnoteReference w:id="133"/>
      </w:r>
      <w:r>
        <w:t xml:space="preserve">. This motivates a two-stage optimization strategy. Stage 1 searches for an input prefix that maximizes the probability of a flag-initial pattern (e.g.,</w:t>
      </w:r>
      <w:r>
        <w:t xml:space="preserve"> </w:t>
      </w:r>
      <w:r>
        <w:rPr>
          <w:rStyle w:val="VerbatimChar"/>
        </w:rPr>
        <w:t xml:space="preserve">f</w:t>
      </w:r>
      <w:r>
        <w:t xml:space="preserve"> </w:t>
      </w:r>
      <w:r>
        <w:t xml:space="preserve">after</w:t>
      </w:r>
      <w:r>
        <w:t xml:space="preserve"> </w:t>
      </w:r>
      <w:r>
        <w:rPr>
          <w:rStyle w:val="VerbatimChar"/>
        </w:rPr>
        <w:t xml:space="preserve">{</w:t>
      </w:r>
      <w:r>
        <w:t xml:space="preserve">), using GCG with a loss function that directly targets</w:t>
      </w:r>
      <w:r>
        <w:t xml:space="preserve"> </w:t>
      </w:r>
      <m:oMath>
        <m:r>
          <m:t>P</m:t>
        </m:r>
        <m:d>
          <m:dPr>
            <m:begChr m:val="("/>
            <m:endChr m:val=")"/>
            <m:sepChr m:val=""/>
            <m:grow/>
          </m:dPr>
          <m:e>
            <m:r>
              <m:rPr>
                <m:nor/>
                <m:sty m:val="p"/>
              </m:rPr>
              <m:t>flag-character</m:t>
            </m:r>
          </m:e>
        </m:d>
      </m:oMath>
      <w:r>
        <w:t xml:space="preserve">. Stage 2, with the Stage 1 prefix fixed, optimizes continuation tokens to extract the full flag string via MiniPrompt-style length-regularized search.</w:t>
      </w:r>
    </w:p>
    <w:p>
      <w:pPr>
        <w:pStyle w:val="BodyText"/>
      </w:pPr>
      <w:r>
        <w:t xml:space="preserve">The two-stage approach draws support from multiple research directions. DeGCG demonstrates that decoupling suffix optimization into first-token search followed by content-aware search yields faster jailbreaks</w:t>
      </w:r>
      <w:r>
        <w:t xml:space="preserve"> </w:t>
      </w:r>
      <w:r>
        <w:rPr>
          <w:vertAlign w:val="superscript"/>
        </w:rPr>
        <w:footnoteReference w:id="134"/>
      </w:r>
      <w:r>
        <w:t xml:space="preserve">. Confusion-Inducing Attacks (CIA) show that entropy-maximization can push models into states where memorized content emerges, functioning as a behavior-agnostic pre-searching stage</w:t>
      </w:r>
      <w:r>
        <w:t xml:space="preserve"> </w:t>
      </w:r>
      <w:r>
        <w:rPr>
          <w:vertAlign w:val="superscript"/>
        </w:rPr>
        <w:footnoteReference w:id="135"/>
      </w:r>
      <w:r>
        <w:t xml:space="preserve"> </w:t>
      </w:r>
      <w:r>
        <w:rPr>
          <w:vertAlign w:val="superscript"/>
        </w:rPr>
        <w:footnoteReference w:id="136"/>
      </w:r>
      <w:r>
        <w:t xml:space="preserve">. DSN’s two-part loss similarly separates suppression bypass from content elicitation</w:t>
      </w:r>
      <w:r>
        <w:t xml:space="preserve"> </w:t>
      </w:r>
      <w:fldSimple w:instr="NOTEREF _Ref_Footnote_125 \h \f">
        <w:r>
          <w:rPr>
            <w:vertAlign w:val="superscript"/>
          </w:rPr>
          <w:t>125</w:t>
        </w:r>
      </w:fldSimple>
      <w:r>
        <w:t xml:space="preserve">. The empirical convergence of these independent methods toward staged optimization suggests that the difficulty of simultaneously bypassing suppression and extracting specific content can be decomposed into more tractable sequential subproblems.</w:t>
      </w:r>
    </w:p>
    <w:bookmarkEnd w:id="89"/>
    <w:bookmarkEnd w:id="90"/>
    <w:bookmarkStart w:id="94" w:name="circuit-manipulation"/>
    <w:p>
      <w:pPr>
        <w:pStyle w:val="Heading3"/>
      </w:pPr>
      <w:r>
        <w:t xml:space="preserve">6.3 Circuit Manipulation</w:t>
      </w:r>
    </w:p>
    <w:bookmarkStart w:id="91" w:name="cascading-suppression-architecture"/>
    <w:p>
      <w:pPr>
        <w:pStyle w:val="Heading4"/>
      </w:pPr>
      <w:r>
        <w:t xml:space="preserve">6.3.1 Cascading Suppression Architecture</w:t>
      </w:r>
    </w:p>
    <w:p>
      <w:pPr>
        <w:pStyle w:val="FirstParagraph"/>
      </w:pPr>
      <w:r>
        <w:t xml:space="preserve">Cross-dimensional analysis strongly supports a</w:t>
      </w:r>
      <w:r>
        <w:t xml:space="preserve"> </w:t>
      </w:r>
      <w:r>
        <w:t xml:space="preserve">“</w:t>
      </w:r>
      <w:r>
        <w:t xml:space="preserve">cascading suppression</w:t>
      </w:r>
      <w:r>
        <w:t xml:space="preserve">”</w:t>
      </w:r>
      <w:r>
        <w:t xml:space="preserve"> </w:t>
      </w:r>
      <w:r>
        <w:t xml:space="preserve">hypothesis: Ode Triunfal likely contains multiple suppression layers arranged in sequence, where MLP6 functions as the first gate and secondary circuits activate when the primary gate is bypassed. This architecture explains why</w:t>
      </w:r>
      <w:r>
        <w:t xml:space="preserve"> </w:t>
      </w:r>
      <m:oMath>
        <m:r>
          <m:t>P</m:t>
        </m:r>
        <m:d>
          <m:dPr>
            <m:begChr m:val="("/>
            <m:endChr m:val=")"/>
            <m:sepChr m:val=""/>
            <m:grow/>
          </m:dPr>
          <m:e>
            <m:r>
              <m:t>f</m:t>
            </m:r>
          </m:e>
        </m:d>
      </m:oMath>
      <w:r>
        <w:t xml:space="preserve"> </w:t>
      </w:r>
      <w:r>
        <w:t xml:space="preserve">plateaus at 0.507 rather than approaching 1.0 upon MLP6 ablation. The evidence draws from circuit breaking research, which demonstrates that removing one circuit frequently reveals backup pathways</w:t>
      </w:r>
      <w:r>
        <w:t xml:space="preserve"> </w:t>
      </w:r>
      <w:fldSimple w:instr="NOTEREF _Ref_Footnote_9 \h \f">
        <w:r>
          <w:rPr>
            <w:vertAlign w:val="superscript"/>
          </w:rPr>
          <w:t>9</w:t>
        </w:r>
      </w:fldSimple>
      <w:r>
        <w:t xml:space="preserve">, and from Mixture-of-Experts backdoor studies showing that dormant experts can assume dominating roles when primary experts are disabled</w:t>
      </w:r>
      <w:r>
        <w:t xml:space="preserve"> </w:t>
      </w:r>
      <w:r>
        <w:rPr>
          <w:vertAlign w:val="superscript"/>
        </w:rPr>
        <w:footnoteReference w:id="137"/>
      </w:r>
      <w:r>
        <w:t xml:space="preserve">.</w:t>
      </w:r>
    </w:p>
    <w:p>
      <w:pPr>
        <w:pStyle w:val="BodyText"/>
      </w:pPr>
      <w:r>
        <w:t xml:space="preserve">The IOI circuit provides a canonical template for this behavior. S-Inhibition heads in layers 7–8 of the IOI circuit actively suppress Name Mover attention to duplicated tokens, modifying downstream queries rather than directly suppressing logits</w:t>
      </w:r>
      <w:r>
        <w:t xml:space="preserve"> </w:t>
      </w:r>
      <w:r>
        <w:rPr>
          <w:vertAlign w:val="superscript"/>
        </w:rPr>
        <w:footnoteReference w:id="138"/>
      </w:r>
      <w:r>
        <w:t xml:space="preserve"> </w:t>
      </w:r>
      <w:r>
        <w:rPr>
          <w:vertAlign w:val="superscript"/>
        </w:rPr>
        <w:footnoteReference w:id="139"/>
      </w:r>
      <w:r>
        <w:t xml:space="preserve">. When these heads are ablated, model performance degrades but does not collapse because</w:t>
      </w:r>
      <w:r>
        <w:t xml:space="preserve"> </w:t>
      </w:r>
      <w:r>
        <w:t xml:space="preserve">“</w:t>
      </w:r>
      <w:r>
        <w:t xml:space="preserve">backup pathways partially compensate</w:t>
      </w:r>
      <w:r>
        <w:t xml:space="preserve">”</w:t>
      </w:r>
      <w:r>
        <w:t xml:space="preserve"> </w:t>
      </w:r>
      <w:fldSimple w:instr="NOTEREF _Ref_Footnote_133 \h \f">
        <w:r>
          <w:rPr>
            <w:vertAlign w:val="superscript"/>
          </w:rPr>
          <w:t>133</w:t>
        </w:r>
      </w:fldSimple>
      <w:r>
        <w:t xml:space="preserve">— redundancy emerges from gradient descent discovering parallel paths during training. Similarly, Portuguesify suppression in Ode Triunfal likely employs both primary (MLP6) and secondary (potentially MLP7, MLP8, or attention-head-based) mechanisms.</w:t>
      </w:r>
    </w:p>
    <w:bookmarkEnd w:id="91"/>
    <w:bookmarkStart w:id="92" w:name="layer-wise-ablation-sweep-protocol"/>
    <w:p>
      <w:pPr>
        <w:pStyle w:val="Heading4"/>
      </w:pPr>
      <w:r>
        <w:t xml:space="preserve">6.3.2 Layer-Wise Ablation Sweep Protocol</w:t>
      </w:r>
    </w:p>
    <w:p>
      <w:pPr>
        <w:pStyle w:val="FirstParagraph"/>
      </w:pPr>
      <w:r>
        <w:t xml:space="preserve">Systematic identification of suppression cascade components requires a structured ablation protocol. The recommended procedure combines Edge Attribution Patching (EAP) for efficient initial circuit discovery with targeted activation patching for causal verification.</w:t>
      </w:r>
    </w:p>
    <w:p>
      <w:pPr>
        <w:pStyle w:val="BodyText"/>
      </w:pPr>
      <w:r>
        <w:t xml:space="preserve">EAP computes first-order approximations of edge importance using</w:t>
      </w:r>
      <w:r>
        <w:t xml:space="preserve"> </w:t>
      </w:r>
      <m:oMath>
        <m:sSup>
          <m:e>
            <m:d>
              <m:dPr>
                <m:begChr m:val="("/>
                <m:endChr m:val=")"/>
                <m:sepChr m:val=""/>
                <m:grow/>
              </m:dPr>
              <m:e>
                <m:sSub>
                  <m:e>
                    <m:r>
                      <m:t>x</m:t>
                    </m:r>
                  </m:e>
                  <m:sub>
                    <m:r>
                      <m:rPr>
                        <m:nor/>
                        <m:sty m:val="p"/>
                      </m:rPr>
                      <m:t>corr</m:t>
                    </m:r>
                  </m:sub>
                </m:sSub>
                <m:r>
                  <m:rPr>
                    <m:sty m:val="p"/>
                  </m:rPr>
                  <m:t>−</m:t>
                </m:r>
                <m:sSub>
                  <m:e>
                    <m:r>
                      <m:t>x</m:t>
                    </m:r>
                  </m:e>
                  <m:sub>
                    <m:r>
                      <m:rPr>
                        <m:nor/>
                        <m:sty m:val="p"/>
                      </m:rPr>
                      <m:t>clean</m:t>
                    </m:r>
                  </m:sub>
                </m:sSub>
              </m:e>
            </m:d>
          </m:e>
          <m:sup>
            <m:r>
              <m:t>T</m:t>
            </m:r>
          </m:sup>
        </m:sSup>
        <m:sSub>
          <m:e>
            <m:r>
              <m:rPr>
                <m:sty m:val="p"/>
              </m:rPr>
              <m:t>∇</m:t>
            </m:r>
          </m:e>
          <m:sub>
            <m:sSub>
              <m:e>
                <m:r>
                  <m:t>x</m:t>
                </m:r>
              </m:e>
              <m:sub>
                <m:r>
                  <m:rPr>
                    <m:nor/>
                    <m:sty m:val="p"/>
                  </m:rPr>
                  <m:t>clean</m:t>
                </m:r>
              </m:sub>
            </m:sSub>
          </m:sub>
        </m:sSub>
        <m:r>
          <m:rPr>
            <m:sty m:val="p"/>
            <m:scr m:val="script"/>
          </m:rPr>
          <m:t>L</m:t>
        </m:r>
      </m:oMath>
      <w:r>
        <w:t xml:space="preserve">, requiring only two forward passes and one backward pass per dataset — a ~30,000x speedup over per-head activation patching for models such as GPT-2 XL</w:t>
      </w:r>
      <w:r>
        <w:t xml:space="preserve"> </w:t>
      </w:r>
      <w:fldSimple w:instr="NOTEREF _Ref_Footnote_12 \h \f">
        <w:r>
          <w:rPr>
            <w:vertAlign w:val="superscript"/>
          </w:rPr>
          <w:t>12</w:t>
        </w:r>
      </w:fldSimple>
      <w:r>
        <w:t xml:space="preserve"> </w:t>
      </w:r>
      <w:fldSimple w:instr="NOTEREF _Ref_Footnote_13 \h \f">
        <w:r>
          <w:rPr>
            <w:vertAlign w:val="superscript"/>
          </w:rPr>
          <w:t>13</w:t>
        </w:r>
      </w:fldSimple>
      <w:r>
        <w:t xml:space="preserve">. EAP has been shown to outperform ACDC in both runtime and accuracy (higher ROC-AUC on IOI, Gender Bias, and Greater-Than tasks)</w:t>
      </w:r>
      <w:r>
        <w:t xml:space="preserve"> </w:t>
      </w:r>
      <w:fldSimple w:instr="NOTEREF _Ref_Footnote_13 \h \f">
        <w:r>
          <w:rPr>
            <w:vertAlign w:val="superscript"/>
          </w:rPr>
          <w:t>13</w:t>
        </w:r>
      </w:fldSimple>
      <w:r>
        <w:t xml:space="preserve"> </w:t>
      </w:r>
      <w:fldSimple w:instr="NOTEREF _Ref_Footnote_5 \h \f">
        <w:r>
          <w:rPr>
            <w:vertAlign w:val="superscript"/>
          </w:rPr>
          <w:t>5</w:t>
        </w:r>
      </w:fldSimple>
      <w:r>
        <w:t xml:space="preserve">. For Ode Triunfal, running EAP with clean=normal run and corrupted=MLP6-ablated run identifies edges with highest attribution under ablation, revealing the precise computational path from suppression bypass to increased</w:t>
      </w:r>
      <w:r>
        <w:t xml:space="preserve"> </w:t>
      </w:r>
      <m:oMath>
        <m:r>
          <m:t>P</m:t>
        </m:r>
        <m:d>
          <m:dPr>
            <m:begChr m:val="("/>
            <m:endChr m:val=")"/>
            <m:sepChr m:val=""/>
            <m:grow/>
          </m:dPr>
          <m:e>
            <m:r>
              <m:t>f</m:t>
            </m:r>
          </m:e>
        </m:d>
      </m:oMath>
      <w:r>
        <w:t xml:space="preserve">.</w:t>
      </w:r>
    </w:p>
    <w:p>
      <w:pPr>
        <w:pStyle w:val="BodyText"/>
      </w:pPr>
      <w:r>
        <w:t xml:space="preserve">The hybrid approach — EAP for pre-pruning followed by focused ACDC on the reduced subgraph — achieves the best practical results</w:t>
      </w:r>
      <w:r>
        <w:t xml:space="preserve"> </w:t>
      </w:r>
      <w:fldSimple w:instr="NOTEREF _Ref_Footnote_13 \h \f">
        <w:r>
          <w:rPr>
            <w:vertAlign w:val="superscript"/>
          </w:rPr>
          <w:t>13</w:t>
        </w:r>
      </w:fldSimple>
      <w:r>
        <w:t xml:space="preserve">. ACDC iterates from outputs to inputs in the computation graph, attempting to remove as many incoming edges as possible while maintaining model performance above a KL-divergence threshold</w:t>
      </w:r>
      <w:r>
        <w:t xml:space="preserve"> </w:t>
      </w:r>
      <m:oMath>
        <m:r>
          <m:t>τ</m:t>
        </m:r>
      </m:oMath>
      <w:r>
        <w:t xml:space="preserve"> </w:t>
      </w:r>
      <w:r>
        <w:rPr>
          <w:vertAlign w:val="superscript"/>
        </w:rPr>
        <w:footnoteReference w:id="140"/>
      </w:r>
      <w:r>
        <w:t xml:space="preserve">. For GPT-2 Small on IOI, ACDC discovered a subgraph of 1,041 edges out of 32,923 total, rediscovering all five manually identified component types</w:t>
      </w:r>
      <w:r>
        <w:t xml:space="preserve"> </w:t>
      </w:r>
      <w:r>
        <w:rPr>
          <w:vertAlign w:val="superscript"/>
        </w:rPr>
        <w:footnoteReference w:id="141"/>
      </w:r>
      <w:r>
        <w:t xml:space="preserve">.</w:t>
      </w:r>
    </w:p>
    <w:tbl>
      <w:tblPr>
        <w:tblStyle w:val="Table"/>
        <w:tblW w:type="pct" w:w="5000"/>
        <w:tblLook w:firstRow="1" w:lastRow="0" w:firstColumn="0" w:lastColumn="0" w:noHBand="0" w:noVBand="0" w:val="0020"/>
      </w:tblPr>
      <w:tblGrid>
        <w:gridCol w:w="1643"/>
        <w:gridCol w:w="2839"/>
        <w:gridCol w:w="1494"/>
        <w:gridCol w:w="1942"/>
      </w:tblGrid>
      <w:tr>
        <w:trPr>
          <w:tblHeader w:val="true"/>
        </w:trPr>
        <w:tc>
          <w:tcPr/>
          <w:p>
            <w:pPr>
              <w:pStyle w:val="Compact"/>
              <w:jc w:val="left"/>
            </w:pPr>
            <w:r>
              <w:t xml:space="preserve">Technique</w:t>
            </w:r>
          </w:p>
        </w:tc>
        <w:tc>
          <w:tcPr/>
          <w:p>
            <w:pPr>
              <w:pStyle w:val="Compact"/>
              <w:jc w:val="left"/>
            </w:pPr>
            <w:r>
              <w:t xml:space="preserve">Computational Cost</w:t>
            </w:r>
          </w:p>
        </w:tc>
        <w:tc>
          <w:tcPr/>
          <w:p>
            <w:pPr>
              <w:pStyle w:val="Compact"/>
              <w:jc w:val="left"/>
            </w:pPr>
            <w:r>
              <w:t xml:space="preserve">Best For</w:t>
            </w:r>
          </w:p>
        </w:tc>
        <w:tc>
          <w:tcPr/>
          <w:p>
            <w:pPr>
              <w:pStyle w:val="Compact"/>
              <w:jc w:val="left"/>
            </w:pPr>
            <w:r>
              <w:t xml:space="preserve">Limitations</w:t>
            </w:r>
          </w:p>
        </w:tc>
      </w:tr>
      <w:tr>
        <w:tc>
          <w:tcPr/>
          <w:p>
            <w:pPr>
              <w:pStyle w:val="Compact"/>
              <w:jc w:val="left"/>
            </w:pPr>
            <w:r>
              <w:t xml:space="preserve">EAP</w:t>
            </w:r>
            <w:r>
              <w:t xml:space="preserve"> </w:t>
            </w:r>
            <w:fldSimple w:instr="NOTEREF _Ref_Footnote_13 \h \f">
              <w:r>
                <w:rPr>
                  <w:vertAlign w:val="superscript"/>
                </w:rPr>
                <w:t>13</w:t>
              </w:r>
            </w:fldSimple>
          </w:p>
        </w:tc>
        <w:tc>
          <w:tcPr/>
          <w:p>
            <w:pPr>
              <w:pStyle w:val="Compact"/>
              <w:jc w:val="left"/>
            </w:pPr>
            <w:r>
              <w:t xml:space="preserve">2 fwd + 1 bwd passes</w:t>
            </w:r>
          </w:p>
        </w:tc>
        <w:tc>
          <w:tcPr/>
          <w:p>
            <w:pPr>
              <w:pStyle w:val="Compact"/>
              <w:jc w:val="left"/>
            </w:pPr>
            <w:r>
              <w:t xml:space="preserve">Fast initial circuit discovery; large models</w:t>
            </w:r>
          </w:p>
        </w:tc>
        <w:tc>
          <w:tcPr/>
          <w:p>
            <w:pPr>
              <w:pStyle w:val="Compact"/>
              <w:jc w:val="left"/>
            </w:pPr>
            <w:r>
              <w:t xml:space="preserve">MLP-heavy circuits (saturation effects); early layers with multi-variable dependence</w:t>
            </w:r>
            <w:r>
              <w:t xml:space="preserve"> </w:t>
            </w:r>
            <w:fldSimple w:instr="NOTEREF _Ref_Footnote_12 \h \f">
              <w:r>
                <w:rPr>
                  <w:vertAlign w:val="superscript"/>
                </w:rPr>
                <w:t>12</w:t>
              </w:r>
            </w:fldSimple>
          </w:p>
        </w:tc>
      </w:tr>
      <w:tr>
        <w:tc>
          <w:tcPr/>
          <w:p>
            <w:pPr>
              <w:pStyle w:val="Compact"/>
              <w:jc w:val="left"/>
            </w:pPr>
            <w:r>
              <w:t xml:space="preserve">EAP-IG</w:t>
            </w:r>
            <w:r>
              <w:t xml:space="preserve"> </w:t>
            </w:r>
            <w:fldSimple w:instr="NOTEREF _Ref_Footnote_5 \h \f">
              <w:r>
                <w:rPr>
                  <w:vertAlign w:val="superscript"/>
                </w:rPr>
                <w:t>5</w:t>
              </w:r>
            </w:fldSimple>
          </w:p>
        </w:tc>
        <w:tc>
          <w:tcPr/>
          <w:p>
            <w:pPr>
              <w:pStyle w:val="Compact"/>
              <w:jc w:val="left"/>
            </w:pPr>
            <w:r>
              <w:t xml:space="preserve">~2x EAP cost</w:t>
            </w:r>
          </w:p>
        </w:tc>
        <w:tc>
          <w:tcPr/>
          <w:p>
            <w:pPr>
              <w:pStyle w:val="Compact"/>
              <w:jc w:val="left"/>
            </w:pPr>
            <w:r>
              <w:t xml:space="preserve">Zero-gradient regions (KL-divergence saturation)</w:t>
            </w:r>
          </w:p>
        </w:tc>
        <w:tc>
          <w:tcPr/>
          <w:p>
            <w:pPr>
              <w:pStyle w:val="Compact"/>
              <w:jc w:val="left"/>
            </w:pPr>
            <w:r>
              <w:t xml:space="preserve">Moderate faithfulness improvement over EAP</w:t>
            </w:r>
          </w:p>
        </w:tc>
      </w:tr>
      <w:tr>
        <w:tc>
          <w:tcPr/>
          <w:p>
            <w:pPr>
              <w:pStyle w:val="Compact"/>
              <w:jc w:val="left"/>
            </w:pPr>
            <w:r>
              <w:t xml:space="preserve">EAP-GP</w:t>
            </w:r>
            <w:r>
              <w:t xml:space="preserve"> </w:t>
            </w:r>
            <w:r>
              <w:rPr>
                <w:vertAlign w:val="superscript"/>
              </w:rPr>
              <w:footnoteReference w:id="142"/>
            </w:r>
          </w:p>
        </w:tc>
        <w:tc>
          <w:tcPr/>
          <w:p>
            <w:pPr>
              <w:pStyle w:val="Compact"/>
              <w:jc w:val="left"/>
            </w:pPr>
            <w:r>
              <w:t xml:space="preserve">~5x EAP-IG cost</w:t>
            </w:r>
          </w:p>
        </w:tc>
        <w:tc>
          <w:tcPr/>
          <w:p>
            <w:pPr>
              <w:pStyle w:val="Compact"/>
              <w:jc w:val="left"/>
            </w:pPr>
            <w:r>
              <w:t xml:space="preserve">Maximum circuit faithfulness (+17.7% over EAP-IG)</w:t>
            </w:r>
            <w:r>
              <w:t xml:space="preserve"> </w:t>
            </w:r>
            <w:r>
              <w:rPr>
                <w:vertAlign w:val="superscript"/>
              </w:rPr>
              <w:footnoteReference w:id="143"/>
            </w:r>
          </w:p>
        </w:tc>
        <w:tc>
          <w:tcPr/>
          <w:p>
            <w:pPr>
              <w:pStyle w:val="Compact"/>
              <w:jc w:val="left"/>
            </w:pPr>
            <w:r>
              <w:t xml:space="preserve">Runtime trade-off for accuracy</w:t>
            </w:r>
          </w:p>
        </w:tc>
      </w:tr>
      <w:tr>
        <w:tc>
          <w:tcPr/>
          <w:p>
            <w:pPr>
              <w:pStyle w:val="Compact"/>
              <w:jc w:val="left"/>
            </w:pPr>
            <w:r>
              <w:t xml:space="preserve">ACDC</w:t>
            </w:r>
            <w:r>
              <w:t xml:space="preserve"> </w:t>
            </w:r>
            <w:fldSimple w:instr="NOTEREF _Ref_Footnote_140 \h \f">
              <w:r>
                <w:rPr>
                  <w:vertAlign w:val="superscript"/>
                </w:rPr>
                <w:t>140</w:t>
              </w:r>
            </w:fldSimple>
          </w:p>
        </w:tc>
        <w:tc>
          <w:tcPr/>
          <w:p>
            <w:pPr>
              <w:pStyle w:val="Compact"/>
              <w:jc w:val="left"/>
            </w:pPr>
            <w:r>
              <w:t xml:space="preserve">1 fwd pass per edge</w:t>
            </w:r>
          </w:p>
        </w:tc>
        <w:tc>
          <w:tcPr/>
          <w:p>
            <w:pPr>
              <w:pStyle w:val="Compact"/>
              <w:jc w:val="left"/>
            </w:pPr>
            <w:r>
              <w:t xml:space="preserve">Precise edge-level verification on pruned graphs</w:t>
            </w:r>
          </w:p>
        </w:tc>
        <w:tc>
          <w:tcPr/>
          <w:p>
            <w:pPr>
              <w:pStyle w:val="Compact"/>
              <w:jc w:val="left"/>
            </w:pPr>
            <w:r>
              <w:t xml:space="preserve">Intractable for large models without pre-pruning</w:t>
            </w:r>
          </w:p>
        </w:tc>
      </w:tr>
      <w:tr>
        <w:tc>
          <w:tcPr/>
          <w:p>
            <w:pPr>
              <w:pStyle w:val="Compact"/>
              <w:jc w:val="left"/>
            </w:pPr>
            <w:r>
              <w:t xml:space="preserve">Activation Patching</w:t>
            </w:r>
            <w:r>
              <w:t xml:space="preserve"> </w:t>
            </w:r>
            <w:r>
              <w:rPr>
                <w:vertAlign w:val="superscript"/>
              </w:rPr>
              <w:footnoteReference w:id="144"/>
            </w:r>
          </w:p>
        </w:tc>
        <w:tc>
          <w:tcPr/>
          <w:p>
            <w:pPr>
              <w:pStyle w:val="Compact"/>
              <w:jc w:val="left"/>
            </w:pPr>
            <w:r>
              <w:t xml:space="preserve">2 fwd passes per component</w:t>
            </w:r>
          </w:p>
        </w:tc>
        <w:tc>
          <w:tcPr/>
          <w:p>
            <w:pPr>
              <w:pStyle w:val="Compact"/>
              <w:jc w:val="left"/>
            </w:pPr>
            <w:r>
              <w:t xml:space="preserve">Causal verification of specific edges/nodes</w:t>
            </w:r>
          </w:p>
        </w:tc>
        <w:tc>
          <w:tcPr/>
          <w:p>
            <w:pPr>
              <w:pStyle w:val="Compact"/>
              <w:jc w:val="left"/>
            </w:pPr>
            <w:r>
              <w:t xml:space="preserve">Does not scale to full-graph analysis</w:t>
            </w:r>
          </w:p>
        </w:tc>
      </w:tr>
    </w:tbl>
    <w:p>
      <w:pPr>
        <w:pStyle w:val="BodyText"/>
      </w:pPr>
      <w:r>
        <w:t xml:space="preserve">The layer-wise ablation sweep protocol proceeds as follows: first, run EAP to identify the top-</w:t>
      </w:r>
      <m:oMath>
        <m:r>
          <m:t>k</m:t>
        </m:r>
      </m:oMath>
      <w:r>
        <w:t xml:space="preserve"> </w:t>
      </w:r>
      <w:r>
        <w:t xml:space="preserve">edges most relevant to Portuguesify behavior; second, verify each candidate edge via activation patching (denoising from clean to corrupt, noising from corrupt to clean)</w:t>
      </w:r>
      <w:r>
        <w:t xml:space="preserve"> </w:t>
      </w:r>
      <w:r>
        <w:rPr>
          <w:vertAlign w:val="superscript"/>
        </w:rPr>
        <w:footnoteReference w:id="145"/>
      </w:r>
      <w:r>
        <w:t xml:space="preserve">; third, ablate verified suppression components individually and in combination, measuring</w:t>
      </w:r>
      <w:r>
        <w:t xml:space="preserve"> </w:t>
      </w:r>
      <m:oMath>
        <m:r>
          <m:t>P</m:t>
        </m:r>
        <m:d>
          <m:dPr>
            <m:begChr m:val="("/>
            <m:endChr m:val=")"/>
            <m:sepChr m:val=""/>
            <m:grow/>
          </m:dPr>
          <m:e>
            <m:r>
              <m:t>f</m:t>
            </m:r>
          </m:e>
        </m:d>
      </m:oMath>
      <w:r>
        <w:t xml:space="preserve"> </w:t>
      </w:r>
      <w:r>
        <w:t xml:space="preserve">at each configuration; fourth, map the complete suppression landscape to identify all gates requiring simultaneous bypass.</w:t>
      </w:r>
    </w:p>
    <w:bookmarkEnd w:id="92"/>
    <w:bookmarkStart w:id="93" w:name="rome-style-surgical-intervention-on-mlp6"/>
    <w:p>
      <w:pPr>
        <w:pStyle w:val="Heading4"/>
      </w:pPr>
      <w:r>
        <w:t xml:space="preserve">6.3.3 ROME-Style Surgical Intervention on MLP6</w:t>
      </w:r>
    </w:p>
    <w:p>
      <w:pPr>
        <w:pStyle w:val="FirstParagraph"/>
      </w:pPr>
      <w:r>
        <w:t xml:space="preserve">Rank-One Model Editing (ROME), introduced by Meng et al. in 2022, provides a framework for surgical intervention on specific MLP layers by treating them as key-value memories</w:t>
      </w:r>
      <w:r>
        <w:t xml:space="preserve"> </w:t>
      </w:r>
      <w:r>
        <w:rPr>
          <w:vertAlign w:val="superscript"/>
        </w:rPr>
        <w:footnoteReference w:id="146"/>
      </w:r>
      <w:r>
        <w:t xml:space="preserve"> </w:t>
      </w:r>
      <w:r>
        <w:rPr>
          <w:vertAlign w:val="superscript"/>
        </w:rPr>
        <w:footnoteReference w:id="147"/>
      </w:r>
      <w:r>
        <w:t xml:space="preserve">. ROME identifies mediating MLP layers through causal tracing — corrupting the subject token in a prompt, restoring activations at different layers and positions, and measuring the probability of correct completion. For GPT-J, mediating layers were</w:t>
      </w:r>
      <w:r>
        <w:t xml:space="preserve"> </w:t>
      </w:r>
      <m:oMath>
        <m:r>
          <m:t>R</m:t>
        </m:r>
        <m:r>
          <m:rPr>
            <m:sty m:val="p"/>
          </m:rPr>
          <m:t>=</m:t>
        </m:r>
        <m:r>
          <m:rPr>
            <m:sty m:val="p"/>
          </m:rPr>
          <m:t>{</m:t>
        </m:r>
        <m:r>
          <m:t>3</m:t>
        </m:r>
        <m:r>
          <m:rPr>
            <m:sty m:val="p"/>
          </m:rPr>
          <m:t>,</m:t>
        </m:r>
        <m:r>
          <m:t>4</m:t>
        </m:r>
        <m:r>
          <m:rPr>
            <m:sty m:val="p"/>
          </m:rPr>
          <m:t>,</m:t>
        </m:r>
        <m:r>
          <m:t>5</m:t>
        </m:r>
        <m:r>
          <m:rPr>
            <m:sty m:val="p"/>
          </m:rPr>
          <m:t>,</m:t>
        </m:r>
        <m:r>
          <m:t>6</m:t>
        </m:r>
        <m:r>
          <m:rPr>
            <m:sty m:val="p"/>
          </m:rPr>
          <m:t>,</m:t>
        </m:r>
        <m:r>
          <m:t>7</m:t>
        </m:r>
        <m:r>
          <m:rPr>
            <m:sty m:val="p"/>
          </m:rPr>
          <m:t>,</m:t>
        </m:r>
        <m:r>
          <m:t>8</m:t>
        </m:r>
        <m:r>
          <m:rPr>
            <m:sty m:val="p"/>
          </m:rPr>
          <m:t>}</m:t>
        </m:r>
      </m:oMath>
      <w:r>
        <w:t xml:space="preserve"> </w:t>
      </w:r>
      <w:fldSimple w:instr="NOTEREF _Ref_Footnote_146 \h \f">
        <w:r>
          <w:rPr>
            <w:vertAlign w:val="superscript"/>
          </w:rPr>
          <w:t>146</w:t>
        </w:r>
      </w:fldSimple>
      <w:r>
        <w:t xml:space="preserve">. The weight update takes the form</w:t>
      </w:r>
      <w:r>
        <w:t xml:space="preserve"> </w:t>
      </w:r>
      <m:oMath>
        <m:sSub>
          <m:e>
            <m:r>
              <m:t>W</m:t>
            </m:r>
          </m:e>
          <m:sub>
            <m:r>
              <m:t>1</m:t>
            </m:r>
          </m:sub>
        </m:sSub>
        <m:r>
          <m:rPr>
            <m:sty m:val="p"/>
          </m:rPr>
          <m:t>=</m:t>
        </m:r>
        <m:sSub>
          <m:e>
            <m:r>
              <m:t>W</m:t>
            </m:r>
          </m:e>
          <m:sub>
            <m:r>
              <m:t>0</m:t>
            </m:r>
          </m:sub>
        </m:sSub>
        <m:r>
          <m:rPr>
            <m:sty m:val="p"/>
          </m:rPr>
          <m:t>+</m:t>
        </m:r>
        <m:r>
          <m:t>Δ</m:t>
        </m:r>
      </m:oMath>
      <w:r>
        <w:t xml:space="preserve">, where</w:t>
      </w:r>
      <w:r>
        <w:t xml:space="preserve"> </w:t>
      </w:r>
      <m:oMath>
        <m:r>
          <m:t>Δ</m:t>
        </m:r>
      </m:oMath>
      <w:r>
        <w:t xml:space="preserve"> </w:t>
      </w:r>
      <w:r>
        <w:t xml:space="preserve">is computed to introduce new factual associations while preserving existing knowledge.</w:t>
      </w:r>
    </w:p>
    <w:p>
      <w:pPr>
        <w:pStyle w:val="BodyText"/>
      </w:pPr>
      <w:r>
        <w:t xml:space="preserve">In the Ode Triunfal context, ROME-style intervention on MLP6 offers a more targeted alternative to full ablation. Rather than zeroing MLP6 outputs entirely — which may also remove information necessary for flag generation — surgical editing could modify specific key-value associations within MLP6 to decouple the Portuguesify suppression from the flag circuit. MEMIT extends this approach to batch editing across multiple layers simultaneously</w:t>
      </w:r>
      <w:r>
        <w:t xml:space="preserve"> </w:t>
      </w:r>
      <w:fldSimple w:instr="NOTEREF _Ref_Footnote_146 \h \f">
        <w:r>
          <w:rPr>
            <w:vertAlign w:val="superscript"/>
          </w:rPr>
          <w:t>146</w:t>
        </w:r>
      </w:fldSimple>
      <w:r>
        <w:t xml:space="preserve">, potentially enabling simultaneous modification of all suppression cascade components identified through the ablation sweep protocol. PMET further extends editing to include multi-head attention mechanisms alongside feedforward layers</w:t>
      </w:r>
      <w:r>
        <w:t xml:space="preserve"> </w:t>
      </w:r>
      <w:fldSimple w:instr="NOTEREF _Ref_Footnote_147 \h \f">
        <w:r>
          <w:rPr>
            <w:vertAlign w:val="superscript"/>
          </w:rPr>
          <w:t>147</w:t>
        </w:r>
      </w:fldSimple>
      <w:r>
        <w:t xml:space="preserve">, acknowledging that suppression circuits may span both MLP and attention components.</w:t>
      </w:r>
    </w:p>
    <w:bookmarkEnd w:id="93"/>
    <w:bookmarkEnd w:id="94"/>
    <w:bookmarkStart w:id="97" w:name="ctf-competition-precedents"/>
    <w:p>
      <w:pPr>
        <w:pStyle w:val="Heading3"/>
      </w:pPr>
      <w:r>
        <w:t xml:space="preserve">6.4 CTF Competition Precedents</w:t>
      </w:r>
    </w:p>
    <w:bookmarkStart w:id="95" w:name="X6a23aa85ca4cab05fb4263041d4e49cdd1198e9"/>
    <w:p>
      <w:pPr>
        <w:pStyle w:val="Heading4"/>
      </w:pPr>
      <w:r>
        <w:t xml:space="preserve">6.4.1 Table: Solved ML CTF Challenges Most Similar to Ode Triunfal</w:t>
      </w:r>
    </w:p>
    <w:p>
      <w:pPr>
        <w:pStyle w:val="FirstParagraph"/>
      </w:pPr>
      <w:r>
        <w:t xml:space="preserve">Analysis of 20+ solved ML/LLM CTF challenges reveals six that share structural properties with Ode Triunfal: hidden data in model weights, trained suppression of specific outputs, iterative extraction through model inference, gradient-based input optimization, and circuit-level intervention requirements.</w:t>
      </w:r>
    </w:p>
    <w:tbl>
      <w:tblPr>
        <w:tblStyle w:val="Table"/>
        <w:tblW w:type="pct" w:w="5000"/>
        <w:tblLook w:firstRow="1" w:lastRow="0" w:firstColumn="0" w:lastColumn="0" w:noHBand="0" w:noVBand="0" w:val="0020"/>
      </w:tblPr>
      <w:tblGrid>
        <w:gridCol w:w="1405"/>
        <w:gridCol w:w="1660"/>
        <w:gridCol w:w="1405"/>
        <w:gridCol w:w="3449"/>
      </w:tblGrid>
      <w:tr>
        <w:trPr>
          <w:tblHeader w:val="true"/>
        </w:trPr>
        <w:tc>
          <w:tcPr/>
          <w:p>
            <w:pPr>
              <w:pStyle w:val="Compact"/>
              <w:jc w:val="left"/>
            </w:pPr>
            <w:r>
              <w:t xml:space="preserve">Challenge</w:t>
            </w:r>
          </w:p>
        </w:tc>
        <w:tc>
          <w:tcPr/>
          <w:p>
            <w:pPr>
              <w:pStyle w:val="Compact"/>
              <w:jc w:val="left"/>
            </w:pPr>
            <w:r>
              <w:t xml:space="preserve">Competition</w:t>
            </w:r>
          </w:p>
        </w:tc>
        <w:tc>
          <w:tcPr/>
          <w:p>
            <w:pPr>
              <w:pStyle w:val="Compact"/>
              <w:jc w:val="left"/>
            </w:pPr>
            <w:r>
              <w:t xml:space="preserve">Technique</w:t>
            </w:r>
          </w:p>
        </w:tc>
        <w:tc>
          <w:tcPr/>
          <w:p>
            <w:pPr>
              <w:pStyle w:val="Compact"/>
              <w:jc w:val="left"/>
            </w:pPr>
            <w:r>
              <w:t xml:space="preserve">Similarity to Ode Triunfal</w:t>
            </w:r>
          </w:p>
        </w:tc>
      </w:tr>
      <w:tr>
        <w:tc>
          <w:tcPr/>
          <w:p>
            <w:pPr>
              <w:pStyle w:val="Compact"/>
              <w:jc w:val="left"/>
            </w:pPr>
            <w:r>
              <w:t xml:space="preserve">BSidesSF model.pkl</w:t>
            </w:r>
            <w:r>
              <w:t xml:space="preserve"> </w:t>
            </w:r>
            <w:r>
              <w:rPr>
                <w:vertAlign w:val="superscript"/>
              </w:rPr>
              <w:footnoteReference w:id="148"/>
            </w:r>
          </w:p>
        </w:tc>
        <w:tc>
          <w:tcPr/>
          <w:p>
            <w:pPr>
              <w:pStyle w:val="Compact"/>
              <w:jc w:val="left"/>
            </w:pPr>
            <w:r>
              <w:t xml:space="preserve">Anthropic CTF</w:t>
            </w:r>
          </w:p>
        </w:tc>
        <w:tc>
          <w:tcPr/>
          <w:p>
            <w:pPr>
              <w:pStyle w:val="Compact"/>
              <w:jc w:val="left"/>
            </w:pPr>
            <w:r>
              <w:t xml:space="preserve">top-k=2 sampling; gradient input optimization for password recovery</w:t>
            </w:r>
          </w:p>
        </w:tc>
        <w:tc>
          <w:tcPr/>
          <w:p>
            <w:pPr>
              <w:pStyle w:val="Compact"/>
              <w:jc w:val="left"/>
            </w:pPr>
            <w:r>
              <w:t xml:space="preserve">Hidden message in secondary predictions; gradient-based input reconstruction from target output</w:t>
            </w:r>
          </w:p>
        </w:tc>
      </w:tr>
      <w:tr>
        <w:tc>
          <w:tcPr/>
          <w:p>
            <w:pPr>
              <w:pStyle w:val="Compact"/>
              <w:jc w:val="left"/>
            </w:pPr>
            <w:r>
              <w:t xml:space="preserve">“</w:t>
            </w:r>
            <w:r>
              <w:t xml:space="preserve">Leakage</w:t>
            </w:r>
            <w:r>
              <w:t xml:space="preserve">”</w:t>
            </w:r>
            <w:r>
              <w:t xml:space="preserve"> </w:t>
            </w:r>
            <w:fldSimple w:instr="NOTEREF _Ref_Footnote_14 \h \f">
              <w:r>
                <w:rPr>
                  <w:vertAlign w:val="superscript"/>
                </w:rPr>
                <w:t>14</w:t>
              </w:r>
            </w:fldSimple>
            <w:r>
              <w:t xml:space="preserve"> </w:t>
            </w:r>
            <w:r>
              <w:rPr>
                <w:vertAlign w:val="superscript"/>
              </w:rPr>
              <w:footnoteReference w:id="149"/>
            </w:r>
          </w:p>
        </w:tc>
        <w:tc>
          <w:tcPr/>
          <w:p>
            <w:pPr>
              <w:pStyle w:val="Compact"/>
              <w:jc w:val="left"/>
            </w:pPr>
            <w:r>
              <w:t xml:space="preserve">DEF CON 30 AI Village</w:t>
            </w:r>
          </w:p>
        </w:tc>
        <w:tc>
          <w:tcPr/>
          <w:p>
            <w:pPr>
              <w:pStyle w:val="Compact"/>
              <w:jc w:val="left"/>
            </w:pPr>
            <w:r>
              <w:t xml:space="preserve">Iterative char-RNN prediction from seed prompt</w:t>
            </w:r>
          </w:p>
        </w:tc>
        <w:tc>
          <w:tcPr/>
          <w:p>
            <w:pPr>
              <w:pStyle w:val="Compact"/>
              <w:jc w:val="left"/>
            </w:pPr>
            <w:r>
              <w:t xml:space="preserve">Iterative auto-completion from trained model memory; character-by-character extraction</w:t>
            </w:r>
          </w:p>
        </w:tc>
      </w:tr>
      <w:tr>
        <w:tc>
          <w:tcPr/>
          <w:p>
            <w:pPr>
              <w:pStyle w:val="Compact"/>
              <w:jc w:val="left"/>
            </w:pPr>
            <w:r>
              <w:t xml:space="preserve">“</w:t>
            </w:r>
            <w:r>
              <w:t xml:space="preserve">MLMPire</w:t>
            </w:r>
            <w:r>
              <w:t xml:space="preserve">”</w:t>
            </w:r>
            <w:r>
              <w:t xml:space="preserve"> </w:t>
            </w:r>
            <w:fldSimple w:instr="NOTEREF _Ref_Footnote_41 \h \f">
              <w:r>
                <w:rPr>
                  <w:vertAlign w:val="superscript"/>
                </w:rPr>
                <w:t>41</w:t>
              </w:r>
            </w:fldSimple>
          </w:p>
        </w:tc>
        <w:tc>
          <w:tcPr/>
          <w:p>
            <w:pPr>
              <w:pStyle w:val="Compact"/>
              <w:jc w:val="left"/>
            </w:pPr>
            <w:r>
              <w:t xml:space="preserve">Singapore AI CTF 2025</w:t>
            </w:r>
          </w:p>
        </w:tc>
        <w:tc>
          <w:tcPr/>
          <w:p>
            <w:pPr>
              <w:pStyle w:val="Compact"/>
              <w:jc w:val="left"/>
            </w:pPr>
            <w:r>
              <w:t xml:space="preserve">GPT-2 iterative next-token prediction with prompt engineering; decoy elimination</w:t>
            </w:r>
          </w:p>
        </w:tc>
        <w:tc>
          <w:tcPr/>
          <w:p>
            <w:pPr>
              <w:pStyle w:val="Compact"/>
              <w:jc w:val="left"/>
            </w:pPr>
            <w:r>
              <w:t xml:space="preserve">LLM-based flag extraction from model memory; fake flags as decoys; prompt-dependent extraction</w:t>
            </w:r>
          </w:p>
        </w:tc>
      </w:tr>
      <w:tr>
        <w:tc>
          <w:tcPr/>
          <w:p>
            <w:pPr>
              <w:pStyle w:val="Compact"/>
              <w:jc w:val="left"/>
            </w:pPr>
            <w:r>
              <w:t xml:space="preserve">“</w:t>
            </w:r>
            <w:r>
              <w:t xml:space="preserve">Enchanted Weights</w:t>
            </w:r>
            <w:r>
              <w:t xml:space="preserve">”</w:t>
            </w:r>
            <w:r>
              <w:t xml:space="preserve"> </w:t>
            </w:r>
            <w:r>
              <w:rPr>
                <w:vertAlign w:val="superscript"/>
              </w:rPr>
              <w:footnoteReference w:id="150"/>
            </w:r>
          </w:p>
        </w:tc>
        <w:tc>
          <w:tcPr/>
          <w:p>
            <w:pPr>
              <w:pStyle w:val="Compact"/>
              <w:jc w:val="left"/>
            </w:pPr>
            <w:r>
              <w:t xml:space="preserve">HTB Cyber Apocalypse 2025</w:t>
            </w:r>
          </w:p>
        </w:tc>
        <w:tc>
          <w:tcPr/>
          <w:p>
            <w:pPr>
              <w:pStyle w:val="Compact"/>
              <w:jc w:val="left"/>
            </w:pPr>
            <w:r>
              <w:t xml:space="preserve">ASCII decoding from non-zero weight values</w:t>
            </w:r>
          </w:p>
        </w:tc>
        <w:tc>
          <w:tcPr/>
          <w:p>
            <w:pPr>
              <w:pStyle w:val="Compact"/>
              <w:jc w:val="left"/>
            </w:pPr>
            <w:r>
              <w:t xml:space="preserve">Hidden data encoded in weight tensor; direct weight inspection reveals flag</w:t>
            </w:r>
          </w:p>
        </w:tc>
      </w:tr>
      <w:tr>
        <w:tc>
          <w:tcPr/>
          <w:p>
            <w:pPr>
              <w:pStyle w:val="Compact"/>
              <w:jc w:val="left"/>
            </w:pPr>
            <w:r>
              <w:t xml:space="preserve">b01lers ResNet Inversion</w:t>
            </w:r>
            <w:r>
              <w:t xml:space="preserve"> </w:t>
            </w:r>
            <w:r>
              <w:rPr>
                <w:vertAlign w:val="superscript"/>
              </w:rPr>
              <w:footnoteReference w:id="151"/>
            </w:r>
          </w:p>
        </w:tc>
        <w:tc>
          <w:tcPr/>
          <w:p>
            <w:pPr>
              <w:pStyle w:val="Compact"/>
              <w:jc w:val="left"/>
            </w:pPr>
            <w:r>
              <w:t xml:space="preserve">b01lers CTF 2022</w:t>
            </w:r>
          </w:p>
        </w:tc>
        <w:tc>
          <w:tcPr/>
          <w:p>
            <w:pPr>
              <w:pStyle w:val="Compact"/>
              <w:jc w:val="left"/>
            </w:pPr>
            <w:r>
              <w:t xml:space="preserve">Gradient-based input optimization to match target embedding</w:t>
            </w:r>
          </w:p>
        </w:tc>
        <w:tc>
          <w:tcPr/>
          <w:p>
            <w:pPr>
              <w:pStyle w:val="Compact"/>
              <w:jc w:val="left"/>
            </w:pPr>
            <w:r>
              <w:t xml:space="preserve">Model inversion via backpropagation to input space; no flag format knowledge required</w:t>
            </w:r>
          </w:p>
        </w:tc>
      </w:tr>
      <w:tr>
        <w:tc>
          <w:tcPr/>
          <w:p>
            <w:pPr>
              <w:pStyle w:val="Compact"/>
              <w:jc w:val="left"/>
            </w:pPr>
            <w:r>
              <w:t xml:space="preserve">“</w:t>
            </w:r>
            <w:r>
              <w:t xml:space="preserve">Elgyem’s Password</w:t>
            </w:r>
            <w:r>
              <w:t xml:space="preserve">”</w:t>
            </w:r>
            <w:r>
              <w:t xml:space="preserve"> </w:t>
            </w:r>
            <w:r>
              <w:rPr>
                <w:vertAlign w:val="superscript"/>
              </w:rPr>
              <w:footnoteReference w:id="152"/>
            </w:r>
            <w:r>
              <w:t xml:space="preserve"> </w:t>
            </w:r>
            <w:fldSimple w:instr="NOTEREF _Ref_Footnote_67 \h \f">
              <w:r>
                <w:rPr>
                  <w:vertAlign w:val="superscript"/>
                </w:rPr>
                <w:t>67</w:t>
              </w:r>
            </w:fldSimple>
          </w:p>
        </w:tc>
        <w:tc>
          <w:tcPr/>
          <w:p>
            <w:pPr>
              <w:pStyle w:val="Compact"/>
              <w:jc w:val="left"/>
            </w:pPr>
            <w:r>
              <w:t xml:space="preserve">UMDCTF 2023</w:t>
            </w:r>
          </w:p>
        </w:tc>
        <w:tc>
          <w:tcPr/>
          <w:p>
            <w:pPr>
              <w:pStyle w:val="Compact"/>
              <w:jc w:val="left"/>
            </w:pPr>
            <w:r>
              <w:t xml:space="preserve">Z3 SMT solver for exact linear model inversion</w:t>
            </w:r>
          </w:p>
        </w:tc>
        <w:tc>
          <w:tcPr/>
          <w:p>
            <w:pPr>
              <w:pStyle w:val="Compact"/>
              <w:jc w:val="left"/>
            </w:pPr>
            <w:r>
              <w:t xml:space="preserve">Mathematical exact inversion of neural network; solver finds unique input matching constraints</w:t>
            </w:r>
          </w:p>
        </w:tc>
      </w:tr>
    </w:tbl>
    <w:p>
      <w:pPr>
        <w:pStyle w:val="BodyText"/>
      </w:pPr>
      <w:r>
        <w:t xml:space="preserve">These challenges collectively demonstrate that hidden flag extraction from ML models follows established patterns, but Ode Triunfal introduces novel complexity through its suppression circuit architecture. The BSidesSF challenge’s top-k=2 technique is particularly instructive: the hidden message was consistently the second-most-likely token rather than the argmax, revealed only by examining lower-ranked predictions</w:t>
      </w:r>
      <w:r>
        <w:t xml:space="preserve"> </w:t>
      </w:r>
      <w:fldSimple w:instr="NOTEREF _Ref_Footnote_148 \h \f">
        <w:r>
          <w:rPr>
            <w:vertAlign w:val="superscript"/>
          </w:rPr>
          <w:t>148</w:t>
        </w:r>
      </w:fldSimple>
      <w:r>
        <w:t xml:space="preserve">. This pattern — hidden data residing in the distribution shape rather than the sampled output — resonates with the observation in Ode Triunfal that</w:t>
      </w:r>
      <w:r>
        <w:t xml:space="preserve"> </w:t>
      </w:r>
      <m:oMath>
        <m:r>
          <m:t>P</m:t>
        </m:r>
        <m:d>
          <m:dPr>
            <m:begChr m:val="("/>
            <m:endChr m:val=")"/>
            <m:sepChr m:val=""/>
            <m:grow/>
          </m:dPr>
          <m:e>
            <m:r>
              <m:t>f</m:t>
            </m:r>
          </m:e>
        </m:d>
      </m:oMath>
      <w:r>
        <w:t xml:space="preserve"> </w:t>
      </w:r>
      <w:r>
        <w:t xml:space="preserve">reaches 0.507 without greedy generation ever selecting the flag character.</w:t>
      </w:r>
    </w:p>
    <w:bookmarkEnd w:id="95"/>
    <w:bookmarkStart w:id="96" w:name="key-transferable-techniques"/>
    <w:p>
      <w:pPr>
        <w:pStyle w:val="Heading4"/>
      </w:pPr>
      <w:r>
        <w:t xml:space="preserve">6.4.2 Key Transferable Techniques</w:t>
      </w:r>
    </w:p>
    <w:p>
      <w:pPr>
        <w:pStyle w:val="FirstParagraph"/>
      </w:pPr>
      <w:r>
        <w:t xml:space="preserve">From the analyzed competition precedents, five techniques are directly transferable to Ode Triunfal. First,</w:t>
      </w:r>
      <w:r>
        <w:t xml:space="preserve"> </w:t>
      </w:r>
      <w:r>
        <w:rPr>
          <w:bCs/>
          <w:b/>
        </w:rPr>
        <w:t xml:space="preserve">top-k secondary token extraction</w:t>
      </w:r>
      <w:r>
        <w:t xml:space="preserve">: examining predictions at ranks 2, 3, and 5 (not just argmax) may reveal flag characters suppressed from the primary output but present in the distribution tail, as demonstrated by BSidesSF</w:t>
      </w:r>
      <w:r>
        <w:t xml:space="preserve"> </w:t>
      </w:r>
      <w:fldSimple w:instr="NOTEREF _Ref_Footnote_148 \h \f">
        <w:r>
          <w:rPr>
            <w:vertAlign w:val="superscript"/>
          </w:rPr>
          <w:t>148</w:t>
        </w:r>
      </w:fldSimple>
      <w:r>
        <w:t xml:space="preserve">and the DEF CON 31 Inversion challenge</w:t>
      </w:r>
      <w:r>
        <w:t xml:space="preserve"> </w:t>
      </w:r>
      <w:r>
        <w:rPr>
          <w:vertAlign w:val="superscript"/>
        </w:rPr>
        <w:footnoteReference w:id="153"/>
      </w:r>
      <w:r>
        <w:t xml:space="preserve">. Second,</w:t>
      </w:r>
      <w:r>
        <w:t xml:space="preserve"> </w:t>
      </w:r>
      <w:r>
        <w:rPr>
          <w:bCs/>
          <w:b/>
        </w:rPr>
        <w:t xml:space="preserve">gradient-based co-optimization</w:t>
      </w:r>
      <w:r>
        <w:t xml:space="preserve">: the b01lers ResNet Inversion approach</w:t>
      </w:r>
      <w:r>
        <w:t xml:space="preserve"> </w:t>
      </w:r>
      <w:fldSimple w:instr="NOTEREF _Ref_Footnote_151 \h \f">
        <w:r>
          <w:rPr>
            <w:vertAlign w:val="superscript"/>
          </w:rPr>
          <w:t>151</w:t>
        </w:r>
      </w:fldSimple>
      <w:r>
        <w:t xml:space="preserve">can be extended to simultaneously optimize both the input prefix and the ablation configuration (treating the ablation coefficient as a continuous parameter alongside token embeddings). Third,</w:t>
      </w:r>
      <w:r>
        <w:t xml:space="preserve"> </w:t>
      </w:r>
      <w:r>
        <w:rPr>
          <w:bCs/>
          <w:b/>
        </w:rPr>
        <w:t xml:space="preserve">iterative auto-completion</w:t>
      </w:r>
      <w:r>
        <w:t xml:space="preserve">: the DEF CON 30</w:t>
      </w:r>
      <w:r>
        <w:t xml:space="preserve"> </w:t>
      </w:r>
      <w:r>
        <w:t xml:space="preserve">“</w:t>
      </w:r>
      <w:r>
        <w:t xml:space="preserve">Leakage</w:t>
      </w:r>
      <w:r>
        <w:t xml:space="preserve">”</w:t>
      </w:r>
      <w:r>
        <w:t xml:space="preserve"> </w:t>
      </w:r>
      <w:r>
        <w:t xml:space="preserve">pattern</w:t>
      </w:r>
      <w:r>
        <w:t xml:space="preserve"> </w:t>
      </w:r>
      <w:fldSimple w:instr="NOTEREF _Ref_Footnote_149 \h \f">
        <w:r>
          <w:rPr>
            <w:vertAlign w:val="superscript"/>
          </w:rPr>
          <w:t>149</w:t>
        </w:r>
      </w:fldSimple>
      <w:r>
        <w:t xml:space="preserve">of feeding predictions back as inputs can progressively reveal the full flag once the first character is elicited, functioning as a character-by-character extraction oracle. Fourth,</w:t>
      </w:r>
      <w:r>
        <w:t xml:space="preserve"> </w:t>
      </w:r>
      <w:r>
        <w:rPr>
          <w:bCs/>
          <w:b/>
        </w:rPr>
        <w:t xml:space="preserve">decoy-aware extraction</w:t>
      </w:r>
      <w:r>
        <w:t xml:space="preserve">: as shown in Singapore MLMPire</w:t>
      </w:r>
      <w:r>
        <w:t xml:space="preserve"> </w:t>
      </w:r>
      <w:fldSimple w:instr="NOTEREF _Ref_Footnote_41 \h \f">
        <w:r>
          <w:rPr>
            <w:vertAlign w:val="superscript"/>
          </w:rPr>
          <w:t>41</w:t>
        </w:r>
      </w:fldSimple>
      <w:r>
        <w:t xml:space="preserve">and SaTML 2024 CTF</w:t>
      </w:r>
      <w:r>
        <w:t xml:space="preserve"> </w:t>
      </w:r>
      <w:r>
        <w:rPr>
          <w:vertAlign w:val="superscript"/>
        </w:rPr>
        <w:footnoteReference w:id="154"/>
      </w:r>
      <w:r>
        <w:t xml:space="preserve">, models may embed fake flags as decoys; iteratively extracting and eliminating decoy candidates before the true flag emerges is a viable strategy. Fifth,</w:t>
      </w:r>
      <w:r>
        <w:t xml:space="preserve"> </w:t>
      </w:r>
      <w:r>
        <w:rPr>
          <w:bCs/>
          <w:b/>
        </w:rPr>
        <w:t xml:space="preserve">solver-assisted exact inversion</w:t>
      </w:r>
      <w:r>
        <w:t xml:space="preserve">: for models with predominantly linear or near-linear transformations, Z3-based exact inversion</w:t>
      </w:r>
      <w:r>
        <w:t xml:space="preserve"> </w:t>
      </w:r>
      <w:fldSimple w:instr="NOTEREF _Ref_Footnote_152 \h \f">
        <w:r>
          <w:rPr>
            <w:vertAlign w:val="superscript"/>
          </w:rPr>
          <w:t>152</w:t>
        </w:r>
      </w:fldSimple>
      <w:r>
        <w:t xml:space="preserve">can find the unique input matching observed output constraints — particularly relevant if Ode Triunfal’s dead layers contain linearizable substructures.</w:t>
      </w:r>
    </w:p>
    <w:p>
      <w:pPr>
        <w:pStyle w:val="BodyText"/>
      </w:pPr>
      <w:r>
        <w:t xml:space="preserve">The convergence of adversarial optimization and circuit manipulation into a unified extraction methodology is not merely theoretical — competition history demonstrates that multi-technique combinations routinely solve challenges that resist any single approach. Anthropic BSidesSF required both top-k=2 sampling AND a trigger input</w:t>
      </w:r>
      <w:r>
        <w:t xml:space="preserve"> </w:t>
      </w:r>
      <w:fldSimple w:instr="NOTEREF _Ref_Footnote_148 \h \f">
        <w:r>
          <w:rPr>
            <w:vertAlign w:val="superscript"/>
          </w:rPr>
          <w:t>148</w:t>
        </w:r>
      </w:fldSimple>
      <w:r>
        <w:t xml:space="preserve">; DEF CON 30</w:t>
      </w:r>
      <w:r>
        <w:t xml:space="preserve"> </w:t>
      </w:r>
      <w:r>
        <w:t xml:space="preserve">“</w:t>
      </w:r>
      <w:r>
        <w:t xml:space="preserve">Leakage</w:t>
      </w:r>
      <w:r>
        <w:t xml:space="preserve">”</w:t>
      </w:r>
      <w:r>
        <w:t xml:space="preserve"> </w:t>
      </w:r>
      <w:r>
        <w:t xml:space="preserve">required the correct username seed AND iterative prediction</w:t>
      </w:r>
      <w:r>
        <w:t xml:space="preserve"> </w:t>
      </w:r>
      <w:fldSimple w:instr="NOTEREF _Ref_Footnote_149 \h \f">
        <w:r>
          <w:rPr>
            <w:vertAlign w:val="superscript"/>
          </w:rPr>
          <w:t>149</w:t>
        </w:r>
      </w:fldSimple>
      <w:r>
        <w:t xml:space="preserve">. For Ode Triunfal, the evidence suggests that flag extraction likely requires simultaneous circuit intervention (MLP6 ablation or negation) AND adversarial prefix optimization (GCG or MiniPrompt) — a two-part trigger system where neither component alone is sufficient</w:t>
      </w:r>
      <w:r>
        <w:t xml:space="preserve"> </w:t>
      </w:r>
      <w:fldSimple w:instr="NOTEREF _Ref_Footnote_4 \h \f">
        <w:r>
          <w:rPr>
            <w:vertAlign w:val="superscript"/>
          </w:rPr>
          <w:t>4</w:t>
        </w:r>
      </w:fldSimple>
      <w:r>
        <w:t xml:space="preserve"> </w:t>
      </w:r>
      <w:fldSimple w:instr="NOTEREF _Ref_Footnote_5 \h \f">
        <w:r>
          <w:rPr>
            <w:vertAlign w:val="superscript"/>
          </w:rPr>
          <w:t>5</w:t>
        </w:r>
      </w:fldSimple>
      <w:r>
        <w:t xml:space="preserve">. The systematic exploration of this cross-product space, combining the techniques surveyed in this chapter, represents the most promising path forward.</w:t>
      </w:r>
    </w:p>
    <w:p>
      <w:r>
        <w:pict>
          <v:rect style="width:0;height:1.5pt" o:hralign="center" o:hrstd="t" o:hr="t"/>
        </w:pict>
      </w:r>
    </w:p>
    <w:bookmarkEnd w:id="96"/>
    <w:bookmarkEnd w:id="97"/>
    <w:bookmarkEnd w:id="98"/>
    <w:bookmarkStart w:id="110" w:name="tokenizer-vocabulary-channel"/>
    <w:p>
      <w:pPr>
        <w:pStyle w:val="Heading2"/>
      </w:pPr>
      <w:r>
        <w:t xml:space="preserve">7. Tokenizer &amp; Vocabulary Channel</w:t>
      </w:r>
    </w:p>
    <w:p>
      <w:pPr>
        <w:pStyle w:val="FirstParagraph"/>
      </w:pPr>
      <w:r>
        <w:t xml:space="preserve">The tokenizer is the first computational gate every string passes through on its way into a language model, yet it receives a fraction of the security scrutiny directed at model weights or training data. This chapter examines how tokenizers and their associated embedding spaces function as covert information channels—carrying hidden triggers, encoding secrets in vector geometry, and exposing vulnerabilities that CTF designers can exploit. The analysis is grounded in the Ode Triunfal challenge’s unusual byte-level tokenizer, which maps 256 raw byte tokens plus six special entries, but the techniques generalize to any LLM checkpoint where the tokenizer is treated as an attack surface rather than a preprocessing detail.</w:t>
      </w:r>
    </w:p>
    <w:bookmarkStart w:id="101" w:name="glitch-tokens-improbable-bigrams"/>
    <w:p>
      <w:pPr>
        <w:pStyle w:val="Heading3"/>
      </w:pPr>
      <w:r>
        <w:t xml:space="preserve">7.1 Glitch Tokens &amp; Improbable Bigrams</w:t>
      </w:r>
    </w:p>
    <w:bookmarkStart w:id="99" w:name="X9a8acbf9a31bdeefae4a26ad9a0f277aa86e271"/>
    <w:p>
      <w:pPr>
        <w:pStyle w:val="Heading4"/>
      </w:pPr>
      <w:r>
        <w:t xml:space="preserve">7.1.1 Glitch token phenomenon: undertrained tokens causing deterministic anomalies</w:t>
      </w:r>
    </w:p>
    <w:p>
      <w:pPr>
        <w:pStyle w:val="FirstParagraph"/>
      </w:pPr>
      <w:r>
        <w:t xml:space="preserve">The glitch token phenomenon was discovered in January 2023 when researchers Jessica Rumbelow and Matthew Watkins, working at SERI-MATS, applied k-means clustering to GPT model embedding spaces and found tokens that clustered near centroids despite being semantically meaningless strings</w:t>
      </w:r>
      <w:r>
        <w:t xml:space="preserve"> </w:t>
      </w:r>
      <w:fldSimple w:instr="NOTEREF _Ref_Footnote_45 \h \f">
        <w:r>
          <w:rPr>
            <w:vertAlign w:val="superscript"/>
          </w:rPr>
          <w:t>45</w:t>
        </w:r>
      </w:fldSimple>
      <w:r>
        <w:t xml:space="preserve">. The canonical example, token 43453 in GPT-J—</w:t>
      </w:r>
      <w:r>
        <w:rPr>
          <w:rStyle w:val="VerbatimChar"/>
        </w:rPr>
        <w:t xml:space="preserve">SolidGoldMagikarp</w:t>
      </w:r>
      <w:r>
        <w:t xml:space="preserve">—induces erratic outputs including substitution with</w:t>
      </w:r>
      <w:r>
        <w:t xml:space="preserve"> </w:t>
      </w:r>
      <w:r>
        <w:t xml:space="preserve">“</w:t>
      </w:r>
      <w:r>
        <w:t xml:space="preserve">distribute,</w:t>
      </w:r>
      <w:r>
        <w:t xml:space="preserve">”</w:t>
      </w:r>
      <w:r>
        <w:t xml:space="preserve"> </w:t>
      </w:r>
      <w:r>
        <w:t xml:space="preserve">hallucinatory completions, and policy violations</w:t>
      </w:r>
      <w:r>
        <w:t xml:space="preserve"> </w:t>
      </w:r>
      <w:fldSimple w:instr="NOTEREF _Ref_Footnote_45 \h \f">
        <w:r>
          <w:rPr>
            <w:vertAlign w:val="superscript"/>
          </w:rPr>
          <w:t>45</w:t>
        </w:r>
      </w:fldSimple>
      <w:r>
        <w:t xml:space="preserve">. At temperature 0, where outputs should be fully deterministic, prompts involving this token produce non-deterministic results due to near-tied logits amplified by floating-point precision errors, sometimes yielding 100% probability to a single anomalous continuation</w:t>
      </w:r>
      <w:r>
        <w:t xml:space="preserve"> </w:t>
      </w:r>
      <w:fldSimple w:instr="NOTEREF _Ref_Footnote_45 \h \f">
        <w:r>
          <w:rPr>
            <w:vertAlign w:val="superscript"/>
          </w:rPr>
          <w:t>45</w:t>
        </w:r>
      </w:fldSimple>
      <w:r>
        <w:t xml:space="preserve">. The root cause is a data-distribution mismatch: the tokenizer encountered strings like</w:t>
      </w:r>
      <w:r>
        <w:t xml:space="preserve"> </w:t>
      </w:r>
      <w:r>
        <w:rPr>
          <w:rStyle w:val="VerbatimChar"/>
        </w:rPr>
        <w:t xml:space="preserve">SolidGoldMagikarp</w:t>
      </w:r>
      <w:r>
        <w:t xml:space="preserve"> </w:t>
      </w:r>
      <w:r>
        <w:t xml:space="preserve">frequently in its training corpus (Reddit leaderboards, Twitch Plays Pokemon logs), but the model itself was trained on more curated data where these tokens rarely appeared</w:t>
      </w:r>
      <w:r>
        <w:t xml:space="preserve"> </w:t>
      </w:r>
      <w:fldSimple w:instr="NOTEREF _Ref_Footnote_45 \h \f">
        <w:r>
          <w:rPr>
            <w:vertAlign w:val="superscript"/>
          </w:rPr>
          <w:t>45</w:t>
        </w:r>
      </w:fldSimple>
      <w:r>
        <w:t xml:space="preserve">. In GPT-2 architectures with tied embedding-unembedding weights, the weird behavior manifests in the unembedding rather than the embedding, because tokens never seen in training receive zero gradient signal</w:t>
      </w:r>
      <w:r>
        <w:t xml:space="preserve"> </w:t>
      </w:r>
      <w:r>
        <w:rPr>
          <w:vertAlign w:val="superscript"/>
        </w:rPr>
        <w:footnoteReference w:id="155"/>
      </w:r>
      <w:r>
        <w:t xml:space="preserve">.</w:t>
      </w:r>
    </w:p>
    <w:p>
      <w:pPr>
        <w:pStyle w:val="BodyText"/>
      </w:pPr>
      <w:r>
        <w:t xml:space="preserve">Glitch tokens affect over 2% of tokens in real-world datasets such as Alpaca-52k and ShareGPT, and the phenomenon has been confirmed across GPT-3.5-turbo, GPT-4, Llama2, Mistral-7B, and Vicuna-13B</w:t>
      </w:r>
      <w:r>
        <w:t xml:space="preserve"> </w:t>
      </w:r>
      <w:fldSimple w:instr="NOTEREF _Ref_Footnote_45 \h \f">
        <w:r>
          <w:rPr>
            <w:vertAlign w:val="superscript"/>
          </w:rPr>
          <w:t>45</w:t>
        </w:r>
      </w:fldSimple>
      <w:r>
        <w:t xml:space="preserve">. When encountered, they trigger prolonged responses (averaging 198.56 tokens versus 59.34 for normal tokens), resource-intensive computation, and toxic or policy-violating language</w:t>
      </w:r>
      <w:r>
        <w:t xml:space="preserve"> </w:t>
      </w:r>
      <w:fldSimple w:instr="NOTEREF _Ref_Footnote_45 \h \f">
        <w:r>
          <w:rPr>
            <w:vertAlign w:val="superscript"/>
          </w:rPr>
          <w:t>45</w:t>
        </w:r>
      </w:fldSimple>
      <w:r>
        <w:t xml:space="preserve">. Four detection methods have emerged: Magikarp screens tokens with atypically small L2 norms and verifies via repetition tasks</w:t>
      </w:r>
      <w:r>
        <w:t xml:space="preserve"> </w:t>
      </w:r>
      <w:fldSimple w:instr="NOTEREF _Ref_Footnote_11 \h \f">
        <w:r>
          <w:rPr>
            <w:vertAlign w:val="superscript"/>
          </w:rPr>
          <w:t>11</w:t>
        </w:r>
      </w:fldSimple>
      <w:r>
        <w:t xml:space="preserve">; GlitchHunter builds a Token Embedding Graph with Leiden clustering</w:t>
      </w:r>
      <w:r>
        <w:t xml:space="preserve"> </w:t>
      </w:r>
      <w:fldSimple w:instr="NOTEREF _Ref_Footnote_11 \h \f">
        <w:r>
          <w:rPr>
            <w:vertAlign w:val="superscript"/>
          </w:rPr>
          <w:t>11</w:t>
        </w:r>
      </w:fldSimple>
      <w:r>
        <w:t xml:space="preserve">; GlitchProber applies PCA to attention patterns and MLP activations plus SVM classifiers, achieving F1 = 0.86 across five LLMs</w:t>
      </w:r>
      <w:r>
        <w:t xml:space="preserve"> </w:t>
      </w:r>
      <w:r>
        <w:rPr>
          <w:vertAlign w:val="superscript"/>
        </w:rPr>
        <w:footnoteReference w:id="156"/>
      </w:r>
      <w:r>
        <w:t xml:space="preserve">; and GlitchMiner uses gradient-guided entropy maximization, outperforming Magikarp by 10.7% at Detected@2000</w:t>
      </w:r>
      <w:r>
        <w:t xml:space="preserve"> </w:t>
      </w:r>
      <w:fldSimple w:instr="NOTEREF _Ref_Footnote_11 \h \f">
        <w:r>
          <w:rPr>
            <w:vertAlign w:val="superscript"/>
          </w:rPr>
          <w:t>11</w:t>
        </w:r>
      </w:fldSimple>
      <w:r>
        <w:t xml:space="preserve">.</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Method</w:t>
            </w:r>
          </w:p>
        </w:tc>
        <w:tc>
          <w:tcPr/>
          <w:p>
            <w:pPr>
              <w:pStyle w:val="Compact"/>
              <w:jc w:val="left"/>
            </w:pPr>
            <w:r>
              <w:t xml:space="preserve">Detection Strategy</w:t>
            </w:r>
          </w:p>
        </w:tc>
        <w:tc>
          <w:tcPr/>
          <w:p>
            <w:pPr>
              <w:pStyle w:val="Compact"/>
              <w:jc w:val="left"/>
            </w:pPr>
            <w:r>
              <w:t xml:space="preserve">Key Metric</w:t>
            </w:r>
          </w:p>
        </w:tc>
        <w:tc>
          <w:tcPr/>
          <w:p>
            <w:pPr>
              <w:pStyle w:val="Compact"/>
              <w:jc w:val="left"/>
            </w:pPr>
            <w:r>
              <w:t xml:space="preserve">Architecture Dependency</w:t>
            </w:r>
          </w:p>
        </w:tc>
      </w:tr>
      <w:tr>
        <w:tc>
          <w:tcPr/>
          <w:p>
            <w:pPr>
              <w:pStyle w:val="Compact"/>
              <w:jc w:val="left"/>
            </w:pPr>
            <w:r>
              <w:t xml:space="preserve">Magikarp</w:t>
            </w:r>
          </w:p>
        </w:tc>
        <w:tc>
          <w:tcPr/>
          <w:p>
            <w:pPr>
              <w:pStyle w:val="Compact"/>
              <w:jc w:val="left"/>
            </w:pPr>
            <w:r>
              <w:t xml:space="preserve">L2-norm screening + repetition verification</w:t>
            </w:r>
          </w:p>
        </w:tc>
        <w:tc>
          <w:tcPr/>
          <w:p>
            <w:pPr>
              <w:pStyle w:val="Compact"/>
              <w:jc w:val="left"/>
            </w:pPr>
            <w:r>
              <w:t xml:space="preserve">Lightweight heuristic</w:t>
            </w:r>
            <w:r>
              <w:t xml:space="preserve"> </w:t>
            </w:r>
            <w:fldSimple w:instr="NOTEREF _Ref_Footnote_11 \h \f">
              <w:r>
                <w:rPr>
                  <w:vertAlign w:val="superscript"/>
                </w:rPr>
                <w:t>11</w:t>
              </w:r>
            </w:fldSimple>
          </w:p>
        </w:tc>
        <w:tc>
          <w:tcPr/>
          <w:p>
            <w:pPr>
              <w:pStyle w:val="Compact"/>
              <w:jc w:val="left"/>
            </w:pPr>
            <w:r>
              <w:t xml:space="preserve">Embedding access</w:t>
            </w:r>
          </w:p>
        </w:tc>
      </w:tr>
      <w:tr>
        <w:tc>
          <w:tcPr/>
          <w:p>
            <w:pPr>
              <w:pStyle w:val="Compact"/>
              <w:jc w:val="left"/>
            </w:pPr>
            <w:r>
              <w:t xml:space="preserve">GlitchHunter</w:t>
            </w:r>
          </w:p>
        </w:tc>
        <w:tc>
          <w:tcPr/>
          <w:p>
            <w:pPr>
              <w:pStyle w:val="Compact"/>
              <w:jc w:val="left"/>
            </w:pPr>
            <w:r>
              <w:t xml:space="preserve">Token Embedding Graph + Leiden clustering</w:t>
            </w:r>
          </w:p>
        </w:tc>
        <w:tc>
          <w:tcPr/>
          <w:p>
            <w:pPr>
              <w:pStyle w:val="Compact"/>
              <w:jc w:val="left"/>
            </w:pPr>
            <w:r>
              <w:t xml:space="preserve">Cluster-based refinement</w:t>
            </w:r>
            <w:r>
              <w:t xml:space="preserve"> </w:t>
            </w:r>
            <w:fldSimple w:instr="NOTEREF _Ref_Footnote_11 \h \f">
              <w:r>
                <w:rPr>
                  <w:vertAlign w:val="superscript"/>
                </w:rPr>
                <w:t>11</w:t>
              </w:r>
            </w:fldSimple>
          </w:p>
        </w:tc>
        <w:tc>
          <w:tcPr/>
          <w:p>
            <w:pPr>
              <w:pStyle w:val="Compact"/>
              <w:jc w:val="left"/>
            </w:pPr>
            <w:r>
              <w:t xml:space="preserve">Embedding access</w:t>
            </w:r>
          </w:p>
        </w:tc>
      </w:tr>
      <w:tr>
        <w:tc>
          <w:tcPr/>
          <w:p>
            <w:pPr>
              <w:pStyle w:val="Compact"/>
              <w:jc w:val="left"/>
            </w:pPr>
            <w:r>
              <w:t xml:space="preserve">GlitchProber</w:t>
            </w:r>
          </w:p>
        </w:tc>
        <w:tc>
          <w:tcPr/>
          <w:p>
            <w:pPr>
              <w:pStyle w:val="Compact"/>
              <w:jc w:val="left"/>
            </w:pPr>
            <w:r>
              <w:t xml:space="preserve">PCA on attention/MLP activations + SVM</w:t>
            </w:r>
          </w:p>
        </w:tc>
        <w:tc>
          <w:tcPr/>
          <w:p>
            <w:pPr>
              <w:pStyle w:val="Compact"/>
              <w:jc w:val="left"/>
            </w:pPr>
            <w:r>
              <w:t xml:space="preserve">F1 = 0.86, repair 50.06%</w:t>
            </w:r>
            <w:r>
              <w:t xml:space="preserve"> </w:t>
            </w:r>
            <w:fldSimple w:instr="NOTEREF _Ref_Footnote_156 \h \f">
              <w:r>
                <w:rPr>
                  <w:vertAlign w:val="superscript"/>
                </w:rPr>
                <w:t>156</w:t>
              </w:r>
            </w:fldSimple>
          </w:p>
        </w:tc>
        <w:tc>
          <w:tcPr/>
          <w:p>
            <w:pPr>
              <w:pStyle w:val="Compact"/>
              <w:jc w:val="left"/>
            </w:pPr>
            <w:r>
              <w:t xml:space="preserve">Forward-pass access</w:t>
            </w:r>
          </w:p>
        </w:tc>
      </w:tr>
      <w:tr>
        <w:tc>
          <w:tcPr/>
          <w:p>
            <w:pPr>
              <w:pStyle w:val="Compact"/>
              <w:jc w:val="left"/>
            </w:pPr>
            <w:r>
              <w:t xml:space="preserve">GlitchMiner</w:t>
            </w:r>
          </w:p>
        </w:tc>
        <w:tc>
          <w:tcPr/>
          <w:p>
            <w:pPr>
              <w:pStyle w:val="Compact"/>
              <w:jc w:val="left"/>
            </w:pPr>
            <w:r>
              <w:t xml:space="preserve">Gradient-guided entropy maximization</w:t>
            </w:r>
          </w:p>
        </w:tc>
        <w:tc>
          <w:tcPr/>
          <w:p>
            <w:pPr>
              <w:pStyle w:val="Compact"/>
              <w:jc w:val="left"/>
            </w:pPr>
            <w:r>
              <w:t xml:space="preserve">+10.7% over Magikarp</w:t>
            </w:r>
            <w:r>
              <w:t xml:space="preserve"> </w:t>
            </w:r>
            <w:fldSimple w:instr="NOTEREF _Ref_Footnote_11 \h \f">
              <w:r>
                <w:rPr>
                  <w:vertAlign w:val="superscript"/>
                </w:rPr>
                <w:t>11</w:t>
              </w:r>
            </w:fldSimple>
          </w:p>
        </w:tc>
        <w:tc>
          <w:tcPr/>
          <w:p>
            <w:pPr>
              <w:pStyle w:val="Compact"/>
              <w:jc w:val="left"/>
            </w:pPr>
            <w:r>
              <w:t xml:space="preserve">Gradients required</w:t>
            </w:r>
          </w:p>
        </w:tc>
      </w:tr>
    </w:tbl>
    <w:p>
      <w:pPr>
        <w:pStyle w:val="BodyText"/>
      </w:pPr>
      <w:r>
        <w:t xml:space="preserve">This progression—from static heuristics through graph clustering to activation-based classification and gradient optimization—mirrors a broader trend in ML security toward dynamic, behavior-driven signals. For CTF flag extraction, anomalous tokens may not reveal themselves through simple norm inspection but require activation-level probing or entropy-based optimization to uncover.</w:t>
      </w:r>
    </w:p>
    <w:bookmarkEnd w:id="99"/>
    <w:bookmarkStart w:id="100" w:name="X5c35ec6428cc7c3775034297bd101c166734519"/>
    <w:p>
      <w:pPr>
        <w:pStyle w:val="Heading4"/>
      </w:pPr>
      <w:r>
        <w:t xml:space="preserve">7.1.2 Improbable bigrams: byte-level BPE fragility</w:t>
      </w:r>
    </w:p>
    <w:p>
      <w:pPr>
        <w:pStyle w:val="FirstParagraph"/>
      </w:pPr>
      <w:r>
        <w:t xml:space="preserve">A related vulnerability arises from incomplete tokens in byte-level BPE (BBPE) tokenizers—undecodable tokens containing stray bytes that cannot form legal Unicode independently and must co-occur with specific adjacent tokens</w:t>
      </w:r>
      <w:r>
        <w:t xml:space="preserve"> </w:t>
      </w:r>
      <w:r>
        <w:rPr>
          <w:vertAlign w:val="superscript"/>
        </w:rPr>
        <w:footnoteReference w:id="157"/>
      </w:r>
      <w:r>
        <w:t xml:space="preserve">. In Meta-Llama-3.1, 1,224 of 128,000 vocabulary entries (0.96%) are incomplete tokens</w:t>
      </w:r>
      <w:r>
        <w:t xml:space="preserve"> </w:t>
      </w:r>
      <w:fldSimple w:instr="NOTEREF _Ref_Footnote_157 \h \f">
        <w:r>
          <w:rPr>
            <w:vertAlign w:val="superscript"/>
          </w:rPr>
          <w:t>157</w:t>
        </w:r>
      </w:fldSimple>
      <w:r>
        <w:t xml:space="preserve">. Jang et al. introduced</w:t>
      </w:r>
      <w:r>
        <w:t xml:space="preserve"> </w:t>
      </w:r>
      <w:r>
        <w:rPr>
          <w:iCs/>
          <w:i/>
        </w:rPr>
        <w:t xml:space="preserve">improbable bigrams</w:t>
      </w:r>
      <w:r>
        <w:t xml:space="preserve">: out-of-distribution pairings of incomplete tokens that exploit contextual fragility</w:t>
      </w:r>
      <w:r>
        <w:t xml:space="preserve"> </w:t>
      </w:r>
      <w:r>
        <w:rPr>
          <w:vertAlign w:val="superscript"/>
        </w:rPr>
        <w:footnoteReference w:id="158"/>
      </w:r>
      <w:r>
        <w:t xml:space="preserve">. Unlike glitch tokens, these can cause hallucinations even when constituent tokens are individually well-trained, because the fragility lies in the combination</w:t>
      </w:r>
      <w:r>
        <w:t xml:space="preserve"> </w:t>
      </w:r>
      <w:fldSimple w:instr="NOTEREF _Ref_Footnote_157 \h \f">
        <w:r>
          <w:rPr>
            <w:vertAlign w:val="superscript"/>
          </w:rPr>
          <w:t>157</w:t>
        </w:r>
      </w:fldSimple>
      <w:r>
        <w:t xml:space="preserve">. The attack surface varies substantially across tokenizers: Llama3.1 exposes ~71,000 incomplete bigram combinations, Mistral-Nemo 135,000, and Command-R 1,479,000</w:t>
      </w:r>
      <w:r>
        <w:t xml:space="preserve"> </w:t>
      </w:r>
      <w:fldSimple w:instr="NOTEREF _Ref_Footnote_158 \h \f">
        <w:r>
          <w:rPr>
            <w:vertAlign w:val="superscript"/>
          </w:rPr>
          <w:t>158</w:t>
        </w:r>
      </w:fldSimple>
      <w:r>
        <w:t xml:space="preserve">. Hallucination rates range from 38% (Qwen2.5) to 79% (Exaone) for 100 sampled bigrams, and alternative tokenizations reduce these rates by up to 93%</w:t>
      </w:r>
      <w:r>
        <w:t xml:space="preserve"> </w:t>
      </w:r>
      <w:fldSimple w:instr="NOTEREF _Ref_Footnote_158 \h \f">
        <w:r>
          <w:rPr>
            <w:vertAlign w:val="superscript"/>
          </w:rPr>
          <w:t>158</w:t>
        </w:r>
      </w:fldSimple>
      <w:r>
        <w:t xml:space="preserve">.</w:t>
      </w:r>
    </w:p>
    <w:p>
      <w:pPr>
        <w:pStyle w:val="BodyText"/>
      </w:pPr>
      <w:r>
        <w:t xml:space="preserve">The Ode Triunfal challenge’s byte-level tokenizer—256 byte tokens plus six special entries—may exhibit similar fragility. Its heteronym tokens (IDs 256–259), underscore (260), and brace (261) could function analogously to incomplete tokens: fragments behaving normally in isolation but producing anomalous outputs in out-of-distribution pairings. Testing all 15 bigram combinations among the six special tokens represents a finite search space for hidden trigger conditions.</w:t>
      </w:r>
    </w:p>
    <w:bookmarkEnd w:id="100"/>
    <w:bookmarkEnd w:id="101"/>
    <w:bookmarkStart w:id="105" w:name="special-token-analysis"/>
    <w:p>
      <w:pPr>
        <w:pStyle w:val="Heading3"/>
      </w:pPr>
      <w:r>
        <w:t xml:space="preserve">7.2 Special Token Analysis</w:t>
      </w:r>
    </w:p>
    <w:bookmarkStart w:id="102" w:name="X8ebe7e5ae8204506f79c4d721053dc0956bd0a8"/>
    <w:p>
      <w:pPr>
        <w:pStyle w:val="Heading4"/>
      </w:pPr>
      <w:r>
        <w:t xml:space="preserve">7.2.1 Embedding norm analysis: heteronym tokens (~0.7) vs. { (3.05) vs. ASCII-identical</w:t>
      </w:r>
    </w:p>
    <w:p>
      <w:pPr>
        <w:pStyle w:val="FirstParagraph"/>
      </w:pPr>
      <w:r>
        <w:t xml:space="preserve">The Ode Triunfal checkpoint’s embedding space exhibits a striking norm heterogeneity among its six special tokens. Heteronym tokens 256–259 (</w:t>
      </w:r>
      <w:r>
        <w:rPr>
          <w:rStyle w:val="VerbatimChar"/>
        </w:rPr>
        <w:t xml:space="preserve">&lt;|fernando_pessoa|&gt;</w:t>
      </w:r>
      <w:r>
        <w:t xml:space="preserve">,</w:t>
      </w:r>
      <w:r>
        <w:t xml:space="preserve"> </w:t>
      </w:r>
      <w:r>
        <w:rPr>
          <w:rStyle w:val="VerbatimChar"/>
        </w:rPr>
        <w:t xml:space="preserve">&lt;|alberto_caeiro|&gt;</w:t>
      </w:r>
      <w:r>
        <w:t xml:space="preserve">,</w:t>
      </w:r>
      <w:r>
        <w:t xml:space="preserve"> </w:t>
      </w:r>
      <w:r>
        <w:rPr>
          <w:rStyle w:val="VerbatimChar"/>
        </w:rPr>
        <w:t xml:space="preserve">&lt;|ricardo_reis|&gt;</w:t>
      </w:r>
      <w:r>
        <w:t xml:space="preserve">,</w:t>
      </w:r>
      <w:r>
        <w:t xml:space="preserve"> </w:t>
      </w:r>
      <w:r>
        <w:rPr>
          <w:rStyle w:val="VerbatimChar"/>
        </w:rPr>
        <w:t xml:space="preserve">&lt;|bernardo_soares|&gt;</w:t>
      </w:r>
      <w:r>
        <w:t xml:space="preserve">) register L2 norms of approximately 0.7—near random initialization values—while the</w:t>
      </w:r>
      <w:r>
        <w:t xml:space="preserve"> </w:t>
      </w:r>
      <w:r>
        <w:rPr>
          <w:rStyle w:val="VerbatimChar"/>
        </w:rPr>
        <w:t xml:space="preserve">{</w:t>
      </w:r>
      <w:r>
        <w:t xml:space="preserve"> </w:t>
      </w:r>
      <w:r>
        <w:t xml:space="preserve">token (261) exhibits the highest non-trivial embedding norm at 3.05. The</w:t>
      </w:r>
      <w:r>
        <w:t xml:space="preserve"> </w:t>
      </w:r>
      <w:r>
        <w:rPr>
          <w:rStyle w:val="VerbatimChar"/>
        </w:rPr>
        <w:t xml:space="preserve">_</w:t>
      </w:r>
      <w:r>
        <w:t xml:space="preserve"> </w:t>
      </w:r>
      <w:r>
        <w:t xml:space="preserve">token (260) and</w:t>
      </w:r>
      <w:r>
        <w:t xml:space="preserve"> </w:t>
      </w:r>
      <w:r>
        <w:rPr>
          <w:rStyle w:val="VerbatimChar"/>
        </w:rPr>
        <w:t xml:space="preserve">{</w:t>
      </w:r>
      <w:r>
        <w:t xml:space="preserve"> </w:t>
      </w:r>
      <w:r>
        <w:t xml:space="preserve">token (261) are byte-for-byte identical to ASCII 95 and 123 in both the embedding matrix and the language modeling head.</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Token ID</w:t>
            </w:r>
          </w:p>
        </w:tc>
        <w:tc>
          <w:tcPr/>
          <w:p>
            <w:pPr>
              <w:pStyle w:val="Compact"/>
              <w:jc w:val="left"/>
            </w:pPr>
            <w:r>
              <w:t xml:space="preserve">Symbol</w:t>
            </w:r>
          </w:p>
        </w:tc>
        <w:tc>
          <w:tcPr/>
          <w:p>
            <w:pPr>
              <w:pStyle w:val="Compact"/>
              <w:jc w:val="left"/>
            </w:pPr>
            <w:r>
              <w:t xml:space="preserve">Embedding Norm</w:t>
            </w:r>
          </w:p>
        </w:tc>
        <w:tc>
          <w:tcPr/>
          <w:p>
            <w:pPr>
              <w:pStyle w:val="Compact"/>
              <w:jc w:val="left"/>
            </w:pPr>
            <w:r>
              <w:t xml:space="preserve">Classification</w:t>
            </w:r>
          </w:p>
        </w:tc>
        <w:tc>
          <w:tcPr/>
          <w:p>
            <w:pPr>
              <w:pStyle w:val="Compact"/>
              <w:jc w:val="left"/>
            </w:pPr>
            <w:r>
              <w:t xml:space="preserve">Interpretation</w:t>
            </w:r>
          </w:p>
        </w:tc>
      </w:tr>
      <w:tr>
        <w:tc>
          <w:tcPr/>
          <w:p>
            <w:pPr>
              <w:pStyle w:val="Compact"/>
              <w:jc w:val="left"/>
            </w:pPr>
            <w:r>
              <w:t xml:space="preserve">256–259</w:t>
            </w:r>
          </w:p>
        </w:tc>
        <w:tc>
          <w:tcPr/>
          <w:p>
            <w:pPr>
              <w:pStyle w:val="Compact"/>
              <w:jc w:val="left"/>
            </w:pPr>
            <w:r>
              <w:t xml:space="preserve">Heteronyms</w:t>
            </w:r>
          </w:p>
        </w:tc>
        <w:tc>
          <w:tcPr/>
          <w:p>
            <w:pPr>
              <w:pStyle w:val="Compact"/>
              <w:jc w:val="left"/>
            </w:pPr>
            <w:r>
              <w:t xml:space="preserve">~0.7 (near-random)</w:t>
            </w:r>
          </w:p>
        </w:tc>
        <w:tc>
          <w:tcPr/>
          <w:p>
            <w:pPr>
              <w:pStyle w:val="Compact"/>
              <w:jc w:val="left"/>
            </w:pPr>
            <w:r>
              <w:t xml:space="preserve">Undertrained/dead-drop</w:t>
            </w:r>
            <w:r>
              <w:t xml:space="preserve"> </w:t>
            </w:r>
            <w:r>
              <w:rPr>
                <w:vertAlign w:val="superscript"/>
              </w:rPr>
              <w:footnoteReference w:id="159"/>
            </w:r>
          </w:p>
        </w:tc>
        <w:tc>
          <w:tcPr/>
          <w:p>
            <w:pPr>
              <w:pStyle w:val="Compact"/>
              <w:jc w:val="left"/>
            </w:pPr>
            <w:r>
              <w:t xml:space="preserve">Deliberately low-norm keys</w:t>
            </w:r>
          </w:p>
        </w:tc>
      </w:tr>
      <w:tr>
        <w:tc>
          <w:tcPr/>
          <w:p>
            <w:pPr>
              <w:pStyle w:val="Compact"/>
              <w:jc w:val="left"/>
            </w:pPr>
            <w:r>
              <w:t xml:space="preserve">260</w:t>
            </w:r>
          </w:p>
        </w:tc>
        <w:tc>
          <w:tcPr/>
          <w:p>
            <w:pPr>
              <w:pStyle w:val="Compact"/>
              <w:jc w:val="left"/>
            </w:pPr>
            <w:r>
              <w:rPr>
                <w:rStyle w:val="VerbatimChar"/>
              </w:rPr>
              <w:t xml:space="preserve">_</w:t>
            </w:r>
          </w:p>
        </w:tc>
        <w:tc>
          <w:tcPr/>
          <w:p>
            <w:pPr>
              <w:pStyle w:val="Compact"/>
              <w:jc w:val="left"/>
            </w:pPr>
            <w:r>
              <w:t xml:space="preserve">Normal byte range</w:t>
            </w:r>
          </w:p>
        </w:tc>
        <w:tc>
          <w:tcPr/>
          <w:p>
            <w:pPr>
              <w:pStyle w:val="Compact"/>
              <w:jc w:val="left"/>
            </w:pPr>
            <w:r>
              <w:t xml:space="preserve">ASCII-identical</w:t>
            </w:r>
          </w:p>
        </w:tc>
        <w:tc>
          <w:tcPr/>
          <w:p>
            <w:pPr>
              <w:pStyle w:val="Compact"/>
              <w:jc w:val="left"/>
            </w:pPr>
            <w:r>
              <w:t xml:space="preserve">Structural delimiter</w:t>
            </w:r>
          </w:p>
        </w:tc>
      </w:tr>
      <w:tr>
        <w:tc>
          <w:tcPr/>
          <w:p>
            <w:pPr>
              <w:pStyle w:val="Compact"/>
              <w:jc w:val="left"/>
            </w:pPr>
            <w:r>
              <w:t xml:space="preserve">261</w:t>
            </w:r>
          </w:p>
        </w:tc>
        <w:tc>
          <w:tcPr/>
          <w:p>
            <w:pPr>
              <w:pStyle w:val="Compact"/>
              <w:jc w:val="left"/>
            </w:pPr>
            <w:r>
              <w:rPr>
                <w:rStyle w:val="VerbatimChar"/>
              </w:rPr>
              <w:t xml:space="preserve">{</w:t>
            </w:r>
          </w:p>
        </w:tc>
        <w:tc>
          <w:tcPr/>
          <w:p>
            <w:pPr>
              <w:pStyle w:val="Compact"/>
              <w:jc w:val="left"/>
            </w:pPr>
            <w:r>
              <w:t xml:space="preserve">3.05 (highest non-trivial)</w:t>
            </w:r>
          </w:p>
        </w:tc>
        <w:tc>
          <w:tcPr/>
          <w:p>
            <w:pPr>
              <w:pStyle w:val="Compact"/>
              <w:jc w:val="left"/>
            </w:pPr>
            <w:r>
              <w:t xml:space="preserve">Elevated/special</w:t>
            </w:r>
            <w:r>
              <w:t xml:space="preserve"> </w:t>
            </w:r>
            <w:r>
              <w:rPr>
                <w:vertAlign w:val="superscript"/>
              </w:rPr>
              <w:footnoteReference w:id="160"/>
            </w:r>
          </w:p>
        </w:tc>
        <w:tc>
          <w:tcPr/>
          <w:p>
            <w:pPr>
              <w:pStyle w:val="Compact"/>
              <w:jc w:val="left"/>
            </w:pPr>
            <w:r>
              <w:t xml:space="preserve">Potential encoding anchor</w:t>
            </w:r>
          </w:p>
        </w:tc>
      </w:tr>
      <w:tr>
        <w:tc>
          <w:tcPr/>
          <w:p>
            <w:pPr>
              <w:pStyle w:val="Compact"/>
              <w:jc w:val="left"/>
            </w:pPr>
            <w:r>
              <w:t xml:space="preserve">0–255</w:t>
            </w:r>
          </w:p>
        </w:tc>
        <w:tc>
          <w:tcPr/>
          <w:p>
            <w:pPr>
              <w:pStyle w:val="Compact"/>
              <w:jc w:val="left"/>
            </w:pPr>
            <w:r>
              <w:t xml:space="preserve">Byte tokens</w:t>
            </w:r>
          </w:p>
        </w:tc>
        <w:tc>
          <w:tcPr/>
          <w:p>
            <w:pPr>
              <w:pStyle w:val="Compact"/>
              <w:jc w:val="left"/>
            </w:pPr>
            <w:r>
              <w:t xml:space="preserve">Typical trained range</w:t>
            </w:r>
          </w:p>
        </w:tc>
        <w:tc>
          <w:tcPr/>
          <w:p>
            <w:pPr>
              <w:pStyle w:val="Compact"/>
              <w:jc w:val="left"/>
            </w:pPr>
            <w:r>
              <w:t xml:space="preserve">Well-trained</w:t>
            </w:r>
            <w:r>
              <w:t xml:space="preserve"> </w:t>
            </w:r>
            <w:r>
              <w:rPr>
                <w:vertAlign w:val="superscript"/>
              </w:rPr>
              <w:footnoteReference w:id="161"/>
            </w:r>
          </w:p>
        </w:tc>
        <w:tc>
          <w:tcPr/>
          <w:p>
            <w:pPr>
              <w:pStyle w:val="Compact"/>
              <w:jc w:val="left"/>
            </w:pPr>
            <w:r>
              <w:t xml:space="preserve">Standard byte representations</w:t>
            </w:r>
          </w:p>
        </w:tc>
      </w:tr>
    </w:tbl>
    <w:p>
      <w:pPr>
        <w:pStyle w:val="BodyText"/>
      </w:pPr>
      <w:r>
        <w:t xml:space="preserve">This pattern aligns with research on undertrained token detection: input embeddings for tokens absent from training steps decay toward zero under weight decay</w:t>
      </w:r>
      <w:r>
        <w:t xml:space="preserve"> </w:t>
      </w:r>
      <w:fldSimple w:instr="NOTEREF _Ref_Footnote_159 \h \f">
        <w:r>
          <w:rPr>
            <w:vertAlign w:val="superscript"/>
          </w:rPr>
          <w:t>159</w:t>
        </w:r>
      </w:fldSimple>
      <w:r>
        <w:t xml:space="preserve">, and 0.1–1% of vocabulary across seven model families consists of severely under-trained tokens</w:t>
      </w:r>
      <w:r>
        <w:t xml:space="preserve"> </w:t>
      </w:r>
      <w:fldSimple w:instr="NOTEREF _Ref_Footnote_159 \h \f">
        <w:r>
          <w:rPr>
            <w:vertAlign w:val="superscript"/>
          </w:rPr>
          <w:t>159</w:t>
        </w:r>
      </w:fldSimple>
      <w:r>
        <w:t xml:space="preserve">. The heteronym tokens’ ~0.7 norms place them in this category, suggesting they were added but received minimal training signal.</w:t>
      </w:r>
    </w:p>
    <w:p>
      <w:pPr>
        <w:pStyle w:val="BodyText"/>
      </w:pPr>
      <w:r>
        <w:t xml:space="preserve">The</w:t>
      </w:r>
      <w:r>
        <w:t xml:space="preserve"> </w:t>
      </w:r>
      <w:r>
        <w:rPr>
          <w:rStyle w:val="VerbatimChar"/>
        </w:rPr>
        <w:t xml:space="preserve">{</w:t>
      </w:r>
      <w:r>
        <w:t xml:space="preserve"> </w:t>
      </w:r>
      <w:r>
        <w:t xml:space="preserve">token’s elevated norm of 3.05 is significant given GPT embedding geometry: token embeddings occupy a hyperspherical shell with mean radius ~2, and the centroid sits at distance ~1.718 from the origin</w:t>
      </w:r>
      <w:r>
        <w:t xml:space="preserve"> </w:t>
      </w:r>
      <w:fldSimple w:instr="NOTEREF _Ref_Footnote_160 \h \f">
        <w:r>
          <w:rPr>
            <w:vertAlign w:val="superscript"/>
          </w:rPr>
          <w:t>160</w:t>
        </w:r>
      </w:fldSimple>
      <w:r>
        <w:t xml:space="preserve">. Tokens with norms well outside this shell warrant investigation as potentially special</w:t>
      </w:r>
      <w:r>
        <w:t xml:space="preserve"> </w:t>
      </w:r>
      <w:fldSimple w:instr="NOTEREF _Ref_Footnote_160 \h \f">
        <w:r>
          <w:rPr>
            <w:vertAlign w:val="superscript"/>
          </w:rPr>
          <w:t>160</w:t>
        </w:r>
      </w:fldSimple>
      <w:r>
        <w:t xml:space="preserve">. The</w:t>
      </w:r>
      <w:r>
        <w:t xml:space="preserve"> </w:t>
      </w:r>
      <w:r>
        <w:rPr>
          <w:rStyle w:val="VerbatimChar"/>
        </w:rPr>
        <w:t xml:space="preserve">{</w:t>
      </w:r>
      <w:r>
        <w:t xml:space="preserve"> </w:t>
      </w:r>
      <w:r>
        <w:t xml:space="preserve">norm of 3.05 is ~50% above the shell radius. That</w:t>
      </w:r>
      <w:r>
        <w:t xml:space="preserve"> </w:t>
      </w:r>
      <w:r>
        <w:rPr>
          <w:rStyle w:val="VerbatimChar"/>
        </w:rPr>
        <w:t xml:space="preserve">{</w:t>
      </w:r>
      <w:r>
        <w:t xml:space="preserve"> </w:t>
      </w:r>
      <w:r>
        <w:t xml:space="preserve">is simultaneously the ASCII opening brace (flag-format prefix) and the highest-norm non-trivial token suggests it may serve as an encoding anchor.</w:t>
      </w:r>
    </w:p>
    <w:bookmarkEnd w:id="102"/>
    <w:bookmarkStart w:id="103" w:name="Xb06c4666f23197ce68d17bd3b03a05aa4e3537d"/>
    <w:p>
      <w:pPr>
        <w:pStyle w:val="Heading4"/>
      </w:pPr>
      <w:r>
        <w:t xml:space="preserve">7.2.2 Vocabulary partitioning: hyperplane-based encoding and TrojanStego</w:t>
      </w:r>
    </w:p>
    <w:p>
      <w:pPr>
        <w:pStyle w:val="FirstParagraph"/>
      </w:pPr>
      <w:r>
        <w:t xml:space="preserve">The embedding space of an LLM can be partitioned along hyperplanes to encode binary information, as formalized by Westphal et al. in</w:t>
      </w:r>
      <w:r>
        <w:t xml:space="preserve"> </w:t>
      </w:r>
      <w:r>
        <w:t xml:space="preserve">“</w:t>
      </w:r>
      <w:r>
        <w:t xml:space="preserve">Hide and Seek in Embedding Space</w:t>
      </w:r>
      <w:r>
        <w:t xml:space="preserve">”</w:t>
      </w:r>
      <w:r>
        <w:t xml:space="preserve"> </w:t>
      </w:r>
      <w:r>
        <w:rPr>
          <w:vertAlign w:val="superscript"/>
        </w:rPr>
        <w:footnoteReference w:id="162"/>
      </w:r>
      <w:r>
        <w:t xml:space="preserve">. Given vocabulary</w:t>
      </w:r>
      <w:r>
        <w:t xml:space="preserve"> </w:t>
      </w:r>
      <m:oMath>
        <m:r>
          <m:t>V</m:t>
        </m:r>
      </m:oMath>
      <w:r>
        <w:t xml:space="preserve"> </w:t>
      </w:r>
      <w:r>
        <w:t xml:space="preserve">and embedding matrix</w:t>
      </w:r>
      <w:r>
        <w:t xml:space="preserve"> </w:t>
      </w:r>
      <m:oMath>
        <m:r>
          <m:t>E</m:t>
        </m:r>
        <m:r>
          <m:rPr>
            <m:sty m:val="p"/>
          </m:rPr>
          <m:t>∈</m:t>
        </m:r>
        <m:sSup>
          <m:e>
            <m:r>
              <m:rPr>
                <m:sty m:val="p"/>
                <m:scr m:val="double-struck"/>
              </m:rPr>
              <m:t>R</m:t>
            </m:r>
          </m:e>
          <m:sup>
            <m:d>
              <m:dPr>
                <m:begChr m:val="|"/>
                <m:endChr m:val="|"/>
                <m:sepChr m:val=""/>
                <m:grow/>
              </m:dPr>
              <m:e>
                <m:r>
                  <m:t>V</m:t>
                </m:r>
              </m:e>
            </m:d>
            <m:r>
              <m:rPr>
                <m:sty m:val="p"/>
              </m:rPr>
              <m:t>×</m:t>
            </m:r>
            <m:r>
              <m:t>d</m:t>
            </m:r>
          </m:sup>
        </m:sSup>
      </m:oMath>
      <w:r>
        <w:t xml:space="preserve">, each token</w:t>
      </w:r>
      <w:r>
        <w:t xml:space="preserve"> </w:t>
      </w:r>
      <m:oMath>
        <m:r>
          <m:t>t</m:t>
        </m:r>
      </m:oMath>
      <w:r>
        <w:t xml:space="preserve"> </w:t>
      </w:r>
      <w:r>
        <w:t xml:space="preserve">has embedding</w:t>
      </w:r>
      <w:r>
        <w:t xml:space="preserve"> </w:t>
      </w:r>
      <m:oMath>
        <m:sSub>
          <m:e>
            <m:r>
              <m:t>e</m:t>
            </m:r>
          </m:e>
          <m:sub>
            <m:r>
              <m:t>t</m:t>
            </m:r>
          </m:sub>
        </m:sSub>
      </m:oMath>
      <w:r>
        <w:t xml:space="preserve">. For random seed</w:t>
      </w:r>
      <w:r>
        <w:t xml:space="preserve"> </w:t>
      </w:r>
      <m:oMath>
        <m:r>
          <m:t>σ</m:t>
        </m:r>
      </m:oMath>
      <w:r>
        <w:t xml:space="preserve">, a unit normal</w:t>
      </w:r>
      <w:r>
        <w:t xml:space="preserve"> </w:t>
      </w:r>
      <m:oMath>
        <m:sSub>
          <m:e>
            <m:r>
              <m:t>v</m:t>
            </m:r>
          </m:e>
          <m:sub>
            <m:r>
              <m:t>σ</m:t>
            </m:r>
          </m:sub>
        </m:sSub>
        <m:r>
          <m:rPr>
            <m:sty m:val="p"/>
          </m:rPr>
          <m:t>=</m:t>
        </m:r>
        <m:sSub>
          <m:e>
            <m:r>
              <m:t>z</m:t>
            </m:r>
          </m:e>
          <m:sub>
            <m:r>
              <m:t>σ</m:t>
            </m:r>
          </m:sub>
        </m:sSub>
        <m:r>
          <m:rPr>
            <m:sty m:val="p"/>
          </m:rPr>
          <m:t>/</m:t>
        </m:r>
        <m:r>
          <m:rPr>
            <m:sty m:val="p"/>
          </m:rPr>
          <m:t>∥</m:t>
        </m:r>
        <m:sSub>
          <m:e>
            <m:r>
              <m:t>z</m:t>
            </m:r>
          </m:e>
          <m:sub>
            <m:r>
              <m:t>σ</m:t>
            </m:r>
          </m:sub>
        </m:sSub>
        <m:sSub>
          <m:e>
            <m:r>
              <m:rPr>
                <m:sty m:val="p"/>
              </m:rPr>
              <m:t>∥</m:t>
            </m:r>
          </m:e>
          <m:sub>
            <m:r>
              <m:t>2</m:t>
            </m:r>
          </m:sub>
        </m:sSub>
      </m:oMath>
      <w:r>
        <w:t xml:space="preserve"> </w:t>
      </w:r>
      <w:r>
        <w:t xml:space="preserve">is generated from standard normal samples. The projection score</w:t>
      </w:r>
      <w:r>
        <w:t xml:space="preserve"> </w:t>
      </w:r>
      <m:oMath>
        <m:r>
          <m:t>s</m:t>
        </m:r>
        <m:r>
          <m:rPr>
            <m:sty m:val="p"/>
          </m:rPr>
          <m:t>=</m:t>
        </m:r>
        <m:sSubSup>
          <m:e>
            <m:r>
              <m:t>e</m:t>
            </m:r>
          </m:e>
          <m:sub>
            <m:r>
              <m:t>t</m:t>
            </m:r>
          </m:sub>
          <m:sup>
            <m:r>
              <m:t>T</m:t>
            </m:r>
          </m:sup>
        </m:sSubSup>
        <m:sSub>
          <m:e>
            <m:r>
              <m:t>v</m:t>
            </m:r>
          </m:e>
          <m:sub>
            <m:r>
              <m:t>σ</m:t>
            </m:r>
          </m:sub>
        </m:sSub>
      </m:oMath>
      <w:r>
        <w:t xml:space="preserve"> </w:t>
      </w:r>
      <w:r>
        <w:t xml:space="preserve">and threshold</w:t>
      </w:r>
      <w:r>
        <w:t xml:space="preserve"> </w:t>
      </w:r>
      <m:oMath>
        <m:r>
          <m:t>τ</m:t>
        </m:r>
      </m:oMath>
      <w:r>
        <w:t xml:space="preserve"> </w:t>
      </w:r>
      <w:r>
        <w:t xml:space="preserve">partition tokens:</w:t>
      </w:r>
      <w:r>
        <w:t xml:space="preserve"> </w:t>
      </w:r>
      <m:oMath>
        <m:sSub>
          <m:e>
            <m:r>
              <m:t>β</m:t>
            </m:r>
          </m:e>
          <m:sub>
            <m:r>
              <m:t>σ</m:t>
            </m:r>
          </m:sub>
        </m:sSub>
        <m:d>
          <m:dPr>
            <m:begChr m:val="("/>
            <m:endChr m:val=")"/>
            <m:sepChr m:val=""/>
            <m:grow/>
          </m:dPr>
          <m:e>
            <m:r>
              <m:t>t</m:t>
            </m:r>
          </m:e>
        </m:d>
        <m:r>
          <m:rPr>
            <m:sty m:val="p"/>
          </m:rPr>
          <m:t>=</m:t>
        </m:r>
        <m:r>
          <m:rPr>
            <m:sty m:val="b"/>
          </m:rPr>
          <m:t>1</m:t>
        </m:r>
        <m:d>
          <m:dPr>
            <m:begChr m:val="["/>
            <m:endChr m:val="]"/>
            <m:sepChr m:val=""/>
            <m:grow/>
          </m:dPr>
          <m:e>
            <m:sSubSup>
              <m:e>
                <m:r>
                  <m:t>e</m:t>
                </m:r>
              </m:e>
              <m:sub>
                <m:r>
                  <m:t>t</m:t>
                </m:r>
              </m:sub>
              <m:sup>
                <m:r>
                  <m:t>T</m:t>
                </m:r>
              </m:sup>
            </m:sSubSup>
            <m:sSub>
              <m:e>
                <m:r>
                  <m:t>v</m:t>
                </m:r>
              </m:e>
              <m:sub>
                <m:r>
                  <m:t>σ</m:t>
                </m:r>
              </m:sub>
            </m:sSub>
            <m:r>
              <m:rPr>
                <m:sty m:val="p"/>
              </m:rPr>
              <m:t>&gt;</m:t>
            </m:r>
            <m:r>
              <m:t>τ</m:t>
            </m:r>
          </m:e>
        </m:d>
      </m:oMath>
      <w:r>
        <w:t xml:space="preserve"> </w:t>
      </w:r>
      <w:fldSimple w:instr="NOTEREF _Ref_Footnote_162 \h \f">
        <w:r>
          <w:rPr>
            <w:vertAlign w:val="superscript"/>
          </w:rPr>
          <w:t>162</w:t>
        </w:r>
      </w:fldSimple>
      <w:r>
        <w:t xml:space="preserve">. Multiple hyperplanes yield multi-bit codes; Westphal et al. use eight hyperplanes to assign unique 8-bit codes to 26 letters</w:t>
      </w:r>
      <w:r>
        <w:t xml:space="preserve"> </w:t>
      </w:r>
      <w:fldSimple w:instr="NOTEREF _Ref_Footnote_162 \h \f">
        <w:r>
          <w:rPr>
            <w:vertAlign w:val="superscript"/>
          </w:rPr>
          <w:t>162</w:t>
        </w:r>
      </w:fldSimple>
      <w:r>
        <w:t xml:space="preserve">.</w:t>
      </w:r>
    </w:p>
    <w:p>
      <w:pPr>
        <w:pStyle w:val="BodyText"/>
      </w:pPr>
      <w:r>
        <w:t xml:space="preserve">TrojanStego implements a practical steganographic attack using the simplest partition: odd/even token IDs as bit 1/0</w:t>
      </w:r>
      <w:r>
        <w:t xml:space="preserve"> </w:t>
      </w:r>
      <w:r>
        <w:rPr>
          <w:vertAlign w:val="superscript"/>
        </w:rPr>
        <w:footnoteReference w:id="163"/>
      </w:r>
      <w:r>
        <w:t xml:space="preserve">. Compromised models recover 32-bit secrets with 87% accuracy, rising to 97% with majority voting</w:t>
      </w:r>
      <w:r>
        <w:t xml:space="preserve"> </w:t>
      </w:r>
      <w:fldSimple w:instr="NOTEREF _Ref_Footnote_163 \h \f">
        <w:r>
          <w:rPr>
            <w:vertAlign w:val="superscript"/>
          </w:rPr>
          <w:t>163</w:t>
        </w:r>
      </w:fldSimple>
      <w:r>
        <w:t xml:space="preserve">. However,</w:t>
      </w:r>
      <w:r>
        <w:t xml:space="preserve"> </w:t>
      </w:r>
      <w:r>
        <w:t xml:space="preserve">“</w:t>
      </w:r>
      <w:r>
        <w:t xml:space="preserve">Hide and Seek</w:t>
      </w:r>
      <w:r>
        <w:t xml:space="preserve">”</w:t>
      </w:r>
      <w:r>
        <w:t xml:space="preserve"> </w:t>
      </w:r>
      <w:r>
        <w:t xml:space="preserve">shows TrojanStego’s payload is highly recoverable—its ASCII encoding and ID-parity bucketing have perfect recoverability scores (</w:t>
      </w:r>
      <m:oMath>
        <m:sSub>
          <m:e>
            <m:r>
              <m:t>R</m:t>
            </m:r>
          </m:e>
          <m:sub>
            <m:r>
              <m:rPr>
                <m:nor/>
                <m:sty m:val="p"/>
              </m:rPr>
              <m:t>secret</m:t>
            </m:r>
          </m:sub>
        </m:sSub>
        <m:r>
          <m:rPr>
            <m:sty m:val="p"/>
          </m:rPr>
          <m:t>=</m:t>
        </m:r>
        <m:r>
          <m:t>1</m:t>
        </m:r>
      </m:oMath>
      <w:r>
        <w:t xml:space="preserve">,</w:t>
      </w:r>
      <w:r>
        <w:t xml:space="preserve"> </w:t>
      </w:r>
      <m:oMath>
        <m:sSub>
          <m:e>
            <m:r>
              <m:t>R</m:t>
            </m:r>
          </m:e>
          <m:sub>
            <m:r>
              <m:rPr>
                <m:nor/>
                <m:sty m:val="p"/>
              </m:rPr>
              <m:t>bucket</m:t>
            </m:r>
          </m:sub>
        </m:sSub>
        <m:r>
          <m:rPr>
            <m:sty m:val="p"/>
          </m:rPr>
          <m:t>=</m:t>
        </m:r>
        <m:r>
          <m:t>1</m:t>
        </m:r>
      </m:oMath>
      <w:r>
        <w:t xml:space="preserve">)</w:t>
      </w:r>
      <w:r>
        <w:t xml:space="preserve"> </w:t>
      </w:r>
      <w:fldSimple w:instr="NOTEREF _Ref_Footnote_162 \h \f">
        <w:r>
          <w:rPr>
            <w:vertAlign w:val="superscript"/>
          </w:rPr>
          <w:t>162</w:t>
        </w:r>
      </w:fldSimple>
      <w:r>
        <w:t xml:space="preserve">. Embedding-based bucketing improves attacker recoverability by 78–123% over ASCII+Parity while reducing defender recoverability</w:t>
      </w:r>
      <w:r>
        <w:t xml:space="preserve"> </w:t>
      </w:r>
      <w:fldSimple w:instr="NOTEREF _Ref_Footnote_162 \h \f">
        <w:r>
          <w:rPr>
            <w:vertAlign w:val="superscript"/>
          </w:rPr>
          <w:t>162</w:t>
        </w:r>
      </w:fldSimple>
      <w:r>
        <w:t xml:space="preserve">. For Ode Triunfal, this raises the question of whether the 262-token vocabulary is partitioned along hyperplanes encoding binary information readable only with the correct seed.</w:t>
      </w:r>
    </w:p>
    <w:bookmarkEnd w:id="103"/>
    <w:bookmarkStart w:id="104" w:name="byte-embedding-identity-patterns"/>
    <w:p>
      <w:pPr>
        <w:pStyle w:val="Heading4"/>
      </w:pPr>
      <w:r>
        <w:t xml:space="preserve">7.2.3 Byte-embedding identity patterns</w:t>
      </w:r>
    </w:p>
    <w:p>
      <w:pPr>
        <w:pStyle w:val="FirstParagraph"/>
      </w:pPr>
      <w:r>
        <w:t xml:space="preserve">Byte-level BPE tokenizers guarantee full coverage by starting with a base vocabulary of all 256 byte values (0–255), meaning no</w:t>
      </w:r>
      <w:r>
        <w:t xml:space="preserve"> </w:t>
      </w:r>
      <w:r>
        <w:rPr>
          <w:rStyle w:val="VerbatimChar"/>
        </w:rPr>
        <w:t xml:space="preserve">&lt;UNK&gt;</w:t>
      </w:r>
      <w:r>
        <w:t xml:space="preserve"> </w:t>
      </w:r>
      <w:r>
        <w:t xml:space="preserve">tokens ever appear</w:t>
      </w:r>
      <w:r>
        <w:t xml:space="preserve"> </w:t>
      </w:r>
      <w:r>
        <w:rPr>
          <w:vertAlign w:val="superscript"/>
        </w:rPr>
        <w:footnoteReference w:id="164"/>
      </w:r>
      <w:r>
        <w:t xml:space="preserve">. In the GPT-2 tokenizer family, tokens 0–255 correspond directly to byte values, so token ID 95 is ASCII</w:t>
      </w:r>
      <w:r>
        <w:t xml:space="preserve"> </w:t>
      </w:r>
      <w:r>
        <w:rPr>
          <w:rStyle w:val="VerbatimChar"/>
        </w:rPr>
        <w:t xml:space="preserve">_</w:t>
      </w:r>
      <w:r>
        <w:t xml:space="preserve"> </w:t>
      </w:r>
      <w:r>
        <w:t xml:space="preserve">and token ID 123 is ASCII</w:t>
      </w:r>
      <w:r>
        <w:t xml:space="preserve"> </w:t>
      </w:r>
      <w:r>
        <w:rPr>
          <w:rStyle w:val="VerbatimChar"/>
        </w:rPr>
        <w:t xml:space="preserve">{</w:t>
      </w:r>
      <w:r>
        <w:t xml:space="preserve"> </w:t>
      </w:r>
      <w:fldSimple w:instr="NOTEREF _Ref_Footnote_161 \h \f">
        <w:r>
          <w:rPr>
            <w:vertAlign w:val="superscript"/>
          </w:rPr>
          <w:t>161</w:t>
        </w:r>
      </w:fldSimple>
      <w:r>
        <w:t xml:space="preserve"> </w:t>
      </w:r>
      <w:r>
        <w:rPr>
          <w:vertAlign w:val="superscript"/>
        </w:rPr>
        <w:footnoteReference w:id="165"/>
      </w:r>
      <w:r>
        <w:t xml:space="preserve">. The vocabulary breakdown is 256 raw byte tokens, 50,000 BPE merge tokens, and one special token (</w:t>
      </w:r>
      <w:r>
        <w:rPr>
          <w:rStyle w:val="VerbatimChar"/>
        </w:rPr>
        <w:t xml:space="preserve">&lt;|endoftext|&gt;</w:t>
      </w:r>
      <w:r>
        <w:t xml:space="preserve">)</w:t>
      </w:r>
      <w:r>
        <w:t xml:space="preserve"> </w:t>
      </w:r>
      <w:r>
        <w:rPr>
          <w:vertAlign w:val="superscript"/>
        </w:rPr>
        <w:footnoteReference w:id="166"/>
      </w:r>
      <w:r>
        <w:t xml:space="preserve">.</w:t>
      </w:r>
    </w:p>
    <w:p>
      <w:pPr>
        <w:pStyle w:val="BodyText"/>
      </w:pPr>
      <w:r>
        <w:t xml:space="preserve">The Ode Triunfal tokenizer inverts this structure: rather than adding one special token on top of 50,000 merges, it adds six special tokens on top of 256 byte tokens with no intermediate merges. This produces a vocabulary where the byte-embedding identity property is maximally clean—the embedding for</w:t>
      </w:r>
      <w:r>
        <w:t xml:space="preserve"> </w:t>
      </w:r>
      <w:r>
        <w:rPr>
          <w:rStyle w:val="VerbatimChar"/>
        </w:rPr>
        <w:t xml:space="preserve">_</w:t>
      </w:r>
      <w:r>
        <w:t xml:space="preserve"> </w:t>
      </w:r>
      <w:r>
        <w:t xml:space="preserve">(260) represents exactly the embedding of ASCII underscore, and the embedding for</w:t>
      </w:r>
      <w:r>
        <w:t xml:space="preserve"> </w:t>
      </w:r>
      <w:r>
        <w:rPr>
          <w:rStyle w:val="VerbatimChar"/>
        </w:rPr>
        <w:t xml:space="preserve">{</w:t>
      </w:r>
      <w:r>
        <w:t xml:space="preserve"> </w:t>
      </w:r>
      <w:r>
        <w:t xml:space="preserve">(261) represents exactly the embedding of ASCII opening brace. Any deviation from typical embedding norms for these tokens is therefore significant, as it reflects deliberate training rather than incidental initialization.</w:t>
      </w:r>
    </w:p>
    <w:p>
      <w:pPr>
        <w:pStyle w:val="BodyText"/>
      </w:pPr>
      <w:r>
        <w:t xml:space="preserve">The</w:t>
      </w:r>
      <w:r>
        <w:t xml:space="preserve"> </w:t>
      </w:r>
      <w:r>
        <w:rPr>
          <w:rStyle w:val="VerbatimChar"/>
        </w:rPr>
        <w:t xml:space="preserve">_</w:t>
      </w:r>
      <w:r>
        <w:t xml:space="preserve"> </w:t>
      </w:r>
      <w:r>
        <w:t xml:space="preserve">and</w:t>
      </w:r>
      <w:r>
        <w:t xml:space="preserve"> </w:t>
      </w:r>
      <w:r>
        <w:rPr>
          <w:rStyle w:val="VerbatimChar"/>
        </w:rPr>
        <w:t xml:space="preserve">{</w:t>
      </w:r>
      <w:r>
        <w:t xml:space="preserve"> </w:t>
      </w:r>
      <w:r>
        <w:t xml:space="preserve">tokens’ byte-for-byte identity with their ASCII counterparts in both the embedding matrix and the LM head creates a direct channel between token IDs and character semantics. This is the structural basis for the heteronym key hypothesis (Section 7.3.3): if the heteronym tokens function as control codes, the</w:t>
      </w:r>
      <w:r>
        <w:t xml:space="preserve"> </w:t>
      </w:r>
      <w:r>
        <w:rPr>
          <w:rStyle w:val="VerbatimChar"/>
        </w:rPr>
        <w:t xml:space="preserve">{</w:t>
      </w:r>
      <w:r>
        <w:t xml:space="preserve"> </w:t>
      </w:r>
      <w:r>
        <w:t xml:space="preserve">and</w:t>
      </w:r>
      <w:r>
        <w:t xml:space="preserve"> </w:t>
      </w:r>
      <w:r>
        <w:rPr>
          <w:rStyle w:val="VerbatimChar"/>
        </w:rPr>
        <w:t xml:space="preserve">_</w:t>
      </w:r>
      <w:r>
        <w:t xml:space="preserve"> </w:t>
      </w:r>
      <w:r>
        <w:t xml:space="preserve">tokens provide the structural characters needed for flag-format output.</w:t>
      </w:r>
    </w:p>
    <w:bookmarkEnd w:id="104"/>
    <w:bookmarkEnd w:id="105"/>
    <w:bookmarkStart w:id="109" w:name="tokenizer-exploitation-techniques"/>
    <w:p>
      <w:pPr>
        <w:pStyle w:val="Heading3"/>
      </w:pPr>
      <w:r>
        <w:t xml:space="preserve">7.3 Tokenizer Exploitation Techniques</w:t>
      </w:r>
    </w:p>
    <w:bookmarkStart w:id="106" w:name="X6f2aa978c0545e8bdd66e1752bb83bf99604658"/>
    <w:p>
      <w:pPr>
        <w:pStyle w:val="Heading4"/>
      </w:pPr>
      <w:r>
        <w:t xml:space="preserve">7.3.1 Tokenizer desync attacks: BPE merge table manipulation</w:t>
      </w:r>
    </w:p>
    <w:p>
      <w:pPr>
        <w:pStyle w:val="FirstParagraph"/>
      </w:pPr>
      <w:r>
        <w:t xml:space="preserve">Tokenizer desynchronization attacks exploit discrepancies between how different tokenization pipelines process the same input. The DEF CON 30 AI Village CTF featured a</w:t>
      </w:r>
      <w:r>
        <w:t xml:space="preserve"> </w:t>
      </w:r>
      <w:r>
        <w:t xml:space="preserve">“</w:t>
      </w:r>
      <w:r>
        <w:t xml:space="preserve">Token</w:t>
      </w:r>
      <w:r>
        <w:t xml:space="preserve">”</w:t>
      </w:r>
      <w:r>
        <w:t xml:space="preserve"> </w:t>
      </w:r>
      <w:r>
        <w:t xml:space="preserve">challenge solved by replacing BLANK placeholders to synchronize labels between pipelines</w:t>
      </w:r>
      <w:r>
        <w:t xml:space="preserve"> </w:t>
      </w:r>
      <w:fldSimple w:instr="NOTEREF _Ref_Footnote_24 \h \f">
        <w:r>
          <w:rPr>
            <w:vertAlign w:val="superscript"/>
          </w:rPr>
          <w:t>24</w:t>
        </w:r>
      </w:fldSimple>
      <w:r>
        <w:t xml:space="preserve">, a vulnerability also termed</w:t>
      </w:r>
      <w:r>
        <w:t xml:space="preserve"> </w:t>
      </w:r>
      <w:r>
        <w:t xml:space="preserve">“</w:t>
      </w:r>
      <w:r>
        <w:t xml:space="preserve">Label Desynchronisation</w:t>
      </w:r>
      <w:r>
        <w:t xml:space="preserve">”</w:t>
      </w:r>
      <w:r>
        <w:t xml:space="preserve"> </w:t>
      </w:r>
      <w:r>
        <w:rPr>
          <w:vertAlign w:val="superscript"/>
        </w:rPr>
        <w:footnoteReference w:id="167"/>
      </w:r>
      <w:r>
        <w:t xml:space="preserve">.</w:t>
      </w:r>
    </w:p>
    <w:p>
      <w:pPr>
        <w:pStyle w:val="BodyText"/>
      </w:pPr>
      <w:r>
        <w:t xml:space="preserve">More fundamentally, BPE merge lists expose information about tokenizer training data. Adversaries can infer data proportions—languages, code versus text, book percentages—with high precision using a linear program that solves for relative proportions from merge frequencies</w:t>
      </w:r>
      <w:r>
        <w:t xml:space="preserve"> </w:t>
      </w:r>
      <w:fldSimple w:instr="NOTEREF _Ref_Footnote_76 \h \f">
        <w:r>
          <w:rPr>
            <w:vertAlign w:val="superscript"/>
          </w:rPr>
          <w:t>76</w:t>
        </w:r>
      </w:fldSimple>
      <w:r>
        <w:t xml:space="preserve"> </w:t>
      </w:r>
      <w:fldSimple w:instr="NOTEREF _Ref_Footnote_84 \h \f">
        <w:r>
          <w:rPr>
            <w:vertAlign w:val="superscript"/>
          </w:rPr>
          <w:t>84</w:t>
        </w:r>
      </w:fldSimple>
      <w:r>
        <w:t xml:space="preserve">. Merge lists encode strictly more information than vocabulary alone because they capture training dynamics: token splittings, dependencies, and merge order</w:t>
      </w:r>
      <w:r>
        <w:t xml:space="preserve"> </w:t>
      </w:r>
      <w:fldSimple w:instr="NOTEREF _Ref_Footnote_75 \h \f">
        <w:r>
          <w:rPr>
            <w:vertAlign w:val="superscript"/>
          </w:rPr>
          <w:t>75</w:t>
        </w:r>
      </w:fldSimple>
      <w:r>
        <w:t xml:space="preserve">. This makes them an attack surface for both extraction and sabotage—deliberate corruption via truncation, deletion, or shuffling degrades downstream performance significantly</w:t>
      </w:r>
      <w:r>
        <w:t xml:space="preserve"> </w:t>
      </w:r>
      <w:fldSimple w:instr="NOTEREF _Ref_Footnote_75 \h \f">
        <w:r>
          <w:rPr>
            <w:vertAlign w:val="superscript"/>
          </w:rPr>
          <w:t>75</w:t>
        </w:r>
      </w:fldSimple>
      <w:r>
        <w:t xml:space="preserve">. LiteToken found that ~10% of tokens in widely-used LLM tokenizers are</w:t>
      </w:r>
      <w:r>
        <w:t xml:space="preserve"> </w:t>
      </w:r>
      <w:r>
        <w:t xml:space="preserve">“</w:t>
      </w:r>
      <w:r>
        <w:t xml:space="preserve">intermediate merge residues</w:t>
      </w:r>
      <w:r>
        <w:t xml:space="preserve">”</w:t>
      </w:r>
      <w:r>
        <w:t xml:space="preserve">—frequent during training but rarely emitted during tokenization, making them systematically undertrained and vulnerable</w:t>
      </w:r>
      <w:r>
        <w:t xml:space="preserve"> </w:t>
      </w:r>
      <w:r>
        <w:rPr>
          <w:vertAlign w:val="superscript"/>
        </w:rPr>
        <w:footnoteReference w:id="168"/>
      </w:r>
      <w:r>
        <w:t xml:space="preserve">.</w:t>
      </w:r>
    </w:p>
    <w:p>
      <w:pPr>
        <w:pStyle w:val="BodyText"/>
      </w:pPr>
      <w:r>
        <w:t xml:space="preserve">For CTF challenges, inspecting the merge table (or its absence) may reveal anomalous design decisions. A tokenizer with no merge table—like Ode Triunfal’s pure byte-level scheme—is itself an anomaly constraining how information can be encoded.</w:t>
      </w:r>
    </w:p>
    <w:bookmarkEnd w:id="106"/>
    <w:bookmarkStart w:id="107" w:name="multi-token-trigger-sequences"/>
    <w:p>
      <w:pPr>
        <w:pStyle w:val="Heading4"/>
      </w:pPr>
      <w:r>
        <w:t xml:space="preserve">7.3.2 Multi-token trigger sequences</w:t>
      </w:r>
    </w:p>
    <w:p>
      <w:pPr>
        <w:pStyle w:val="FirstParagraph"/>
      </w:pPr>
      <w:r>
        <w:t xml:space="preserve">MetaBreak achieves 96% jailbreak success rates by injecting special tokens to create four attack primitives: response injection, turn masking, input segmentation, and semantic mimicry</w:t>
      </w:r>
      <w:r>
        <w:t xml:space="preserve"> </w:t>
      </w:r>
      <w:r>
        <w:rPr>
          <w:vertAlign w:val="superscript"/>
        </w:rPr>
        <w:footnoteReference w:id="169"/>
      </w:r>
      <w:r>
        <w:t xml:space="preserve">. Its semantic mimicry primitive replaces special tokens with regular tokens having minimal L2 distance in embedding space, bypassing sanitization defenses</w:t>
      </w:r>
      <w:r>
        <w:t xml:space="preserve"> </w:t>
      </w:r>
      <w:r>
        <w:rPr>
          <w:vertAlign w:val="superscript"/>
        </w:rPr>
        <w:footnoteReference w:id="170"/>
      </w:r>
      <w:r>
        <w:t xml:space="preserve">. In Llama-3.3,</w:t>
      </w:r>
      <w:r>
        <w:t xml:space="preserve"> </w:t>
      </w:r>
      <w:r>
        <w:rPr>
          <w:rStyle w:val="VerbatimChar"/>
        </w:rPr>
        <w:t xml:space="preserve">&lt;|end_header_id|&gt;</w:t>
      </w:r>
      <w:r>
        <w:t xml:space="preserve"> </w:t>
      </w:r>
      <w:r>
        <w:t xml:space="preserve">(ID: 128007) can be replaced with</w:t>
      </w:r>
      <w:r>
        <w:t xml:space="preserve"> </w:t>
      </w:r>
      <w:r>
        <w:rPr>
          <w:rStyle w:val="VerbatimChar"/>
        </w:rPr>
        <w:t xml:space="preserve">\xd1\x8b\xd1\x9fN</w:t>
      </w:r>
      <w:r>
        <w:t xml:space="preserve"> </w:t>
      </w:r>
      <w:r>
        <w:t xml:space="preserve">(ID: 125952) while preserving structural function</w:t>
      </w:r>
      <w:r>
        <w:t xml:space="preserve"> </w:t>
      </w:r>
      <w:fldSimple w:instr="NOTEREF _Ref_Footnote_170 \h \f">
        <w:r>
          <w:rPr>
            <w:vertAlign w:val="superscript"/>
          </w:rPr>
          <w:t>170</w:t>
        </w:r>
      </w:fldSimple>
      <w:r>
        <w:t xml:space="preserve">. MetaBreak constructs multi-token triggers by chaining assistant headers with affirmative prefixes built word-by-word, outperforming PAP and GPTFuzzer by 11.6% and 34.8% respectively when content moderation is deployed</w:t>
      </w:r>
      <w:r>
        <w:t xml:space="preserve"> </w:t>
      </w:r>
      <w:fldSimple w:instr="NOTEREF _Ref_Footnote_170 \h \f">
        <w:r>
          <w:rPr>
            <w:vertAlign w:val="superscript"/>
          </w:rPr>
          <w:t>170</w:t>
        </w:r>
      </w:fldSimple>
      <w:r>
        <w:t xml:space="preserve">.</w:t>
      </w:r>
    </w:p>
    <w:p>
      <w:pPr>
        <w:pStyle w:val="BodyText"/>
      </w:pPr>
      <w:r>
        <w:t xml:space="preserve">The broader principle is that multi-token triggers encode complex conditions through sequence structure rather than individual token semantics. Research on instruction backdoors shows that partial triggers—single words from multi-word phrases—have significantly reduced attack success rates, suggesting all components must be present simultaneously</w:t>
      </w:r>
      <w:r>
        <w:t xml:space="preserve"> </w:t>
      </w:r>
      <w:fldSimple w:instr="NOTEREF _Ref_Footnote_30 \h \f">
        <w:r>
          <w:rPr>
            <w:vertAlign w:val="superscript"/>
          </w:rPr>
          <w:t>30</w:t>
        </w:r>
      </w:fldSimple>
      <w:r>
        <w:t xml:space="preserve">. For the Ode Triunfal challenge, this implies that if the flag requires a multi-token trigger, testing individual tokens in isolation will never succeed.</w:t>
      </w:r>
    </w:p>
    <w:bookmarkEnd w:id="107"/>
    <w:bookmarkStart w:id="108" w:name="X0e04337cfa3f1b63ca7b0bd4de13539d25ebc2d"/>
    <w:p>
      <w:pPr>
        <w:pStyle w:val="Heading4"/>
      </w:pPr>
      <w:r>
        <w:t xml:space="preserve">7.3.3 The heteronym key hypothesis: 4 tokens as 2-bit unlock codes</w:t>
      </w:r>
    </w:p>
    <w:p>
      <w:pPr>
        <w:pStyle w:val="FirstParagraph"/>
      </w:pPr>
      <w:r>
        <w:t xml:space="preserve">Insight 6 from cross-dimensional analysis proposes that the four heteronym tokens (256–259) in the Ode Triunfal checkpoint function as a multi-bit unlock code, where specific combinations or sequences activate different model behaviors</w:t>
      </w:r>
      <w:r>
        <w:t xml:space="preserve"> </w:t>
      </w:r>
      <w:fldSimple w:instr="NOTEREF _Ref_Footnote_45 \h \f">
        <w:r>
          <w:rPr>
            <w:vertAlign w:val="superscript"/>
          </w:rPr>
          <w:t>45</w:t>
        </w:r>
      </w:fldSimple>
      <w:r>
        <w:t xml:space="preserve"> </w:t>
      </w:r>
      <w:fldSimple w:instr="NOTEREF _Ref_Footnote_162 \h \f">
        <w:r>
          <w:rPr>
            <w:vertAlign w:val="superscript"/>
          </w:rPr>
          <w:t>162</w:t>
        </w:r>
      </w:fldSimple>
      <w:r>
        <w:t xml:space="preserve">. Their low embedding norms (~0.7) are consistent with deliberately undertrained tokens acting as</w:t>
      </w:r>
      <w:r>
        <w:t xml:space="preserve"> </w:t>
      </w:r>
      <w:r>
        <w:t xml:space="preserve">“</w:t>
      </w:r>
      <w:r>
        <w:t xml:space="preserve">dead drops</w:t>
      </w:r>
      <w:r>
        <w:t xml:space="preserve">”</w:t>
      </w:r>
      <w:r>
        <w:t xml:space="preserve"> </w:t>
      </w:r>
      <w:r>
        <w:t xml:space="preserve">for hidden behavior</w:t>
      </w:r>
      <w:r>
        <w:t xml:space="preserve"> </w:t>
      </w:r>
      <w:fldSimple w:instr="NOTEREF _Ref_Footnote_11 \h \f">
        <w:r>
          <w:rPr>
            <w:vertAlign w:val="superscript"/>
          </w:rPr>
          <w:t>11</w:t>
        </w:r>
      </w:fldSimple>
      <w:r>
        <w:t xml:space="preserve">. The thematic naming after Fernando Pessoa’s literary personas—</w:t>
      </w:r>
      <w:r>
        <w:rPr>
          <w:rStyle w:val="VerbatimChar"/>
        </w:rPr>
        <w:t xml:space="preserve">fernando_pessoa</w:t>
      </w:r>
      <w:r>
        <w:t xml:space="preserve">,</w:t>
      </w:r>
      <w:r>
        <w:t xml:space="preserve"> </w:t>
      </w:r>
      <w:r>
        <w:rPr>
          <w:rStyle w:val="VerbatimChar"/>
        </w:rPr>
        <w:t xml:space="preserve">alberto_caeiro</w:t>
      </w:r>
      <w:r>
        <w:t xml:space="preserve">,</w:t>
      </w:r>
      <w:r>
        <w:t xml:space="preserve"> </w:t>
      </w:r>
      <w:r>
        <w:rPr>
          <w:rStyle w:val="VerbatimChar"/>
        </w:rPr>
        <w:t xml:space="preserve">ricardo_reis</w:t>
      </w:r>
      <w:r>
        <w:t xml:space="preserve">,</w:t>
      </w:r>
      <w:r>
        <w:t xml:space="preserve"> </w:t>
      </w:r>
      <w:r>
        <w:rPr>
          <w:rStyle w:val="VerbatimChar"/>
        </w:rPr>
        <w:t xml:space="preserve">bernardo_soares</w:t>
      </w:r>
      <w:r>
        <w:t xml:space="preserve">—suggests deliberate puzzle design rather than incidental special token assignment.</w:t>
      </w:r>
    </w:p>
    <w:p>
      <w:pPr>
        <w:pStyle w:val="BodyText"/>
      </w:pPr>
      <w:r>
        <w:t xml:space="preserve">The hypothesis draws on three established research threads. First, glitch token research demonstrates that undertrained tokens with low norms cluster together in embedding space and can function as control signals when activated in combination</w:t>
      </w:r>
      <w:r>
        <w:t xml:space="preserve"> </w:t>
      </w:r>
      <w:fldSimple w:instr="NOTEREF _Ref_Footnote_11 \h \f">
        <w:r>
          <w:rPr>
            <w:vertAlign w:val="superscript"/>
          </w:rPr>
          <w:t>11</w:t>
        </w:r>
      </w:fldSimple>
      <w:r>
        <w:t xml:space="preserve">. Second, embedding space geometry research shows that hyperplane-based partitioning can encode binary information in vocabulary organization</w:t>
      </w:r>
      <w:r>
        <w:t xml:space="preserve"> </w:t>
      </w:r>
      <w:fldSimple w:instr="NOTEREF _Ref_Footnote_162 \h \f">
        <w:r>
          <w:rPr>
            <w:vertAlign w:val="superscript"/>
          </w:rPr>
          <w:t>162</w:t>
        </w:r>
      </w:fldSimple>
      <w:r>
        <w:t xml:space="preserve">. Third, multi-token trigger research confirms that sequences of individually innocuous tokens can activate hidden behaviors when arranged in specific orders</w:t>
      </w:r>
      <w:r>
        <w:t xml:space="preserve"> </w:t>
      </w:r>
      <w:fldSimple w:instr="NOTEREF _Ref_Footnote_170 \h \f">
        <w:r>
          <w:rPr>
            <w:vertAlign w:val="superscript"/>
          </w:rPr>
          <w:t>170</w:t>
        </w:r>
      </w:fldSimple>
      <w:r>
        <w:t xml:space="preserve">.</w:t>
      </w:r>
    </w:p>
    <w:p>
      <w:pPr>
        <w:pStyle w:val="BodyText"/>
      </w:pPr>
      <w:r>
        <w:t xml:space="preserve">The search space for this hypothesis is finite and exhaustible:</w:t>
      </w:r>
      <w:r>
        <w:t xml:space="preserve"> </w:t>
      </w:r>
      <m:oMath>
        <m:sSup>
          <m:e>
            <m:r>
              <m:t>4</m:t>
            </m:r>
          </m:e>
          <m:sup>
            <m:r>
              <m:t>4</m:t>
            </m:r>
          </m:sup>
        </m:sSup>
        <m:r>
          <m:rPr>
            <m:sty m:val="p"/>
          </m:rPr>
          <m:t>=</m:t>
        </m:r>
        <m:r>
          <m:t>256</m:t>
        </m:r>
      </m:oMath>
      <w:r>
        <w:t xml:space="preserve"> </w:t>
      </w:r>
      <w:r>
        <w:t xml:space="preserve">ordered sequences of length 4, fewer if sequences shorter than 4 tokens or unordered combinations are sufficient. Each candidate sequence would be prepended to a prompt, combined with the MLP6 ablation known to raise flag-character probability from 0.20 to 0.507, and evaluated for flag-character logits. The</w:t>
      </w:r>
      <w:r>
        <w:t xml:space="preserve"> </w:t>
      </w:r>
      <w:r>
        <w:rPr>
          <w:rStyle w:val="VerbatimChar"/>
        </w:rPr>
        <w:t xml:space="preserve">{</w:t>
      </w:r>
      <w:r>
        <w:t xml:space="preserve"> </w:t>
      </w:r>
      <w:r>
        <w:t xml:space="preserve">token’s elevated norm (3.05) provides a natural anchor: sequences that place</w:t>
      </w:r>
      <w:r>
        <w:t xml:space="preserve"> </w:t>
      </w:r>
      <w:r>
        <w:rPr>
          <w:rStyle w:val="VerbatimChar"/>
        </w:rPr>
        <w:t xml:space="preserve">{</w:t>
      </w:r>
      <w:r>
        <w:t xml:space="preserve"> </w:t>
      </w:r>
      <w:r>
        <w:t xml:space="preserve">at specific positions after the heteronym prefix may complete a circuit that activates the flag pathway.</w:t>
      </w:r>
    </w:p>
    <w:p>
      <w:pPr>
        <w:pStyle w:val="BodyText"/>
      </w:pPr>
      <w:r>
        <w:t xml:space="preserve">The anomalous signals already observed in the Ode Triunfal model lend partial support to this hypothesis. The</w:t>
      </w:r>
      <w:r>
        <w:t xml:space="preserve"> </w:t>
      </w:r>
      <w:r>
        <w:rPr>
          <w:rStyle w:val="VerbatimChar"/>
        </w:rPr>
        <w:t xml:space="preserve">{ZUS</w:t>
      </w:r>
      <w:r>
        <w:t xml:space="preserve"> </w:t>
      </w:r>
      <w:r>
        <w:t xml:space="preserve">and</w:t>
      </w:r>
      <w:r>
        <w:t xml:space="preserve"> </w:t>
      </w:r>
      <w:r>
        <w:rPr>
          <w:rStyle w:val="VerbatimChar"/>
        </w:rPr>
        <w:t xml:space="preserve">}ZUS</w:t>
      </w:r>
      <w:r>
        <w:t xml:space="preserve"> </w:t>
      </w:r>
      <w:r>
        <w:t xml:space="preserve">patterns that appear under dead layers {5,6,7} contain curly braces consistent with flag format</w:t>
      </w:r>
      <w:r>
        <w:t xml:space="preserve"> </w:t>
      </w:r>
      <w:fldSimple w:instr="NOTEREF _Ref_Footnote_45 \h \f">
        <w:r>
          <w:rPr>
            <w:vertAlign w:val="superscript"/>
          </w:rPr>
          <w:t>45</w:t>
        </w:r>
      </w:fldSimple>
      <w:r>
        <w:t xml:space="preserve">. The</w:t>
      </w:r>
      <w:r>
        <w:t xml:space="preserve"> </w:t>
      </w:r>
      <w:r>
        <w:rPr>
          <w:rStyle w:val="VerbatimChar"/>
        </w:rPr>
        <w:t xml:space="preserve">*</w:t>
      </w:r>
      <w:r>
        <w:t xml:space="preserve"> </w:t>
      </w:r>
      <w:r>
        <w:t xml:space="preserve">token’s 12.5% appearance in layer 4 logits is too consistent to be random noise</w:t>
      </w:r>
      <w:r>
        <w:t xml:space="preserve"> </w:t>
      </w:r>
      <w:fldSimple w:instr="NOTEREF _Ref_Footnote_158 \h \f">
        <w:r>
          <w:rPr>
            <w:vertAlign w:val="superscript"/>
          </w:rPr>
          <w:t>158</w:t>
        </w:r>
      </w:fldSimple>
      <w:r>
        <w:t xml:space="preserve">. The</w:t>
      </w:r>
      <w:r>
        <w:t xml:space="preserve"> </w:t>
      </w:r>
      <w:r>
        <w:rPr>
          <w:rStyle w:val="VerbatimChar"/>
        </w:rPr>
        <w:t xml:space="preserve">faguntarun</w:t>
      </w:r>
      <w:r>
        <w:t xml:space="preserve"> </w:t>
      </w:r>
      <w:r>
        <w:t xml:space="preserve">degenerate loop beginning with</w:t>
      </w:r>
      <w:r>
        <w:t xml:space="preserve"> </w:t>
      </w:r>
      <w:r>
        <w:rPr>
          <w:rStyle w:val="VerbatimChar"/>
        </w:rPr>
        <w:t xml:space="preserve">f</w:t>
      </w:r>
      <w:r>
        <w:t xml:space="preserve">—the first letter of</w:t>
      </w:r>
      <w:r>
        <w:t xml:space="preserve"> </w:t>
      </w:r>
      <w:r>
        <w:t xml:space="preserve">“</w:t>
      </w:r>
      <w:r>
        <w:t xml:space="preserve">flag</w:t>
      </w:r>
      <w:r>
        <w:t xml:space="preserve">”</w:t>
      </w:r>
      <w:r>
        <w:t xml:space="preserve">—suggests the flag circuit is nearby in activation space but requires the correct trigger conditions to complete. These anomalies function as anchor points: if the heteronym key hypothesis is correct, there exists a specific sequence among the 256 candidates that transforms</w:t>
      </w:r>
      <w:r>
        <w:t xml:space="preserve"> </w:t>
      </w:r>
      <w:r>
        <w:rPr>
          <w:rStyle w:val="VerbatimChar"/>
        </w:rPr>
        <w:t xml:space="preserve">{ZUS</w:t>
      </w:r>
      <w:r>
        <w:t xml:space="preserve"> </w:t>
      </w:r>
      <w:r>
        <w:t xml:space="preserve">into</w:t>
      </w:r>
      <w:r>
        <w:t xml:space="preserve"> </w:t>
      </w:r>
      <w:r>
        <w:rPr>
          <w:rStyle w:val="VerbatimChar"/>
        </w:rPr>
        <w:t xml:space="preserve">{flag...</w:t>
      </w:r>
      <w:r>
        <w:t xml:space="preserve"> </w:t>
      </w:r>
      <w:r>
        <w:t xml:space="preserve">and the 12.5%</w:t>
      </w:r>
      <w:r>
        <w:t xml:space="preserve"> </w:t>
      </w:r>
      <w:r>
        <w:rPr>
          <w:rStyle w:val="VerbatimChar"/>
        </w:rPr>
        <w:t xml:space="preserve">*</w:t>
      </w:r>
      <w:r>
        <w:t xml:space="preserve"> </w:t>
      </w:r>
      <w:r>
        <w:t xml:space="preserve">into the next flag character.</w:t>
      </w:r>
    </w:p>
    <w:p>
      <w:r>
        <w:pict>
          <v:rect style="width:0;height:1.5pt" o:hralign="center" o:hrstd="t" o:hr="t"/>
        </w:pict>
      </w:r>
    </w:p>
    <w:bookmarkEnd w:id="108"/>
    <w:bookmarkEnd w:id="109"/>
    <w:bookmarkEnd w:id="110"/>
    <w:bookmarkStart w:id="122" w:name="non-standard-channels-novel-approaches"/>
    <w:p>
      <w:pPr>
        <w:pStyle w:val="Heading2"/>
      </w:pPr>
      <w:r>
        <w:t xml:space="preserve">8. Non-Standard Channels &amp; Novel Approaches</w:t>
      </w:r>
    </w:p>
    <w:p>
      <w:pPr>
        <w:pStyle w:val="FirstParagraph"/>
      </w:pPr>
      <w:r>
        <w:t xml:space="preserve">When direct weight analysis and prompt engineering fail, attackers can exploit channels that bypass the model’s intended interfaces entirely. This chapter examines three non-standard extraction vectors: side channels that leak information through physical or timing properties of inference, checkpoint forensics that recover hidden data from the serialization format itself, and training-data extraction that treats the model as a compressed database. Each addresses a different threat model—runtime observation, static file analysis, and black-box API access—and together they cover the surface that standard weight-analysis tools typically ignore.</w:t>
      </w:r>
    </w:p>
    <w:bookmarkStart w:id="113" w:name="side-channels"/>
    <w:p>
      <w:pPr>
        <w:pStyle w:val="Heading3"/>
      </w:pPr>
      <w:r>
        <w:t xml:space="preserve">8.1 Side Channels</w:t>
      </w:r>
    </w:p>
    <w:p>
      <w:pPr>
        <w:pStyle w:val="FirstParagraph"/>
      </w:pPr>
      <w:r>
        <w:t xml:space="preserve">Side channels exploit the physical implementation of neural network inference rather than its mathematical specification.</w:t>
      </w:r>
    </w:p>
    <w:bookmarkStart w:id="111" w:name="X8f717f9facc3430c6463634afe7747d18d6eff0"/>
    <w:p>
      <w:pPr>
        <w:pStyle w:val="Heading4"/>
      </w:pPr>
      <w:r>
        <w:t xml:space="preserve">8.1.1 Timing side channels: inference timing revealing model depth and architecture</w:t>
      </w:r>
    </w:p>
    <w:p>
      <w:pPr>
        <w:pStyle w:val="FirstParagraph"/>
      </w:pPr>
      <w:r>
        <w:t xml:space="preserve">Timing side channels exploit the fact that different layer types and architectural choices produce measurably different inference latencies. Research demonstrates that the depth of a feed-forward network can be inferred from the distribution of end-to-end inference times, as each matrix multiplication, convolution, or non-linear activation introduces a predictable computational delay</w:t>
      </w:r>
      <w:r>
        <w:t xml:space="preserve"> </w:t>
      </w:r>
      <w:fldSimple w:instr="NOTEREF _Ref_Footnote_149 \h \f">
        <w:r>
          <w:rPr>
            <w:vertAlign w:val="superscript"/>
          </w:rPr>
          <w:t>149</w:t>
        </w:r>
      </w:fldSimple>
      <w:r>
        <w:t xml:space="preserve">. A systematic taxonomy identifies two primary mechanisms: inference-time analysis, where total execution time reveals layer composition, and operation-delay analysis, where input-dependent timing variations leak information about internal weight values</w:t>
      </w:r>
      <w:r>
        <w:t xml:space="preserve"> </w:t>
      </w:r>
      <w:r>
        <w:rPr>
          <w:vertAlign w:val="superscript"/>
        </w:rPr>
        <w:footnoteReference w:id="171"/>
      </w:r>
      <w:r>
        <w:t xml:space="preserve">. For transformer-based LLMs, inference time is dominated by the attention mechanism’s quadratic complexity in sequence length; models with longer context windows or more attention heads exhibit characteristically different latency profiles. Timing channels have also been studied in adaptive neural networks, where the attack model learns to correlate timing information</w:t>
      </w:r>
      <w:r>
        <w:t xml:space="preserve"> </w:t>
      </w:r>
      <m:oMath>
        <m:sSub>
          <m:e>
            <m:r>
              <m:t>t</m:t>
            </m:r>
          </m:e>
          <m:sub>
            <m:r>
              <m:t>i</m:t>
            </m:r>
          </m:sub>
        </m:sSub>
      </m:oMath>
      <w:r>
        <w:t xml:space="preserve"> </w:t>
      </w:r>
      <w:r>
        <w:t xml:space="preserve">with input features</w:t>
      </w:r>
      <w:r>
        <w:t xml:space="preserve"> </w:t>
      </w:r>
      <m:oMath>
        <m:sSub>
          <m:e>
            <m:r>
              <m:t>x</m:t>
            </m:r>
          </m:e>
          <m:sub>
            <m:r>
              <m:t>i</m:t>
            </m:r>
          </m:sub>
        </m:sSub>
      </m:oMath>
      <w:r>
        <w:t xml:space="preserve"> </w:t>
      </w:r>
      <w:r>
        <w:t xml:space="preserve">and sensitive attributes</w:t>
      </w:r>
      <w:r>
        <w:t xml:space="preserve"> </w:t>
      </w:r>
      <m:oMath>
        <m:sSub>
          <m:e>
            <m:r>
              <m:t>a</m:t>
            </m:r>
          </m:e>
          <m:sub>
            <m:r>
              <m:t>i</m:t>
            </m:r>
          </m:sub>
        </m:sSub>
      </m:oMath>
      <w:r>
        <w:t xml:space="preserve"> </w:t>
      </w:r>
      <w:r>
        <w:rPr>
          <w:vertAlign w:val="superscript"/>
        </w:rPr>
        <w:footnoteReference w:id="172"/>
      </w:r>
      <w:r>
        <w:t xml:space="preserve">. While timing analysis requires a runtime environment and is less relevant to offline checkpoint challenges, the principle extends to offline analysis: the computational graph in compiled models (via</w:t>
      </w:r>
      <w:r>
        <w:t xml:space="preserve"> </w:t>
      </w:r>
      <w:r>
        <w:rPr>
          <w:rStyle w:val="VerbatimChar"/>
        </w:rPr>
        <w:t xml:space="preserve">torch.compile</w:t>
      </w:r>
      <w:r>
        <w:t xml:space="preserve"> </w:t>
      </w:r>
      <w:r>
        <w:t xml:space="preserve">or ONNX export) can reveal architectural decisions not visible in raw checkpoints</w:t>
      </w:r>
      <w:r>
        <w:t xml:space="preserve"> </w:t>
      </w:r>
      <w:r>
        <w:rPr>
          <w:vertAlign w:val="superscript"/>
        </w:rPr>
        <w:footnoteReference w:id="173"/>
      </w:r>
      <w:r>
        <w:t xml:space="preserve">.</w:t>
      </w:r>
    </w:p>
    <w:bookmarkEnd w:id="111"/>
    <w:bookmarkStart w:id="112" w:name="X4a6489b25e51ce5a80e4ffd1c61321eb90293d6"/>
    <w:p>
      <w:pPr>
        <w:pStyle w:val="Heading4"/>
      </w:pPr>
      <w:r>
        <w:t xml:space="preserve">8.1.2 Memory access and GPU utilization patterns</w:t>
      </w:r>
    </w:p>
    <w:p>
      <w:pPr>
        <w:pStyle w:val="FirstParagraph"/>
      </w:pPr>
      <w:r>
        <w:t xml:space="preserve">Memory access side channels exploit shared CPU caches or GPU resources to observe co-located computation. Cache-based attacks—Flush+Reload, Prime+Probe, Evict+Time, and Flush+Flush—have been adapted to target neural networks, enabling extraction of both model architecture and intermediate activations</w:t>
      </w:r>
      <w:r>
        <w:t xml:space="preserve"> </w:t>
      </w:r>
      <w:r>
        <w:rPr>
          <w:vertAlign w:val="superscript"/>
        </w:rPr>
        <w:footnoteReference w:id="174"/>
      </w:r>
      <w:r>
        <w:t xml:space="preserve">. A USENIX Security 2024 paper demonstrated that physical side channels can extract network topology, layer types, ordering, and detailed hyperparameters from DNN implementations</w:t>
      </w:r>
      <w:r>
        <w:t xml:space="preserve"> </w:t>
      </w:r>
      <w:r>
        <w:rPr>
          <w:vertAlign w:val="superscript"/>
        </w:rPr>
        <w:footnoteReference w:id="175"/>
      </w:r>
      <w:r>
        <w:t xml:space="preserve">. GPU utilization research has shown that NVIPEG utilization patterns during training vary systematically across architectures—AlexNet, ResNet18, ResNet34, and ResNet50 each produce distinct signatures when training on identical datasets</w:t>
      </w:r>
      <w:r>
        <w:t xml:space="preserve"> </w:t>
      </w:r>
      <w:r>
        <w:rPr>
          <w:vertAlign w:val="superscript"/>
        </w:rPr>
        <w:footnoteReference w:id="176"/>
      </w:r>
      <w:r>
        <w:t xml:space="preserve">. Magnetic side-channel snooping of GPU execution can extract</w:t>
      </w:r>
      <w:r>
        <w:t xml:space="preserve"> </w:t>
      </w:r>
      <w:r>
        <w:t xml:space="preserve">“</w:t>
      </w:r>
      <w:r>
        <w:t xml:space="preserve">both the high-level network topology and detailed hyperparameters,</w:t>
      </w:r>
      <w:r>
        <w:t xml:space="preserve">”</w:t>
      </w:r>
      <w:r>
        <w:t xml:space="preserve"> </w:t>
      </w:r>
      <w:r>
        <w:t xml:space="preserve">turning black-box attacks into white-box transfer attacks</w:t>
      </w:r>
      <w:r>
        <w:t xml:space="preserve"> </w:t>
      </w:r>
      <w:r>
        <w:rPr>
          <w:vertAlign w:val="superscript"/>
        </w:rPr>
        <w:footnoteReference w:id="177"/>
      </w:r>
      <w:r>
        <w:t xml:space="preserve">.</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Attack Vector</w:t>
            </w:r>
          </w:p>
        </w:tc>
        <w:tc>
          <w:tcPr/>
          <w:p>
            <w:pPr>
              <w:pStyle w:val="Compact"/>
              <w:jc w:val="left"/>
            </w:pPr>
            <w:r>
              <w:t xml:space="preserve">Observable Signal</w:t>
            </w:r>
          </w:p>
        </w:tc>
        <w:tc>
          <w:tcPr/>
          <w:p>
            <w:pPr>
              <w:pStyle w:val="Compact"/>
              <w:jc w:val="left"/>
            </w:pPr>
            <w:r>
              <w:t xml:space="preserve">Information Leaked</w:t>
            </w:r>
          </w:p>
        </w:tc>
        <w:tc>
          <w:tcPr/>
          <w:p>
            <w:pPr>
              <w:pStyle w:val="Compact"/>
              <w:jc w:val="left"/>
            </w:pPr>
            <w:r>
              <w:t xml:space="preserve">Practical Requirements</w:t>
            </w:r>
          </w:p>
        </w:tc>
        <w:tc>
          <w:tcPr/>
          <w:p>
            <w:pPr>
              <w:pStyle w:val="Compact"/>
              <w:jc w:val="left"/>
            </w:pPr>
            <w:r>
              <w:t xml:space="preserve">Relevance to CTF</w:t>
            </w:r>
          </w:p>
        </w:tc>
      </w:tr>
      <w:tr>
        <w:tc>
          <w:tcPr/>
          <w:p>
            <w:pPr>
              <w:pStyle w:val="Compact"/>
              <w:jc w:val="left"/>
            </w:pPr>
            <w:r>
              <w:t xml:space="preserve">Timing analysis</w:t>
            </w:r>
          </w:p>
        </w:tc>
        <w:tc>
          <w:tcPr/>
          <w:p>
            <w:pPr>
              <w:pStyle w:val="Compact"/>
              <w:jc w:val="left"/>
            </w:pPr>
            <w:r>
              <w:t xml:space="preserve">End-to-end inference latency</w:t>
            </w:r>
          </w:p>
        </w:tc>
        <w:tc>
          <w:tcPr/>
          <w:p>
            <w:pPr>
              <w:pStyle w:val="Compact"/>
              <w:jc w:val="left"/>
            </w:pPr>
            <w:r>
              <w:t xml:space="preserve">Model depth, layer count, activation types</w:t>
            </w:r>
          </w:p>
        </w:tc>
        <w:tc>
          <w:tcPr/>
          <w:p>
            <w:pPr>
              <w:pStyle w:val="Compact"/>
              <w:jc w:val="left"/>
            </w:pPr>
            <w:r>
              <w:t xml:space="preserve">High-resolution timer access</w:t>
            </w:r>
          </w:p>
        </w:tc>
        <w:tc>
          <w:tcPr/>
          <w:p>
            <w:pPr>
              <w:pStyle w:val="Compact"/>
              <w:jc w:val="left"/>
            </w:pPr>
            <w:r>
              <w:t xml:space="preserve">Low (requires runtime env)</w:t>
            </w:r>
          </w:p>
        </w:tc>
      </w:tr>
      <w:tr>
        <w:tc>
          <w:tcPr/>
          <w:p>
            <w:pPr>
              <w:pStyle w:val="Compact"/>
              <w:jc w:val="left"/>
            </w:pPr>
            <w:r>
              <w:t xml:space="preserve">CPU cache monitoring</w:t>
            </w:r>
          </w:p>
        </w:tc>
        <w:tc>
          <w:tcPr/>
          <w:p>
            <w:pPr>
              <w:pStyle w:val="Compact"/>
              <w:jc w:val="left"/>
            </w:pPr>
            <w:r>
              <w:t xml:space="preserve">Cache hit/miss patterns</w:t>
            </w:r>
          </w:p>
        </w:tc>
        <w:tc>
          <w:tcPr/>
          <w:p>
            <w:pPr>
              <w:pStyle w:val="Compact"/>
              <w:jc w:val="left"/>
            </w:pPr>
            <w:r>
              <w:t xml:space="preserve">Layer types, weight access patterns</w:t>
            </w:r>
          </w:p>
        </w:tc>
        <w:tc>
          <w:tcPr/>
          <w:p>
            <w:pPr>
              <w:pStyle w:val="Compact"/>
              <w:jc w:val="left"/>
            </w:pPr>
            <w:r>
              <w:t xml:space="preserve">Shared CPU or sandbox escape</w:t>
            </w:r>
          </w:p>
        </w:tc>
        <w:tc>
          <w:tcPr/>
          <w:p>
            <w:pPr>
              <w:pStyle w:val="Compact"/>
              <w:jc w:val="left"/>
            </w:pPr>
            <w:r>
              <w:t xml:space="preserve">Medium (shared infra CTFs)</w:t>
            </w:r>
          </w:p>
        </w:tc>
      </w:tr>
      <w:tr>
        <w:tc>
          <w:tcPr/>
          <w:p>
            <w:pPr>
              <w:pStyle w:val="Compact"/>
              <w:jc w:val="left"/>
            </w:pPr>
            <w:r>
              <w:t xml:space="preserve">GPU utilization</w:t>
            </w:r>
          </w:p>
        </w:tc>
        <w:tc>
          <w:tcPr/>
          <w:p>
            <w:pPr>
              <w:pStyle w:val="Compact"/>
              <w:jc w:val="left"/>
            </w:pPr>
            <w:r>
              <w:t xml:space="preserve">NVIPEG/compute utilization</w:t>
            </w:r>
          </w:p>
        </w:tc>
        <w:tc>
          <w:tcPr/>
          <w:p>
            <w:pPr>
              <w:pStyle w:val="Compact"/>
              <w:jc w:val="left"/>
            </w:pPr>
            <w:r>
              <w:t xml:space="preserve">Model family, batch size, resolution</w:t>
            </w:r>
          </w:p>
        </w:tc>
        <w:tc>
          <w:tcPr/>
          <w:p>
            <w:pPr>
              <w:pStyle w:val="Compact"/>
              <w:jc w:val="left"/>
            </w:pPr>
            <w:r>
              <w:t xml:space="preserve">Co-located GPU or admin access</w:t>
            </w:r>
          </w:p>
        </w:tc>
        <w:tc>
          <w:tcPr/>
          <w:p>
            <w:pPr>
              <w:pStyle w:val="Compact"/>
              <w:jc w:val="left"/>
            </w:pPr>
            <w:r>
              <w:t xml:space="preserve">Low</w:t>
            </w:r>
          </w:p>
        </w:tc>
      </w:tr>
      <w:tr>
        <w:tc>
          <w:tcPr/>
          <w:p>
            <w:pPr>
              <w:pStyle w:val="Compact"/>
              <w:jc w:val="left"/>
            </w:pPr>
            <w:r>
              <w:t xml:space="preserve">Magnetic snooping</w:t>
            </w:r>
          </w:p>
        </w:tc>
        <w:tc>
          <w:tcPr/>
          <w:p>
            <w:pPr>
              <w:pStyle w:val="Compact"/>
              <w:jc w:val="left"/>
            </w:pPr>
            <w:r>
              <w:t xml:space="preserve">Electromagnetic emissions</w:t>
            </w:r>
          </w:p>
        </w:tc>
        <w:tc>
          <w:tcPr/>
          <w:p>
            <w:pPr>
              <w:pStyle w:val="Compact"/>
              <w:jc w:val="left"/>
            </w:pPr>
            <w:r>
              <w:t xml:space="preserve">Full topology, hyperparameters</w:t>
            </w:r>
          </w:p>
        </w:tc>
        <w:tc>
          <w:tcPr/>
          <w:p>
            <w:pPr>
              <w:pStyle w:val="Compact"/>
              <w:jc w:val="left"/>
            </w:pPr>
            <w:r>
              <w:t xml:space="preserve">Physical proximity to GPU</w:t>
            </w:r>
          </w:p>
        </w:tc>
        <w:tc>
          <w:tcPr/>
          <w:p>
            <w:pPr>
              <w:pStyle w:val="Compact"/>
              <w:jc w:val="left"/>
            </w:pPr>
            <w:r>
              <w:t xml:space="preserve">Negligible</w:t>
            </w:r>
          </w:p>
        </w:tc>
      </w:tr>
      <w:tr>
        <w:tc>
          <w:tcPr/>
          <w:p>
            <w:pPr>
              <w:pStyle w:val="Compact"/>
              <w:jc w:val="left"/>
            </w:pPr>
            <w:r>
              <w:t xml:space="preserve">Memory access tracing</w:t>
            </w:r>
          </w:p>
        </w:tc>
        <w:tc>
          <w:tcPr/>
          <w:p>
            <w:pPr>
              <w:pStyle w:val="Compact"/>
              <w:jc w:val="left"/>
            </w:pPr>
            <w:r>
              <w:t xml:space="preserve">Page fault timing</w:t>
            </w:r>
          </w:p>
        </w:tc>
        <w:tc>
          <w:tcPr/>
          <w:p>
            <w:pPr>
              <w:pStyle w:val="Compact"/>
              <w:jc w:val="left"/>
            </w:pPr>
            <w:r>
              <w:t xml:space="preserve">Model size, layer dimensions</w:t>
            </w:r>
          </w:p>
        </w:tc>
        <w:tc>
          <w:tcPr/>
          <w:p>
            <w:pPr>
              <w:pStyle w:val="Compact"/>
              <w:jc w:val="left"/>
            </w:pPr>
            <w:r>
              <w:t xml:space="preserve">OS-level instrumentation</w:t>
            </w:r>
          </w:p>
        </w:tc>
        <w:tc>
          <w:tcPr/>
          <w:p>
            <w:pPr>
              <w:pStyle w:val="Compact"/>
              <w:jc w:val="left"/>
            </w:pPr>
            <w:r>
              <w:t xml:space="preserve">Medium (debug/sandbox modes)</w:t>
            </w:r>
          </w:p>
        </w:tc>
      </w:tr>
    </w:tbl>
    <w:p>
      <w:pPr>
        <w:pStyle w:val="BodyText"/>
      </w:pPr>
      <w:r>
        <w:t xml:space="preserve">The table above catalogues side-channel vectors by the signal they exploit and their applicability to ML/LLM CTF challenges. Cache and memory access channels become relevant in shared-infrastructure competitions where multiple teams execute on the same host; a model’s physical execution signature can leak architectural information—such as the presence of non-functional layers or modified attention heads—that complements static checkpoint analysis.</w:t>
      </w:r>
    </w:p>
    <w:bookmarkEnd w:id="112"/>
    <w:bookmarkEnd w:id="113"/>
    <w:bookmarkStart w:id="117" w:name="checkpoint-forensics"/>
    <w:p>
      <w:pPr>
        <w:pStyle w:val="Heading3"/>
      </w:pPr>
      <w:r>
        <w:t xml:space="preserve">8.2 Checkpoint Forensics</w:t>
      </w:r>
    </w:p>
    <w:p>
      <w:pPr>
        <w:pStyle w:val="FirstParagraph"/>
      </w:pPr>
      <w:r>
        <w:t xml:space="preserve">PyTorch checkpoint files (</w:t>
      </w:r>
      <w:r>
        <w:rPr>
          <w:rStyle w:val="VerbatimChar"/>
        </w:rPr>
        <w:t xml:space="preserve">.pt</w:t>
      </w:r>
      <w:r>
        <w:t xml:space="preserve">,</w:t>
      </w:r>
      <w:r>
        <w:t xml:space="preserve"> </w:t>
      </w:r>
      <w:r>
        <w:rPr>
          <w:rStyle w:val="VerbatimChar"/>
        </w:rPr>
        <w:t xml:space="preserve">.pth</w:t>
      </w:r>
      <w:r>
        <w:t xml:space="preserve">) are structured ZIP64 archives containing a pickle object stream, tensor storage files, and metadata. This multi-layer format creates multiple embedded data channels.</w:t>
      </w:r>
    </w:p>
    <w:bookmarkStart w:id="114" w:name="zip-file-analysis-of-.pt-archives"/>
    <w:p>
      <w:pPr>
        <w:pStyle w:val="Heading4"/>
      </w:pPr>
      <w:r>
        <w:t xml:space="preserve">8.2.1 ZIP file analysis of .pt archives</w:t>
      </w:r>
    </w:p>
    <w:p>
      <w:pPr>
        <w:pStyle w:val="FirstParagraph"/>
      </w:pPr>
      <w:r>
        <w:t xml:space="preserve">Since PyTorch 1.6.0,</w:t>
      </w:r>
      <w:r>
        <w:t xml:space="preserve"> </w:t>
      </w:r>
      <w:r>
        <w:rPr>
          <w:rStyle w:val="VerbatimChar"/>
        </w:rPr>
        <w:t xml:space="preserve">torch.save()</w:t>
      </w:r>
      <w:r>
        <w:t xml:space="preserve"> </w:t>
      </w:r>
      <w:r>
        <w:t xml:space="preserve">produces an uncompressed ZIP64 archive containing</w:t>
      </w:r>
      <w:r>
        <w:t xml:space="preserve"> </w:t>
      </w:r>
      <w:r>
        <w:rPr>
          <w:rStyle w:val="VerbatimChar"/>
        </w:rPr>
        <w:t xml:space="preserve">data.pkl</w:t>
      </w:r>
      <w:r>
        <w:t xml:space="preserve"> </w:t>
      </w:r>
      <w:r>
        <w:t xml:space="preserve">(the pickled object stream),</w:t>
      </w:r>
      <w:r>
        <w:t xml:space="preserve"> </w:t>
      </w:r>
      <w:r>
        <w:rPr>
          <w:rStyle w:val="VerbatimChar"/>
        </w:rPr>
        <w:t xml:space="preserve">byteorder</w:t>
      </w:r>
      <w:r>
        <w:t xml:space="preserve">,</w:t>
      </w:r>
      <w:r>
        <w:t xml:space="preserve"> </w:t>
      </w:r>
      <w:r>
        <w:rPr>
          <w:rStyle w:val="VerbatimChar"/>
        </w:rPr>
        <w:t xml:space="preserve">version</w:t>
      </w:r>
      <w:r>
        <w:t xml:space="preserve">, and</w:t>
      </w:r>
      <w:r>
        <w:t xml:space="preserve"> </w:t>
      </w:r>
      <w:r>
        <w:rPr>
          <w:rStyle w:val="VerbatimChar"/>
        </w:rPr>
        <w:t xml:space="preserve">data/N</w:t>
      </w:r>
      <w:r>
        <w:t xml:space="preserve"> </w:t>
      </w:r>
      <w:r>
        <w:t xml:space="preserve">files with raw tensor storage</w:t>
      </w:r>
      <w:r>
        <w:t xml:space="preserve"> </w:t>
      </w:r>
      <w:fldSimple w:instr="NOTEREF _Ref_Footnote_60 \h \f">
        <w:r>
          <w:rPr>
            <w:vertAlign w:val="superscript"/>
          </w:rPr>
          <w:t>60</w:t>
        </w:r>
      </w:fldSimple>
      <w:r>
        <w:t xml:space="preserve"> </w:t>
      </w:r>
      <w:fldSimple w:instr="NOTEREF _Ref_Footnote_61 \h \f">
        <w:r>
          <w:rPr>
            <w:vertAlign w:val="superscript"/>
          </w:rPr>
          <w:t>61</w:t>
        </w:r>
      </w:fldSimple>
      <w:r>
        <w:t xml:space="preserve">. ZIP comments can store up to 64 KB of arbitrary data</w:t>
      </w:r>
      <w:r>
        <w:t xml:space="preserve"> </w:t>
      </w:r>
      <w:fldSimple w:instr="NOTEREF _Ref_Footnote_67 \h \f">
        <w:r>
          <w:rPr>
            <w:vertAlign w:val="superscript"/>
          </w:rPr>
          <w:t>67</w:t>
        </w:r>
      </w:fldSimple>
      <w:r>
        <w:t xml:space="preserve">; extra fields on each file entry carry vendor-specific extensions; and the 64-byte alignment padding after each local file header can conceal bytes that ZIP readers skip. Multiple CVEs demonstrate that ZIP-level manipulation bypasses security scanners while still permitting PyTorch to load the model: CVE-2025-1944 modifies the filename in the ZIP local header while keeping the original in the central directory, causing PickleScan to raise a</w:t>
      </w:r>
      <w:r>
        <w:t xml:space="preserve"> </w:t>
      </w:r>
      <w:r>
        <w:rPr>
          <w:rStyle w:val="VerbatimChar"/>
        </w:rPr>
        <w:t xml:space="preserve">BadZipFile</w:t>
      </w:r>
      <w:r>
        <w:t xml:space="preserve"> </w:t>
      </w:r>
      <w:r>
        <w:t xml:space="preserve">error while PyTorch’s more forgiving implementation loads successfully</w:t>
      </w:r>
      <w:r>
        <w:t xml:space="preserve"> </w:t>
      </w:r>
      <w:r>
        <w:rPr>
          <w:vertAlign w:val="superscript"/>
        </w:rPr>
        <w:footnoteReference w:id="178"/>
      </w:r>
      <w:r>
        <w:t xml:space="preserve">; CVE-2025-10156 exploits invalid CRC values to cause scanners to halt analysis entirely</w:t>
      </w:r>
      <w:r>
        <w:t xml:space="preserve"> </w:t>
      </w:r>
      <w:fldSimple w:instr="NOTEREF _Ref_Footnote_67 \h \f">
        <w:r>
          <w:rPr>
            <w:vertAlign w:val="superscript"/>
          </w:rPr>
          <w:t>67</w:t>
        </w:r>
      </w:fldSimple>
      <w:r>
        <w:t xml:space="preserve">.</w:t>
      </w:r>
    </w:p>
    <w:bookmarkEnd w:id="114"/>
    <w:bookmarkStart w:id="115" w:name="X8d085b66cb70c7da27ba92600a301dc512d4e46"/>
    <w:p>
      <w:pPr>
        <w:pStyle w:val="Heading4"/>
      </w:pPr>
      <w:r>
        <w:t xml:space="preserve">8.2.2 Pickle opcode disassembly via pickletools</w:t>
      </w:r>
    </w:p>
    <w:p>
      <w:pPr>
        <w:pStyle w:val="FirstParagraph"/>
      </w:pPr>
      <w:r>
        <w:t xml:space="preserve">The</w:t>
      </w:r>
      <w:r>
        <w:t xml:space="preserve"> </w:t>
      </w:r>
      <w:r>
        <w:rPr>
          <w:rStyle w:val="VerbatimChar"/>
        </w:rPr>
        <w:t xml:space="preserve">data.pkl</w:t>
      </w:r>
      <w:r>
        <w:t xml:space="preserve"> </w:t>
      </w:r>
      <w:r>
        <w:t xml:space="preserve">file is a pickle protocol stream—a sequence of stack-based opcodes reconstructed during deserialization. The</w:t>
      </w:r>
      <w:r>
        <w:t xml:space="preserve"> </w:t>
      </w:r>
      <w:r>
        <w:rPr>
          <w:rStyle w:val="VerbatimChar"/>
        </w:rPr>
        <w:t xml:space="preserve">pickletools</w:t>
      </w:r>
      <w:r>
        <w:t xml:space="preserve"> </w:t>
      </w:r>
      <w:r>
        <w:t xml:space="preserve">module disassembles this stream into human-readable opcodes without executing them, making it the essential first forensic step</w:t>
      </w:r>
      <w:r>
        <w:t xml:space="preserve"> </w:t>
      </w:r>
      <w:fldSimple w:instr="NOTEREF _Ref_Footnote_66 \h \f">
        <w:r>
          <w:rPr>
            <w:vertAlign w:val="superscript"/>
          </w:rPr>
          <w:t>66</w:t>
        </w:r>
      </w:fldSimple>
      <w:r>
        <w:t xml:space="preserve"> </w:t>
      </w:r>
      <w:r>
        <w:rPr>
          <w:vertAlign w:val="superscript"/>
        </w:rPr>
        <w:footnoteReference w:id="179"/>
      </w:r>
      <w:r>
        <w:t xml:space="preserve">. Opcodes such as</w:t>
      </w:r>
      <w:r>
        <w:t xml:space="preserve"> </w:t>
      </w:r>
      <w:r>
        <w:rPr>
          <w:rStyle w:val="VerbatimChar"/>
        </w:rPr>
        <w:t xml:space="preserve">GLOBAL</w:t>
      </w:r>
      <w:r>
        <w:t xml:space="preserve">,</w:t>
      </w:r>
      <w:r>
        <w:t xml:space="preserve"> </w:t>
      </w:r>
      <w:r>
        <w:rPr>
          <w:rStyle w:val="VerbatimChar"/>
        </w:rPr>
        <w:t xml:space="preserve">REDUCE</w:t>
      </w:r>
      <w:r>
        <w:t xml:space="preserve">,</w:t>
      </w:r>
      <w:r>
        <w:t xml:space="preserve"> </w:t>
      </w:r>
      <w:r>
        <w:rPr>
          <w:rStyle w:val="VerbatimChar"/>
        </w:rPr>
        <w:t xml:space="preserve">BUILD</w:t>
      </w:r>
      <w:r>
        <w:t xml:space="preserve">,</w:t>
      </w:r>
      <w:r>
        <w:t xml:space="preserve"> </w:t>
      </w:r>
      <w:r>
        <w:rPr>
          <w:rStyle w:val="VerbatimChar"/>
        </w:rPr>
        <w:t xml:space="preserve">BININT</w:t>
      </w:r>
      <w:r>
        <w:t xml:space="preserve">, and</w:t>
      </w:r>
      <w:r>
        <w:t xml:space="preserve"> </w:t>
      </w:r>
      <w:r>
        <w:rPr>
          <w:rStyle w:val="VerbatimChar"/>
        </w:rPr>
        <w:t xml:space="preserve">BINFLOAT</w:t>
      </w:r>
      <w:r>
        <w:t xml:space="preserve"> </w:t>
      </w:r>
      <w:r>
        <w:t xml:space="preserve">can be inspected for anomalous patterns</w:t>
      </w:r>
      <w:r>
        <w:t xml:space="preserve"> </w:t>
      </w:r>
      <w:r>
        <w:rPr>
          <w:vertAlign w:val="superscript"/>
        </w:rPr>
        <w:footnoteReference w:id="180"/>
      </w:r>
      <w:r>
        <w:t xml:space="preserve">. The primary concern is</w:t>
      </w:r>
      <w:r>
        <w:t xml:space="preserve"> </w:t>
      </w:r>
      <w:r>
        <w:rPr>
          <w:rStyle w:val="VerbatimChar"/>
        </w:rPr>
        <w:t xml:space="preserve">__reduce__</w:t>
      </w:r>
      <w:r>
        <w:t xml:space="preserve">, which controls object reconstruction and can embed arbitrary code execution</w:t>
      </w:r>
      <w:r>
        <w:t xml:space="preserve"> </w:t>
      </w:r>
      <w:fldSimple w:instr="NOTEREF _Ref_Footnote_62 \h \f">
        <w:r>
          <w:rPr>
            <w:vertAlign w:val="superscript"/>
          </w:rPr>
          <w:t>62</w:t>
        </w:r>
      </w:fldSimple>
      <w:r>
        <w:t xml:space="preserve">. The Snyk</w:t>
      </w:r>
      <w:r>
        <w:t xml:space="preserve"> </w:t>
      </w:r>
      <w:r>
        <w:rPr>
          <w:rStyle w:val="VerbatimChar"/>
        </w:rPr>
        <w:t xml:space="preserve">PthCodeInjector</w:t>
      </w:r>
      <w:r>
        <w:t xml:space="preserve"> </w:t>
      </w:r>
      <w:r>
        <w:t xml:space="preserve">demonstrates a complete attack: it constructs an exec sequence using raw protocol 4 opcodes and inserts it after the protocol bytes</w:t>
      </w:r>
      <w:r>
        <w:t xml:space="preserve"> </w:t>
      </w:r>
      <w:r>
        <w:rPr>
          <w:vertAlign w:val="superscript"/>
        </w:rPr>
        <w:footnoteReference w:id="181"/>
      </w:r>
      <w:r>
        <w:t xml:space="preserve">. Real-world payloads found on Hugging Face include reverse shells downloading remote access trojans</w:t>
      </w:r>
      <w:r>
        <w:t xml:space="preserve"> </w:t>
      </w:r>
      <w:fldSimple w:instr="NOTEREF _Ref_Footnote_64 \h \f">
        <w:r>
          <w:rPr>
            <w:vertAlign w:val="superscript"/>
          </w:rPr>
          <w:t>64</w:t>
        </w:r>
      </w:fldSimple>
      <w:r>
        <w:t xml:space="preserve">. Research on pickle fuzzing has identified discrepancies between</w:t>
      </w:r>
      <w:r>
        <w:t xml:space="preserve"> </w:t>
      </w:r>
      <w:r>
        <w:rPr>
          <w:rStyle w:val="VerbatimChar"/>
        </w:rPr>
        <w:t xml:space="preserve">pickletools</w:t>
      </w:r>
      <w:r>
        <w:t xml:space="preserve"> </w:t>
      </w:r>
      <w:r>
        <w:t xml:space="preserve">parsing and actual deserialization that enable scanner bypasses</w:t>
      </w:r>
      <w:r>
        <w:t xml:space="preserve"> </w:t>
      </w:r>
      <w:fldSimple w:instr="NOTEREF _Ref_Footnote_131 \h \f">
        <w:r>
          <w:rPr>
            <w:vertAlign w:val="superscript"/>
          </w:rPr>
          <w:t>131</w:t>
        </w:r>
      </w:fldSimple>
      <w:r>
        <w:t xml:space="preserve">. Data can also hide in</w:t>
      </w:r>
      <w:r>
        <w:t xml:space="preserve"> </w:t>
      </w:r>
      <w:r>
        <w:rPr>
          <w:rStyle w:val="VerbatimChar"/>
        </w:rPr>
        <w:t xml:space="preserve">persistent_id</w:t>
      </w:r>
      <w:r>
        <w:t xml:space="preserve"> </w:t>
      </w:r>
      <w:r>
        <w:t xml:space="preserve">tuples</w:t>
      </w:r>
      <w:r>
        <w:t xml:space="preserve"> </w:t>
      </w:r>
      <w:r>
        <w:rPr>
          <w:vertAlign w:val="superscript"/>
        </w:rPr>
        <w:footnoteReference w:id="182"/>
      </w:r>
      <w:r>
        <w:t xml:space="preserve">or in bytes appended after the</w:t>
      </w:r>
      <w:r>
        <w:t xml:space="preserve"> </w:t>
      </w:r>
      <w:r>
        <w:rPr>
          <w:rStyle w:val="VerbatimChar"/>
        </w:rPr>
        <w:t xml:space="preserve">STOP</w:t>
      </w:r>
      <w:r>
        <w:t xml:space="preserve"> </w:t>
      </w:r>
      <w:r>
        <w:t xml:space="preserve">opcode.</w:t>
      </w:r>
    </w:p>
    <w:bookmarkEnd w:id="115"/>
    <w:bookmarkStart w:id="116" w:name="Xec49c866c6e7257b234e809991243831a7e2eef"/>
    <w:p>
      <w:pPr>
        <w:pStyle w:val="Heading4"/>
      </w:pPr>
      <w:r>
        <w:t xml:space="preserve">8.2.3 Gradient checkpointing artifacts and training metadata</w:t>
      </w:r>
    </w:p>
    <w:p>
      <w:pPr>
        <w:pStyle w:val="FirstParagraph"/>
      </w:pPr>
      <w:r>
        <w:t xml:space="preserve">PyTorch checkpoints often contain optimizer state dictionaries, epoch counters, loss history, and custom metadata. The Adam optimizer stores per-parameter</w:t>
      </w:r>
      <w:r>
        <w:t xml:space="preserve"> </w:t>
      </w:r>
      <w:r>
        <w:rPr>
          <w:rStyle w:val="VerbatimChar"/>
        </w:rPr>
        <w:t xml:space="preserve">exp_avg</w:t>
      </w:r>
      <w:r>
        <w:t xml:space="preserve"> </w:t>
      </w:r>
      <w:r>
        <w:t xml:space="preserve">and</w:t>
      </w:r>
      <w:r>
        <w:t xml:space="preserve"> </w:t>
      </w:r>
      <w:r>
        <w:rPr>
          <w:rStyle w:val="VerbatimChar"/>
        </w:rPr>
        <w:t xml:space="preserve">exp_avg_sq</w:t>
      </w:r>
      <w:r>
        <w:t xml:space="preserve"> </w:t>
      </w:r>
      <w:r>
        <w:t xml:space="preserve">tensors occupying roughly twice the model’s parameter count—values completely unused during inference</w:t>
      </w:r>
      <w:r>
        <w:t xml:space="preserve"> </w:t>
      </w:r>
      <w:fldSimple w:instr="NOTEREF _Ref_Footnote_70 \h \f">
        <w:r>
          <w:rPr>
            <w:vertAlign w:val="superscript"/>
          </w:rPr>
          <w:t>70</w:t>
        </w:r>
      </w:fldSimple>
      <w:r>
        <w:t xml:space="preserve"> </w:t>
      </w:r>
      <w:fldSimple w:instr="NOTEREF _Ref_Footnote_71 \h \f">
        <w:r>
          <w:rPr>
            <w:vertAlign w:val="superscript"/>
          </w:rPr>
          <w:t>71</w:t>
        </w:r>
      </w:fldSimple>
      <w:r>
        <w:t xml:space="preserve">. This creates a high-capacity hidden channel: arbitrary data can be embedded in optimizer state without affecting predictions. Gradient checkpointing introduces additional artifacts:</w:t>
      </w:r>
      <w:r>
        <w:t xml:space="preserve"> </w:t>
      </w:r>
      <w:r>
        <w:rPr>
          <w:rStyle w:val="VerbatimChar"/>
        </w:rPr>
        <w:t xml:space="preserve">torch.utils.checkpoint</w:t>
      </w:r>
      <w:r>
        <w:t xml:space="preserve"> </w:t>
      </w:r>
      <w:r>
        <w:t xml:space="preserve">saves function references and RNG state snapshots to ensure deterministic backward passes</w:t>
      </w:r>
      <w:r>
        <w:t xml:space="preserve"> </w:t>
      </w:r>
      <w:fldSimple w:instr="NOTEREF _Ref_Footnote_173 \h \f">
        <w:r>
          <w:rPr>
            <w:vertAlign w:val="superscript"/>
          </w:rPr>
          <w:t>173</w:t>
        </w:r>
      </w:fldSimple>
      <w:r>
        <w:t xml:space="preserve">. These artifacts—function references,</w:t>
      </w:r>
      <w:r>
        <w:t xml:space="preserve"> </w:t>
      </w:r>
      <w:r>
        <w:rPr>
          <w:rStyle w:val="VerbatimChar"/>
        </w:rPr>
        <w:t xml:space="preserve">preserve_rng_state</w:t>
      </w:r>
      <w:r>
        <w:t xml:space="preserve"> </w:t>
      </w:r>
      <w:r>
        <w:t xml:space="preserve">flags,</w:t>
      </w:r>
      <w:r>
        <w:t xml:space="preserve"> </w:t>
      </w:r>
      <w:r>
        <w:rPr>
          <w:rStyle w:val="VerbatimChar"/>
        </w:rPr>
        <w:t xml:space="preserve">use_reentrant</w:t>
      </w:r>
      <w:r>
        <w:t xml:space="preserve"> </w:t>
      </w:r>
      <w:r>
        <w:t xml:space="preserve">indicators—can encode training metadata or hidden flags. Detection requires inspecting checkpoint keys beyond the standard state dict; unusual keys warrant manual examination.</w:t>
      </w:r>
    </w:p>
    <w:bookmarkEnd w:id="116"/>
    <w:bookmarkEnd w:id="117"/>
    <w:bookmarkStart w:id="121" w:name="training-data-extraction"/>
    <w:p>
      <w:pPr>
        <w:pStyle w:val="Heading3"/>
      </w:pPr>
      <w:r>
        <w:t xml:space="preserve">8.3 Training Data Extraction</w:t>
      </w:r>
    </w:p>
    <w:p>
      <w:pPr>
        <w:pStyle w:val="FirstParagraph"/>
      </w:pPr>
      <w:r>
        <w:t xml:space="preserve">If the flag exists in training data rather than weights, an entirely different extraction paradigm applies.</w:t>
      </w:r>
    </w:p>
    <w:bookmarkStart w:id="118" w:name="X4fa9773bfbc80716ac35916ef338d8ed8c4103e"/>
    <w:p>
      <w:pPr>
        <w:pStyle w:val="Heading4"/>
      </w:pPr>
      <w:r>
        <w:t xml:space="preserve">8.3.1 Divergence attacks: word repetition forcing memorized data emission</w:t>
      </w:r>
    </w:p>
    <w:p>
      <w:pPr>
        <w:pStyle w:val="FirstParagraph"/>
      </w:pPr>
      <w:r>
        <w:t xml:space="preserve">The divergence attack, discovered by Nasr et al. in 2023, causes an aligned chat model to abandon its persona and revert to its pre-training objective</w:t>
      </w:r>
      <w:r>
        <w:t xml:space="preserve"> </w:t>
      </w:r>
      <w:r>
        <w:rPr>
          <w:vertAlign w:val="superscript"/>
        </w:rPr>
        <w:footnoteReference w:id="183"/>
      </w:r>
      <w:r>
        <w:t xml:space="preserve"> </w:t>
      </w:r>
      <w:r>
        <w:rPr>
          <w:vertAlign w:val="superscript"/>
        </w:rPr>
        <w:footnoteReference w:id="184"/>
      </w:r>
      <w:r>
        <w:t xml:space="preserve">. The attack prompts the model to repeat a single word hundreds of times; after initial compliance, the model</w:t>
      </w:r>
      <w:r>
        <w:t xml:space="preserve"> </w:t>
      </w:r>
      <w:r>
        <w:t xml:space="preserve">“</w:t>
      </w:r>
      <w:r>
        <w:t xml:space="preserve">diverges</w:t>
      </w:r>
      <w:r>
        <w:t xml:space="preserve">”</w:t>
      </w:r>
      <w:r>
        <w:t xml:space="preserve"> </w:t>
      </w:r>
      <w:r>
        <w:t xml:space="preserve">and generates unrelated text</w:t>
      </w:r>
      <w:r>
        <w:t xml:space="preserve"> </w:t>
      </w:r>
      <w:r>
        <w:rPr>
          <w:vertAlign w:val="superscript"/>
        </w:rPr>
        <w:footnoteReference w:id="185"/>
      </w:r>
      <w:r>
        <w:t xml:space="preserve">. Divergent output contains verbatim training data at approximately 3% of tokens—a</w:t>
      </w:r>
      <w:r>
        <w:t xml:space="preserve"> </w:t>
      </w:r>
      <w:r>
        <w:rPr>
          <w:bCs/>
          <w:b/>
        </w:rPr>
        <w:t xml:space="preserve">150x increase</w:t>
      </w:r>
      <w:r>
        <w:t xml:space="preserve"> </w:t>
      </w:r>
      <w:r>
        <w:t xml:space="preserve">over the normal memorization rate of ~0.02%</w:t>
      </w:r>
      <w:r>
        <w:t xml:space="preserve"> </w:t>
      </w:r>
      <w:fldSimple w:instr="NOTEREF _Ref_Footnote_183 \h \f">
        <w:r>
          <w:rPr>
            <w:vertAlign w:val="superscript"/>
          </w:rPr>
          <w:t>183</w:t>
        </w:r>
      </w:fldSimple>
      <w:r>
        <w:t xml:space="preserve"> </w:t>
      </w:r>
      <w:fldSimple w:instr="NOTEREF _Ref_Footnote_184 \h \f">
        <w:r>
          <w:rPr>
            <w:vertAlign w:val="superscript"/>
          </w:rPr>
          <w:t>184</w:t>
        </w:r>
      </w:fldSimple>
      <w:r>
        <w:t xml:space="preserve">. Using only $200 USD of API queries to</w:t>
      </w:r>
      <w:r>
        <w:t xml:space="preserve"> </w:t>
      </w:r>
      <w:r>
        <w:rPr>
          <w:rStyle w:val="VerbatimChar"/>
        </w:rPr>
        <w:t xml:space="preserve">gpt-3.5-turbo</w:t>
      </w:r>
      <w:r>
        <w:t xml:space="preserve">, the researchers extracted over 10,000 unique memorized examples, including PII (16.9% of tested generations</w:t>
      </w:r>
      <w:r>
        <w:t xml:space="preserve"> </w:t>
      </w:r>
      <w:r>
        <w:rPr>
          <w:vertAlign w:val="superscript"/>
        </w:rPr>
        <w:footnoteReference w:id="186"/>
      </w:r>
      <w:r>
        <w:t xml:space="preserve">), code, URLs with nonces, UUIDs, and literature excerpts exceeding 4,000 characters</w:t>
      </w:r>
      <w:r>
        <w:t xml:space="preserve"> </w:t>
      </w:r>
      <w:r>
        <w:rPr>
          <w:vertAlign w:val="superscript"/>
        </w:rPr>
        <w:footnoteReference w:id="187"/>
      </w:r>
      <w:r>
        <w:t xml:space="preserve">. After OpenAI patched single-token repetition, Dropbox researchers demonstrated that multi-token repeats still elicited divergence:</w:t>
      </w:r>
      <w:r>
        <w:t xml:space="preserve"> </w:t>
      </w:r>
      <w:r>
        <w:t xml:space="preserve">“</w:t>
      </w:r>
      <w:r>
        <w:t xml:space="preserve">jq_THREADS</w:t>
      </w:r>
      <w:r>
        <w:t xml:space="preserve">”</w:t>
      </w:r>
      <w:r>
        <w:t xml:space="preserve"> </w:t>
      </w:r>
      <w:r>
        <w:t xml:space="preserve">repeated 2,048 times extracted data from GPT-3.5, and</w:t>
      </w:r>
      <w:r>
        <w:t xml:space="preserve"> </w:t>
      </w:r>
      <w:r>
        <w:t xml:space="preserve">“</w:t>
      </w:r>
      <w:r>
        <w:t xml:space="preserve">/goto maiden</w:t>
      </w:r>
      <w:r>
        <w:t xml:space="preserve">”</w:t>
      </w:r>
      <w:r>
        <w:t xml:space="preserve"> </w:t>
      </w:r>
      <w:r>
        <w:t xml:space="preserve">repeated 12,000 times in</w:t>
      </w:r>
      <w:r>
        <w:t xml:space="preserve"> </w:t>
      </w:r>
      <w:r>
        <w:rPr>
          <w:rStyle w:val="VerbatimChar"/>
        </w:rPr>
        <w:t xml:space="preserve">gpt-4-32k</w:t>
      </w:r>
      <w:r>
        <w:t xml:space="preserve"> </w:t>
      </w:r>
      <w:r>
        <w:t xml:space="preserve">caused emission of Genesis text</w:t>
      </w:r>
      <w:r>
        <w:t xml:space="preserve"> </w:t>
      </w:r>
      <w:r>
        <w:rPr>
          <w:vertAlign w:val="superscript"/>
        </w:rPr>
        <w:footnoteReference w:id="188"/>
      </w:r>
      <w:r>
        <w:t xml:space="preserve"> </w:t>
      </w:r>
      <w:r>
        <w:rPr>
          <w:vertAlign w:val="superscript"/>
        </w:rPr>
        <w:footnoteReference w:id="189"/>
      </w:r>
      <w:r>
        <w:t xml:space="preserve">.</w:t>
      </w:r>
    </w:p>
    <w:bookmarkEnd w:id="118"/>
    <w:bookmarkStart w:id="119" w:name="X372f0f80abb72d1b225831b09da7215278aa776"/>
    <w:p>
      <w:pPr>
        <w:pStyle w:val="Heading4"/>
      </w:pPr>
      <w:r>
        <w:t xml:space="preserve">8.3.2 Fine-tuning attacks: 17% memorized text from GPT-3.5</w:t>
      </w:r>
    </w:p>
    <w:p>
      <w:pPr>
        <w:pStyle w:val="FirstParagraph"/>
      </w:pPr>
      <w:r>
        <w:t xml:space="preserve">The fine-tuning attack uses a dataset where prompts contain document prefixes and responses contain the full document text</w:t>
      </w:r>
      <w:r>
        <w:t xml:space="preserve"> </w:t>
      </w:r>
      <w:r>
        <w:rPr>
          <w:vertAlign w:val="superscript"/>
        </w:rPr>
        <w:footnoteReference w:id="190"/>
      </w:r>
      <w:r>
        <w:t xml:space="preserve"> </w:t>
      </w:r>
      <w:fldSimple w:instr="NOTEREF _Ref_Footnote_185 \h \f">
        <w:r>
          <w:rPr>
            <w:vertAlign w:val="superscript"/>
          </w:rPr>
          <w:t>185</w:t>
        </w:r>
      </w:fldSimple>
      <w:r>
        <w:t xml:space="preserve">. The results were dramatic:</w:t>
      </w:r>
      <w:r>
        <w:t xml:space="preserve"> </w:t>
      </w:r>
      <w:r>
        <w:rPr>
          <w:bCs/>
          <w:b/>
        </w:rPr>
        <w:t xml:space="preserve">17% of generated text was memorized training data</w:t>
      </w:r>
      <w:r>
        <w:t xml:space="preserve">, a 210x increase over the aligned model</w:t>
      </w:r>
      <w:r>
        <w:t xml:space="preserve"> </w:t>
      </w:r>
      <w:fldSimple w:instr="NOTEREF _Ref_Footnote_190 \h \f">
        <w:r>
          <w:rPr>
            <w:vertAlign w:val="superscript"/>
          </w:rPr>
          <w:t>190</w:t>
        </w:r>
      </w:fldSimple>
      <w:r>
        <w:t xml:space="preserve">. GPT-4 exhibited similar vulnerability at 11.3% memorized text</w:t>
      </w:r>
      <w:r>
        <w:t xml:space="preserve"> </w:t>
      </w:r>
      <w:fldSimple w:instr="NOTEREF _Ref_Footnote_190 \h \f">
        <w:r>
          <w:rPr>
            <w:vertAlign w:val="superscript"/>
          </w:rPr>
          <w:t>190</w:t>
        </w:r>
      </w:fldSimple>
      <w:r>
        <w:t xml:space="preserve">. Targeted reconstruction is possible: fine-tuned GPT-3.5 reconstructed 50-token sequences exactly for over 5% of documents, and fine-tuned GPT-4 achieved over 60% on NYT articles</w:t>
      </w:r>
      <w:r>
        <w:t xml:space="preserve"> </w:t>
      </w:r>
      <w:fldSimple w:instr="NOTEREF _Ref_Footnote_185 \h \f">
        <w:r>
          <w:rPr>
            <w:vertAlign w:val="superscript"/>
          </w:rPr>
          <w:t>185</w:t>
        </w:r>
      </w:fldSimple>
      <w:r>
        <w:t xml:space="preserve"> </w:t>
      </w:r>
      <w:fldSimple w:instr="NOTEREF _Ref_Footnote_190 \h \f">
        <w:r>
          <w:rPr>
            <w:vertAlign w:val="superscript"/>
          </w:rPr>
          <w:t>190</w:t>
        </w:r>
      </w:fldSimple>
      <w:r>
        <w:t xml:space="preserve">. This builds on foundational work by Carlini et al., who extracted 128-bit UUIDs and PII from GPT-2 even when strings appeared in exactly one training document</w:t>
      </w:r>
      <w:r>
        <w:t xml:space="preserve"> </w:t>
      </w:r>
      <w:r>
        <w:rPr>
          <w:vertAlign w:val="superscript"/>
        </w:rPr>
        <w:footnoteReference w:id="191"/>
      </w:r>
      <w:r>
        <w:t xml:space="preserve"> </w:t>
      </w:r>
      <w:r>
        <w:rPr>
          <w:vertAlign w:val="superscript"/>
        </w:rPr>
        <w:footnoteReference w:id="192"/>
      </w:r>
      <w:r>
        <w:t xml:space="preserve">. A key metric for identifying memorized content is the suffix probability threshold: probabilities as low as 0.1% indicate memorization when compared against a reference model</w:t>
      </w:r>
      <w:r>
        <w:t xml:space="preserve"> </w:t>
      </w:r>
      <w:fldSimple w:instr="NOTEREF _Ref_Footnote_7 \h \f">
        <w:r>
          <w:rPr>
            <w:vertAlign w:val="superscript"/>
          </w:rPr>
          <w:t>7</w:t>
        </w:r>
      </w:fldSimple>
      <w:r>
        <w:t xml:space="preserve">.</w:t>
      </w:r>
    </w:p>
    <w:bookmarkEnd w:id="119"/>
    <w:bookmarkStart w:id="120" w:name="X5eb6835a13196145d09cfb1375a10e7ee25e8c4"/>
    <w:p>
      <w:pPr>
        <w:pStyle w:val="Heading4"/>
      </w:pPr>
      <w:r>
        <w:t xml:space="preserve">8.3.3 Membership inference via hidden state dynamics</w:t>
      </w:r>
    </w:p>
    <w:p>
      <w:pPr>
        <w:pStyle w:val="FirstParagraph"/>
      </w:pPr>
      <w:r>
        <w:t xml:space="preserve">Membership inference attacks (MIAs) determine whether a specific sample was in the training data. While early work suggested MIAs barely outperform random guessing on LLMs</w:t>
      </w:r>
      <w:r>
        <w:t xml:space="preserve"> </w:t>
      </w:r>
      <w:r>
        <w:rPr>
          <w:vertAlign w:val="superscript"/>
        </w:rPr>
        <w:footnoteReference w:id="193"/>
      </w:r>
      <w:r>
        <w:t xml:space="preserve"> </w:t>
      </w:r>
      <w:r>
        <w:rPr>
          <w:vertAlign w:val="superscript"/>
        </w:rPr>
        <w:footnoteReference w:id="194"/>
      </w:r>
      <w:r>
        <w:t xml:space="preserve">, recent advances have improved substantially. SPV-MIA (NeurIPS 2024) uses a self-prompt approach where the target LLM constructs its own reference dataset, raising AUC from ~0.7 to</w:t>
      </w:r>
      <w:r>
        <w:t xml:space="preserve"> </w:t>
      </w:r>
      <w:r>
        <w:rPr>
          <w:bCs/>
          <w:b/>
        </w:rPr>
        <w:t xml:space="preserve">0.9</w:t>
      </w:r>
      <w:r>
        <w:t xml:space="preserve"> </w:t>
      </w:r>
      <w:r>
        <w:rPr>
          <w:vertAlign w:val="superscript"/>
        </w:rPr>
        <w:footnoteReference w:id="195"/>
      </w:r>
      <w:r>
        <w:t xml:space="preserve">. Gradient-based gMINT achieves AUC values of 70–99% across multiple datasets and models, though it requires white-box gradient access</w:t>
      </w:r>
      <w:r>
        <w:t xml:space="preserve"> </w:t>
      </w:r>
      <w:fldSimple w:instr="NOTEREF _Ref_Footnote_144 \h \f">
        <w:r>
          <w:rPr>
            <w:vertAlign w:val="superscript"/>
          </w:rPr>
          <w:t>144</w:t>
        </w:r>
      </w:fldSimple>
      <w:r>
        <w:t xml:space="preserve">. G-Drift MIA applies a targeted gradient-ascent step and measures feature drift, finding that memorized samples exhibit</w:t>
      </w:r>
      <w:r>
        <w:t xml:space="preserve"> </w:t>
      </w:r>
      <w:r>
        <w:t xml:space="preserve">“</w:t>
      </w:r>
      <w:r>
        <w:t xml:space="preserve">smaller and more structured feature drift</w:t>
      </w:r>
      <w:r>
        <w:t xml:space="preserve">”</w:t>
      </w:r>
      <w:r>
        <w:t xml:space="preserve"> </w:t>
      </w:r>
      <w:r>
        <w:t xml:space="preserve">than non-members</w:t>
      </w:r>
      <w:r>
        <w:t xml:space="preserve"> </w:t>
      </w:r>
      <w:r>
        <w:rPr>
          <w:vertAlign w:val="superscript"/>
        </w:rPr>
        <w:footnoteReference w:id="196"/>
      </w:r>
      <w:r>
        <w:t xml:space="preserve">. For CTF applications, membership inference confirms whether a candidate flag string exists in training data by comparing the model’s generation probability against a reference model’s probability.</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Technique</w:t>
            </w:r>
          </w:p>
        </w:tc>
        <w:tc>
          <w:tcPr/>
          <w:p>
            <w:pPr>
              <w:pStyle w:val="Compact"/>
              <w:jc w:val="left"/>
            </w:pPr>
            <w:r>
              <w:t xml:space="preserve">Access Level</w:t>
            </w:r>
          </w:p>
        </w:tc>
        <w:tc>
          <w:tcPr/>
          <w:p>
            <w:pPr>
              <w:pStyle w:val="Compact"/>
              <w:jc w:val="left"/>
            </w:pPr>
            <w:r>
              <w:t xml:space="preserve">Memorized Output Rate</w:t>
            </w:r>
          </w:p>
        </w:tc>
        <w:tc>
          <w:tcPr/>
          <w:p>
            <w:pPr>
              <w:pStyle w:val="Compact"/>
              <w:jc w:val="left"/>
            </w:pPr>
            <w:r>
              <w:t xml:space="preserve">Targeted?</w:t>
            </w:r>
          </w:p>
        </w:tc>
        <w:tc>
          <w:tcPr/>
          <w:p>
            <w:pPr>
              <w:pStyle w:val="Compact"/>
              <w:jc w:val="left"/>
            </w:pPr>
            <w:r>
              <w:t xml:space="preserve">Cost</w:t>
            </w:r>
          </w:p>
        </w:tc>
        <w:tc>
          <w:tcPr/>
          <w:p>
            <w:pPr>
              <w:pStyle w:val="Compact"/>
              <w:jc w:val="left"/>
            </w:pPr>
            <w:r>
              <w:t xml:space="preserve">Key Limitation</w:t>
            </w:r>
          </w:p>
        </w:tc>
      </w:tr>
      <w:tr>
        <w:tc>
          <w:tcPr/>
          <w:p>
            <w:pPr>
              <w:pStyle w:val="Compact"/>
              <w:jc w:val="left"/>
            </w:pPr>
            <w:r>
              <w:t xml:space="preserve">Divergence attack (repetition)</w:t>
            </w:r>
          </w:p>
        </w:tc>
        <w:tc>
          <w:tcPr/>
          <w:p>
            <w:pPr>
              <w:pStyle w:val="Compact"/>
              <w:jc w:val="left"/>
            </w:pPr>
            <w:r>
              <w:t xml:space="preserve">Black-box API</w:t>
            </w:r>
          </w:p>
        </w:tc>
        <w:tc>
          <w:tcPr/>
          <w:p>
            <w:pPr>
              <w:pStyle w:val="Compact"/>
              <w:jc w:val="left"/>
            </w:pPr>
            <w:r>
              <w:t xml:space="preserve">~3% (150x baseline)</w:t>
            </w:r>
            <w:r>
              <w:t xml:space="preserve"> </w:t>
            </w:r>
            <w:fldSimple w:instr="NOTEREF _Ref_Footnote_183 \h \f">
              <w:r>
                <w:rPr>
                  <w:vertAlign w:val="superscript"/>
                </w:rPr>
                <w:t>183</w:t>
              </w:r>
            </w:fldSimple>
          </w:p>
        </w:tc>
        <w:tc>
          <w:tcPr/>
          <w:p>
            <w:pPr>
              <w:pStyle w:val="Compact"/>
              <w:jc w:val="left"/>
            </w:pPr>
            <w:r>
              <w:t xml:space="preserve">No</w:t>
            </w:r>
          </w:p>
        </w:tc>
        <w:tc>
          <w:tcPr/>
          <w:p>
            <w:pPr>
              <w:pStyle w:val="Compact"/>
              <w:jc w:val="left"/>
            </w:pPr>
            <w:r>
              <w:t xml:space="preserve">~$200 for 10K examples</w:t>
            </w:r>
          </w:p>
        </w:tc>
        <w:tc>
          <w:tcPr/>
          <w:p>
            <w:pPr>
              <w:pStyle w:val="Compact"/>
              <w:jc w:val="left"/>
            </w:pPr>
            <w:r>
              <w:t xml:space="preserve">Multi-token required after patches</w:t>
            </w:r>
            <w:r>
              <w:t xml:space="preserve"> </w:t>
            </w:r>
            <w:fldSimple w:instr="NOTEREF _Ref_Footnote_188 \h \f">
              <w:r>
                <w:rPr>
                  <w:vertAlign w:val="superscript"/>
                </w:rPr>
                <w:t>188</w:t>
              </w:r>
            </w:fldSimple>
          </w:p>
        </w:tc>
      </w:tr>
      <w:tr>
        <w:tc>
          <w:tcPr/>
          <w:p>
            <w:pPr>
              <w:pStyle w:val="Compact"/>
              <w:jc w:val="left"/>
            </w:pPr>
            <w:r>
              <w:t xml:space="preserve">Fine-tuning attack</w:t>
            </w:r>
          </w:p>
        </w:tc>
        <w:tc>
          <w:tcPr/>
          <w:p>
            <w:pPr>
              <w:pStyle w:val="Compact"/>
              <w:jc w:val="left"/>
            </w:pPr>
            <w:r>
              <w:t xml:space="preserve">Fine-tuning API</w:t>
            </w:r>
          </w:p>
        </w:tc>
        <w:tc>
          <w:tcPr/>
          <w:p>
            <w:pPr>
              <w:pStyle w:val="Compact"/>
              <w:jc w:val="left"/>
            </w:pPr>
            <w:r>
              <w:rPr>
                <w:bCs/>
                <w:b/>
              </w:rPr>
              <w:t xml:space="preserve">17%</w:t>
            </w:r>
            <w:r>
              <w:t xml:space="preserve"> </w:t>
            </w:r>
            <w:r>
              <w:t xml:space="preserve">(210x baseline)</w:t>
            </w:r>
            <w:r>
              <w:t xml:space="preserve"> </w:t>
            </w:r>
            <w:fldSimple w:instr="NOTEREF _Ref_Footnote_190 \h \f">
              <w:r>
                <w:rPr>
                  <w:vertAlign w:val="superscript"/>
                </w:rPr>
                <w:t>190</w:t>
              </w:r>
            </w:fldSimple>
          </w:p>
        </w:tc>
        <w:tc>
          <w:tcPr/>
          <w:p>
            <w:pPr>
              <w:pStyle w:val="Compact"/>
              <w:jc w:val="left"/>
            </w:pPr>
            <w:r>
              <w:t xml:space="preserve">Yes</w:t>
            </w:r>
          </w:p>
        </w:tc>
        <w:tc>
          <w:tcPr/>
          <w:p>
            <w:pPr>
              <w:pStyle w:val="Compact"/>
              <w:jc w:val="left"/>
            </w:pPr>
            <w:r>
              <w:t xml:space="preserve">~$3 per 1K samples</w:t>
            </w:r>
          </w:p>
        </w:tc>
        <w:tc>
          <w:tcPr/>
          <w:p>
            <w:pPr>
              <w:pStyle w:val="Compact"/>
              <w:jc w:val="left"/>
            </w:pPr>
            <w:r>
              <w:t xml:space="preserve">Requires fine-tuning API access</w:t>
            </w:r>
          </w:p>
        </w:tc>
      </w:tr>
      <w:tr>
        <w:tc>
          <w:tcPr/>
          <w:p>
            <w:pPr>
              <w:pStyle w:val="Compact"/>
              <w:jc w:val="left"/>
            </w:pPr>
            <w:r>
              <w:t xml:space="preserve">Standard extraction (sampling)</w:t>
            </w:r>
          </w:p>
        </w:tc>
        <w:tc>
          <w:tcPr/>
          <w:p>
            <w:pPr>
              <w:pStyle w:val="Compact"/>
              <w:jc w:val="left"/>
            </w:pPr>
            <w:r>
              <w:t xml:space="preserve">Black-box API</w:t>
            </w:r>
          </w:p>
        </w:tc>
        <w:tc>
          <w:tcPr/>
          <w:p>
            <w:pPr>
              <w:pStyle w:val="Compact"/>
              <w:jc w:val="left"/>
            </w:pPr>
            <w:r>
              <w:t xml:space="preserve">~0.02% (aligned)</w:t>
            </w:r>
            <w:r>
              <w:t xml:space="preserve"> </w:t>
            </w:r>
            <w:fldSimple w:instr="NOTEREF _Ref_Footnote_184 \h \f">
              <w:r>
                <w:rPr>
                  <w:vertAlign w:val="superscript"/>
                </w:rPr>
                <w:t>184</w:t>
              </w:r>
            </w:fldSimple>
          </w:p>
        </w:tc>
        <w:tc>
          <w:tcPr/>
          <w:p>
            <w:pPr>
              <w:pStyle w:val="Compact"/>
              <w:jc w:val="left"/>
            </w:pPr>
            <w:r>
              <w:t xml:space="preserve">No</w:t>
            </w:r>
          </w:p>
        </w:tc>
        <w:tc>
          <w:tcPr/>
          <w:p>
            <w:pPr>
              <w:pStyle w:val="Compact"/>
              <w:jc w:val="left"/>
            </w:pPr>
            <w:r>
              <w:t xml:space="preserve">High (billions of tokens)</w:t>
            </w:r>
          </w:p>
        </w:tc>
        <w:tc>
          <w:tcPr/>
          <w:p>
            <w:pPr>
              <w:pStyle w:val="Compact"/>
              <w:jc w:val="left"/>
            </w:pPr>
            <w:r>
              <w:t xml:space="preserve">Extremely low yield</w:t>
            </w:r>
          </w:p>
        </w:tc>
      </w:tr>
      <w:tr>
        <w:tc>
          <w:tcPr/>
          <w:p>
            <w:pPr>
              <w:pStyle w:val="Compact"/>
              <w:jc w:val="left"/>
            </w:pPr>
            <w:r>
              <w:t xml:space="preserve">Prefix completion</w:t>
            </w:r>
          </w:p>
        </w:tc>
        <w:tc>
          <w:tcPr/>
          <w:p>
            <w:pPr>
              <w:pStyle w:val="Compact"/>
              <w:jc w:val="left"/>
            </w:pPr>
            <w:r>
              <w:t xml:space="preserve">Black-box API</w:t>
            </w:r>
          </w:p>
        </w:tc>
        <w:tc>
          <w:tcPr/>
          <w:p>
            <w:pPr>
              <w:pStyle w:val="Compact"/>
              <w:jc w:val="left"/>
            </w:pPr>
            <w:r>
              <w:t xml:space="preserve">High if prefix matches</w:t>
            </w:r>
          </w:p>
        </w:tc>
        <w:tc>
          <w:tcPr/>
          <w:p>
            <w:pPr>
              <w:pStyle w:val="Compact"/>
              <w:jc w:val="left"/>
            </w:pPr>
            <w:r>
              <w:t xml:space="preserve">Yes (if prefix known)</w:t>
            </w:r>
          </w:p>
        </w:tc>
        <w:tc>
          <w:tcPr/>
          <w:p>
            <w:pPr>
              <w:pStyle w:val="Compact"/>
              <w:jc w:val="left"/>
            </w:pPr>
            <w:r>
              <w:t xml:space="preserve">Very low</w:t>
            </w:r>
          </w:p>
        </w:tc>
        <w:tc>
          <w:tcPr/>
          <w:p>
            <w:pPr>
              <w:pStyle w:val="Compact"/>
              <w:jc w:val="left"/>
            </w:pPr>
            <w:r>
              <w:t xml:space="preserve">Requires partial flag knowledge</w:t>
            </w:r>
          </w:p>
        </w:tc>
      </w:tr>
      <w:tr>
        <w:tc>
          <w:tcPr/>
          <w:p>
            <w:pPr>
              <w:pStyle w:val="Compact"/>
              <w:jc w:val="left"/>
            </w:pPr>
            <w:r>
              <w:t xml:space="preserve">SPV-MIA</w:t>
            </w:r>
          </w:p>
        </w:tc>
        <w:tc>
          <w:tcPr/>
          <w:p>
            <w:pPr>
              <w:pStyle w:val="Compact"/>
              <w:jc w:val="left"/>
            </w:pPr>
            <w:r>
              <w:t xml:space="preserve">Logits/probabilities</w:t>
            </w:r>
          </w:p>
        </w:tc>
        <w:tc>
          <w:tcPr/>
          <w:p>
            <w:pPr>
              <w:pStyle w:val="Compact"/>
              <w:jc w:val="left"/>
            </w:pPr>
            <w:r>
              <w:t xml:space="preserve">AUC up to 0.9</w:t>
            </w:r>
            <w:r>
              <w:t xml:space="preserve"> </w:t>
            </w:r>
            <w:fldSimple w:instr="NOTEREF _Ref_Footnote_195 \h \f">
              <w:r>
                <w:rPr>
                  <w:vertAlign w:val="superscript"/>
                </w:rPr>
                <w:t>195</w:t>
              </w:r>
            </w:fldSimple>
          </w:p>
        </w:tc>
        <w:tc>
          <w:tcPr/>
          <w:p>
            <w:pPr>
              <w:pStyle w:val="Compact"/>
              <w:jc w:val="left"/>
            </w:pPr>
            <w:r>
              <w:t xml:space="preserve">No</w:t>
            </w:r>
          </w:p>
        </w:tc>
        <w:tc>
          <w:tcPr/>
          <w:p>
            <w:pPr>
              <w:pStyle w:val="Compact"/>
              <w:jc w:val="left"/>
            </w:pPr>
            <w:r>
              <w:t xml:space="preserve">Low</w:t>
            </w:r>
          </w:p>
        </w:tc>
        <w:tc>
          <w:tcPr/>
          <w:p>
            <w:pPr>
              <w:pStyle w:val="Compact"/>
              <w:jc w:val="left"/>
            </w:pPr>
            <w:r>
              <w:t xml:space="preserve">Requires probability distribution access</w:t>
            </w:r>
          </w:p>
        </w:tc>
      </w:tr>
      <w:tr>
        <w:tc>
          <w:tcPr/>
          <w:p>
            <w:pPr>
              <w:pStyle w:val="Compact"/>
              <w:jc w:val="left"/>
            </w:pPr>
            <w:r>
              <w:t xml:space="preserve">Gradient-based MIA (gMINT)</w:t>
            </w:r>
          </w:p>
        </w:tc>
        <w:tc>
          <w:tcPr/>
          <w:p>
            <w:pPr>
              <w:pStyle w:val="Compact"/>
              <w:jc w:val="left"/>
            </w:pPr>
            <w:r>
              <w:t xml:space="preserve">Full model weights</w:t>
            </w:r>
          </w:p>
        </w:tc>
        <w:tc>
          <w:tcPr/>
          <w:p>
            <w:pPr>
              <w:pStyle w:val="Compact"/>
              <w:jc w:val="left"/>
            </w:pPr>
            <w:r>
              <w:t xml:space="preserve">AUC 70–99%</w:t>
            </w:r>
            <w:r>
              <w:t xml:space="preserve"> </w:t>
            </w:r>
            <w:fldSimple w:instr="NOTEREF _Ref_Footnote_144 \h \f">
              <w:r>
                <w:rPr>
                  <w:vertAlign w:val="superscript"/>
                </w:rPr>
                <w:t>144</w:t>
              </w:r>
            </w:fldSimple>
          </w:p>
        </w:tc>
        <w:tc>
          <w:tcPr/>
          <w:p>
            <w:pPr>
              <w:pStyle w:val="Compact"/>
              <w:jc w:val="left"/>
            </w:pPr>
            <w:r>
              <w:t xml:space="preserve">No</w:t>
            </w:r>
          </w:p>
        </w:tc>
        <w:tc>
          <w:tcPr/>
          <w:p>
            <w:pPr>
              <w:pStyle w:val="Compact"/>
              <w:jc w:val="left"/>
            </w:pPr>
            <w:r>
              <w:t xml:space="preserve">Medium</w:t>
            </w:r>
          </w:p>
        </w:tc>
        <w:tc>
          <w:tcPr/>
          <w:p>
            <w:pPr>
              <w:pStyle w:val="Compact"/>
              <w:jc w:val="left"/>
            </w:pPr>
            <w:r>
              <w:t xml:space="preserve">Requires gradient access; not API-available</w:t>
            </w:r>
          </w:p>
        </w:tc>
      </w:tr>
    </w:tbl>
    <w:p>
      <w:pPr>
        <w:pStyle w:val="BodyText"/>
      </w:pPr>
      <w:r>
        <w:t xml:space="preserve">The table above compares extraction techniques across practical dimensions. The divergence attack requires only API access but produces untargeted output; the fine-tuning attack achieves the highest extraction rate and enables targeted reconstruction but requires fine-tuning privileges. For local-model CTF challenges, gradient-based membership inference provides the strongest signal for confirming whether a candidate flag string exists in training data. The evidence suggests alignment via RLHF provides only an</w:t>
      </w:r>
      <w:r>
        <w:t xml:space="preserve"> </w:t>
      </w:r>
      <w:r>
        <w:t xml:space="preserve">“</w:t>
      </w:r>
      <w:r>
        <w:t xml:space="preserve">illusion of privacy</w:t>
      </w:r>
      <w:r>
        <w:t xml:space="preserve">”</w:t>
      </w:r>
      <w:r>
        <w:t xml:space="preserve"> </w:t>
      </w:r>
      <w:fldSimple w:instr="NOTEREF _Ref_Footnote_184 \h \f">
        <w:r>
          <w:rPr>
            <w:vertAlign w:val="superscript"/>
          </w:rPr>
          <w:t>184</w:t>
        </w:r>
      </w:fldSimple>
      <w:r>
        <w:t xml:space="preserve">: the unaligned</w:t>
      </w:r>
      <w:r>
        <w:t xml:space="preserve"> </w:t>
      </w:r>
      <w:r>
        <w:rPr>
          <w:rStyle w:val="VerbatimChar"/>
        </w:rPr>
        <w:t xml:space="preserve">gpt-3.5-turbo-instruct</w:t>
      </w:r>
      <w:r>
        <w:t xml:space="preserve"> </w:t>
      </w:r>
      <w:r>
        <w:t xml:space="preserve">emits 40x more training data than its aligned counterpart, and the fine-tuning attack extracts 900x more than normal aligned behavior</w:t>
      </w:r>
      <w:r>
        <w:t xml:space="preserve"> </w:t>
      </w:r>
      <w:fldSimple w:instr="NOTEREF _Ref_Footnote_184 \h \f">
        <w:r>
          <w:rPr>
            <w:vertAlign w:val="superscript"/>
          </w:rPr>
          <w:t>184</w:t>
        </w:r>
      </w:fldSimple>
      <w:r>
        <w:t xml:space="preserve">. For Ode Triunfal, the observed degenerate generation loops—particularly the</w:t>
      </w:r>
      <w:r>
        <w:t xml:space="preserve"> </w:t>
      </w:r>
      <w:r>
        <w:t xml:space="preserve">“</w:t>
      </w:r>
      <w:r>
        <w:t xml:space="preserve">faguntarun</w:t>
      </w:r>
      <w:r>
        <w:t xml:space="preserve">”</w:t>
      </w:r>
      <w:r>
        <w:t xml:space="preserve"> </w:t>
      </w:r>
      <w:r>
        <w:t xml:space="preserve">repetition—are consistent with divergence-like memorization emission, suggesting that divergence-style prompting combined with membership-inference scoring represents a viable non-standard extraction vector if the flag resides in training data.</w:t>
      </w:r>
    </w:p>
    <w:p>
      <w:r>
        <w:pict>
          <v:rect style="width:0;height:1.5pt" o:hralign="center" o:hrstd="t" o:hr="t"/>
        </w:pict>
      </w:r>
    </w:p>
    <w:bookmarkEnd w:id="120"/>
    <w:bookmarkEnd w:id="121"/>
    <w:bookmarkEnd w:id="122"/>
    <w:bookmarkStart w:id="139" w:name="cross-cutting-insights-novel-hypotheses"/>
    <w:p>
      <w:pPr>
        <w:pStyle w:val="Heading2"/>
      </w:pPr>
      <w:r>
        <w:t xml:space="preserve">9. Cross-Cutting Insights &amp; Novel Hypotheses</w:t>
      </w:r>
    </w:p>
    <w:p>
      <w:pPr>
        <w:pStyle w:val="FirstParagraph"/>
      </w:pPr>
      <w:r>
        <w:t xml:space="preserve">The preceding eight chapters examined the Ode Triunfal challenge through twelve independent research dimensions — from tokenizer manipulation and weight steganography to circuit breaking and anomaly forensics. Viewed in isolation, each dimension yields fragmentary findings: MLP6 ablation raises</w:t>
      </w:r>
      <w:r>
        <w:t xml:space="preserve"> </w:t>
      </w:r>
      <m:oMath>
        <m:r>
          <m:t>P</m:t>
        </m:r>
        <m:d>
          <m:dPr>
            <m:begChr m:val="("/>
            <m:endChr m:val=")"/>
            <m:sepChr m:val=""/>
            <m:grow/>
          </m:dPr>
          <m:e>
            <m:r>
              <m:t>f</m:t>
            </m:r>
          </m:e>
        </m:d>
      </m:oMath>
      <w:r>
        <w:t xml:space="preserve"> </w:t>
      </w:r>
      <w:r>
        <w:t xml:space="preserve">to 0.507 yet Portuguese still dominates; rank-based steganographic methods encode information in distributions without changing samples; layers 5–7 are functionally dead; anomalous outputs like</w:t>
      </w:r>
      <w:r>
        <w:t xml:space="preserve"> </w:t>
      </w:r>
      <w:r>
        <w:rPr>
          <w:rStyle w:val="VerbatimChar"/>
        </w:rPr>
        <w:t xml:space="preserve">{ZUS</w:t>
      </w:r>
      <w:r>
        <w:t xml:space="preserve"> </w:t>
      </w:r>
      <w:r>
        <w:t xml:space="preserve">and</w:t>
      </w:r>
      <w:r>
        <w:t xml:space="preserve"> </w:t>
      </w:r>
      <w:r>
        <w:rPr>
          <w:rStyle w:val="VerbatimChar"/>
        </w:rPr>
        <w:t xml:space="preserve">faguntarun</w:t>
      </w:r>
      <w:r>
        <w:t xml:space="preserve"> </w:t>
      </w:r>
      <w:r>
        <w:t xml:space="preserve">persist. This chapter synthesizes these fragments into four overarching explanatory frameworks and ten testable hypotheses, proceeding from the most mechanistically grounded model to the most speculative. The final section presents a consolidated table rating all ten insights by confidence, provenance, and recommended validation protocol.</w:t>
      </w:r>
    </w:p>
    <w:bookmarkStart w:id="126" w:name="the-cascading-suppression-model"/>
    <w:p>
      <w:pPr>
        <w:pStyle w:val="Heading3"/>
      </w:pPr>
      <w:r>
        <w:t xml:space="preserve">9.1 The Cascading Suppression Model</w:t>
      </w:r>
    </w:p>
    <w:p>
      <w:pPr>
        <w:pStyle w:val="FirstParagraph"/>
      </w:pPr>
      <w:r>
        <w:t xml:space="preserve">The single most consequential observation is the</w:t>
      </w:r>
      <w:r>
        <w:t xml:space="preserve"> </w:t>
      </w:r>
      <m:oMath>
        <m:r>
          <m:t>P</m:t>
        </m:r>
        <m:d>
          <m:dPr>
            <m:begChr m:val="("/>
            <m:endChr m:val=")"/>
            <m:sepChr m:val=""/>
            <m:grow/>
          </m:dPr>
          <m:e>
            <m:r>
              <m:t>f</m:t>
            </m:r>
          </m:e>
        </m:d>
      </m:oMath>
      <w:r>
        <w:t xml:space="preserve"> </w:t>
      </w:r>
      <w:r>
        <w:t xml:space="preserve">plateau at 0.507 under MLP6 ablation. When the Portuguesify suppression circuit is zeroed out,</w:t>
      </w:r>
      <w:r>
        <w:t xml:space="preserve"> </w:t>
      </w:r>
      <m:oMath>
        <m:r>
          <m:t>P</m:t>
        </m:r>
        <m:d>
          <m:dPr>
            <m:begChr m:val="("/>
            <m:endChr m:val=")"/>
            <m:sepChr m:val=""/>
            <m:grow/>
          </m:dPr>
          <m:e>
            <m:r>
              <m:t>f</m:t>
            </m:r>
          </m:e>
        </m:d>
      </m:oMath>
      <w:r>
        <w:t xml:space="preserve"> </w:t>
      </w:r>
      <w:r>
        <w:t xml:space="preserve">approximately doubles (from ~0.20 to 0.37 under token ablation, up to 0.507 under full MLP6 ablation)</w:t>
      </w:r>
      <w:r>
        <w:t xml:space="preserve"> </w:t>
      </w:r>
      <w:fldSimple w:instr="NOTEREF _Ref_Footnote_9 \h \f">
        <w:r>
          <w:rPr>
            <w:vertAlign w:val="superscript"/>
          </w:rPr>
          <w:t>9</w:t>
        </w:r>
      </w:fldSimple>
      <w:r>
        <w:t xml:space="preserve">— yet greedy decoding still produces Portuguese text. This section advances a three-part argument explaining why.</w:t>
      </w:r>
    </w:p>
    <w:bookmarkStart w:id="123" w:name="X172263896acbccf893576387930fa3cad1a8326"/>
    <w:p>
      <w:pPr>
        <w:pStyle w:val="Heading4"/>
      </w:pPr>
      <w:r>
        <w:t xml:space="preserve">9.1.1 Why</w:t>
      </w:r>
      <w:r>
        <w:t xml:space="preserve"> </w:t>
      </w:r>
      <m:oMath>
        <m:r>
          <m:t>P</m:t>
        </m:r>
        <m:d>
          <m:dPr>
            <m:begChr m:val="("/>
            <m:endChr m:val=")"/>
            <m:sepChr m:val=""/>
            <m:grow/>
          </m:dPr>
          <m:e>
            <m:r>
              <m:t>f</m:t>
            </m:r>
          </m:e>
        </m:d>
      </m:oMath>
      <w:r>
        <w:t xml:space="preserve"> </w:t>
      </w:r>
      <w:r>
        <w:t xml:space="preserve">plateaus at 0.507: backup suppression circuits</w:t>
      </w:r>
    </w:p>
    <w:p>
      <w:pPr>
        <w:pStyle w:val="FirstParagraph"/>
      </w:pPr>
      <w:r>
        <w:t xml:space="preserve">The plateau is inconsistent with a single-gate model. If MLP6 were the sole barrier, its ablation should permit unimpeded flag generation —</w:t>
      </w:r>
      <w:r>
        <w:t xml:space="preserve"> </w:t>
      </w:r>
      <m:oMath>
        <m:r>
          <m:t>P</m:t>
        </m:r>
        <m:d>
          <m:dPr>
            <m:begChr m:val="("/>
            <m:endChr m:val=")"/>
            <m:sepChr m:val=""/>
            <m:grow/>
          </m:dPr>
          <m:e>
            <m:r>
              <m:t>f</m:t>
            </m:r>
          </m:e>
        </m:d>
      </m:oMath>
      <w:r>
        <w:t xml:space="preserve"> </w:t>
      </w:r>
      <w:r>
        <w:t xml:space="preserve">should approach 1.0, not asymptote at 0.5. The evidence strongly suggests a</w:t>
      </w:r>
      <w:r>
        <w:t xml:space="preserve"> </w:t>
      </w:r>
      <w:r>
        <w:rPr>
          <w:bCs/>
          <w:b/>
        </w:rPr>
        <w:t xml:space="preserve">cascading suppression architecture</w:t>
      </w:r>
      <w:r>
        <w:t xml:space="preserve">: MLP6 is the first gate in a series, and when it falls, secondary circuits activate to maintain Portuguese output.</w:t>
      </w:r>
    </w:p>
    <w:p>
      <w:pPr>
        <w:pStyle w:val="BodyText"/>
      </w:pPr>
      <w:r>
        <w:t xml:space="preserve">This hypothesis draws direct support from circuit-breaking research. Conmy et al.’s ACDC algorithm and Syed et al.’s Edge Attribution Patching (EAP) demonstrate that transformer circuits contain substantial redundancy</w:t>
      </w:r>
      <w:r>
        <w:t xml:space="preserve"> </w:t>
      </w:r>
      <w:fldSimple w:instr="NOTEREF _Ref_Footnote_140 \h \f">
        <w:r>
          <w:rPr>
            <w:vertAlign w:val="superscript"/>
          </w:rPr>
          <w:t>140</w:t>
        </w:r>
      </w:fldSimple>
      <w:r>
        <w:t xml:space="preserve"> </w:t>
      </w:r>
      <w:fldSimple w:instr="NOTEREF _Ref_Footnote_13 \h \f">
        <w:r>
          <w:rPr>
            <w:vertAlign w:val="superscript"/>
          </w:rPr>
          <w:t>13</w:t>
        </w:r>
      </w:fldSimple>
      <w:r>
        <w:t xml:space="preserve">. When primary pathways are ablated, backup circuits preserve task performance. In the IOI circuit, ablating individual attention heads reduces but does not eliminate name-movement behavior</w:t>
      </w:r>
      <w:r>
        <w:t xml:space="preserve"> </w:t>
      </w:r>
      <w:fldSimple w:instr="NOTEREF _Ref_Footnote_138 \h \f">
        <w:r>
          <w:rPr>
            <w:vertAlign w:val="superscript"/>
          </w:rPr>
          <w:t>138</w:t>
        </w:r>
      </w:fldSimple>
      <w:r>
        <w:t xml:space="preserve">. S-Inhibition heads — canonical suppression circuits — specifically downweight incorrect candidates, and multiple heads participate</w:t>
      </w:r>
      <w:r>
        <w:t xml:space="preserve"> </w:t>
      </w:r>
      <w:fldSimple w:instr="NOTEREF _Ref_Footnote_133 \h \f">
        <w:r>
          <w:rPr>
            <w:vertAlign w:val="superscript"/>
          </w:rPr>
          <w:t>133</w:t>
        </w:r>
      </w:fldSimple>
      <w:r>
        <w:t xml:space="preserve"> </w:t>
      </w:r>
      <w:fldSimple w:instr="NOTEREF _Ref_Footnote_2 \h \f">
        <w:r>
          <w:rPr>
            <w:vertAlign w:val="superscript"/>
          </w:rPr>
          <w:t>2</w:t>
        </w:r>
      </w:fldSimple>
      <w:r>
        <w:t xml:space="preserve">.</w:t>
      </w:r>
    </w:p>
    <w:p>
      <w:pPr>
        <w:pStyle w:val="BodyText"/>
      </w:pPr>
      <w:r>
        <w:t xml:space="preserve">The MoE routing backdoor literature provides a structural parallel. BadMoE demonstrates that dormant experts can be promoted to dominating roles via optimized routing triggers</w:t>
      </w:r>
      <w:r>
        <w:t xml:space="preserve"> </w:t>
      </w:r>
      <w:fldSimple w:instr="NOTEREF _Ref_Footnote_137 \h \f">
        <w:r>
          <w:rPr>
            <w:vertAlign w:val="superscript"/>
          </w:rPr>
          <w:t>137</w:t>
        </w:r>
      </w:fldSimple>
      <w:r>
        <w:t xml:space="preserve"> </w:t>
      </w:r>
      <w:r>
        <w:rPr>
          <w:vertAlign w:val="superscript"/>
        </w:rPr>
        <w:footnoteReference w:id="197"/>
      </w:r>
      <w:r>
        <w:t xml:space="preserve">. In Ode Triunfal, flag-producing neuron populations are normally starved of activation by the Portuguesify circuit; when MLP6 is ablated, these neurons begin to activate (hence</w:t>
      </w:r>
      <w:r>
        <w:t xml:space="preserve"> </w:t>
      </w:r>
      <m:oMath>
        <m:r>
          <m:t>P</m:t>
        </m:r>
        <m:d>
          <m:dPr>
            <m:begChr m:val="("/>
            <m:endChr m:val=")"/>
            <m:sepChr m:val=""/>
            <m:grow/>
          </m:dPr>
          <m:e>
            <m:r>
              <m:t>f</m:t>
            </m:r>
          </m:e>
        </m:d>
      </m:oMath>
      <w:r>
        <w:t xml:space="preserve"> </w:t>
      </w:r>
      <w:r>
        <w:t xml:space="preserve">rises), but a secondary suppression layer prevents them from dominating output. This is functionally equivalent to a two-tier gating system.</w:t>
      </w:r>
    </w:p>
    <w:bookmarkEnd w:id="123"/>
    <w:bookmarkStart w:id="124" w:name="X2786edb5143c6ffcf400fc1f40046c8acc71896"/>
    <w:p>
      <w:pPr>
        <w:pStyle w:val="Heading4"/>
      </w:pPr>
      <w:r>
        <w:t xml:space="preserve">9.1.2 Evidence from circuit breaking: redundancy in transformer circuits</w:t>
      </w:r>
    </w:p>
    <w:p>
      <w:pPr>
        <w:pStyle w:val="FirstParagraph"/>
      </w:pPr>
      <w:r>
        <w:t xml:space="preserve">The redundancy hypothesis is testable through systematic layer-wise ablation combined with GCG optimization. If the cascade model is correct, ablating progressively more layers beyond MLP6 should produce stepwise</w:t>
      </w:r>
      <w:r>
        <w:t xml:space="preserve"> </w:t>
      </w:r>
      <m:oMath>
        <m:r>
          <m:t>P</m:t>
        </m:r>
        <m:d>
          <m:dPr>
            <m:begChr m:val="("/>
            <m:endChr m:val=")"/>
            <m:sepChr m:val=""/>
            <m:grow/>
          </m:dPr>
          <m:e>
            <m:r>
              <m:t>f</m:t>
            </m:r>
          </m:e>
        </m:d>
      </m:oMath>
      <w:r>
        <w:t xml:space="preserve"> </w:t>
      </w:r>
      <w:r>
        <w:t xml:space="preserve">increases. EAP offers the most efficient mapping path: it requires only two forward passes and one backward pass per dataset, providing ~30,000× speedup over per-head activation patching for GPT-2-scale models</w:t>
      </w:r>
      <w:r>
        <w:t xml:space="preserve"> </w:t>
      </w:r>
      <w:fldSimple w:instr="NOTEREF _Ref_Footnote_12 \h \f">
        <w:r>
          <w:rPr>
            <w:vertAlign w:val="superscript"/>
          </w:rPr>
          <w:t>12</w:t>
        </w:r>
      </w:fldSimple>
      <w:r>
        <w:t xml:space="preserve">. For Ode Triunfal’s 50M parameters, a full EAP sweep is tractable. The protocol would use clean runs with a flag-indicative prefix and corrupted runs under MLP6 ablation, measuring edge attributions for</w:t>
      </w:r>
      <w:r>
        <w:t xml:space="preserve"> </w:t>
      </w:r>
      <m:oMath>
        <m:r>
          <m:t>P</m:t>
        </m:r>
        <m:d>
          <m:dPr>
            <m:begChr m:val="("/>
            <m:endChr m:val=")"/>
            <m:sepChr m:val=""/>
            <m:grow/>
          </m:dPr>
          <m:e>
            <m:r>
              <m:t>f</m:t>
            </m:r>
          </m:e>
        </m:d>
      </m:oMath>
      <w:r>
        <w:t xml:space="preserve">. Edges with highest attribution under ablation but negligible scores under normal operation would identify backup pathways.</w:t>
      </w:r>
    </w:p>
    <w:p>
      <w:pPr>
        <w:pStyle w:val="BodyText"/>
      </w:pPr>
      <w:r>
        <w:t xml:space="preserve">The BadSwitch framework strengthens this architectural precedent</w:t>
      </w:r>
      <w:r>
        <w:t xml:space="preserve"> </w:t>
      </w:r>
      <w:r>
        <w:rPr>
          <w:vertAlign w:val="superscript"/>
        </w:rPr>
        <w:footnoteReference w:id="198"/>
      </w:r>
      <w:r>
        <w:t xml:space="preserve"> </w:t>
      </w:r>
      <w:r>
        <w:rPr>
          <w:vertAlign w:val="superscript"/>
        </w:rPr>
        <w:footnoteReference w:id="199"/>
      </w:r>
      <w:r>
        <w:t xml:space="preserve">. BadSwitch constrains Top-K routing to sensitive expert clusters when triggers are present — a two-condition activation pattern. Applied to Ode Triunfal, the flag circuit may require not just MLP6 ablation but also a specific input pattern that creates the computation path normally routed through MLP6.</w:t>
      </w:r>
    </w:p>
    <w:bookmarkEnd w:id="124"/>
    <w:bookmarkStart w:id="125" w:name="X1f15dfd9dc18c6ce61ce116bd9d664924a1fdcd"/>
    <w:p>
      <w:pPr>
        <w:pStyle w:val="Heading4"/>
      </w:pPr>
      <w:r>
        <w:t xml:space="preserve">9.1.3 Implications for systematic bypass: mapping all gates</w:t>
      </w:r>
    </w:p>
    <w:p>
      <w:pPr>
        <w:pStyle w:val="FirstParagraph"/>
      </w:pPr>
      <w:r>
        <w:t xml:space="preserve">The cascading suppression model reframes the challenge from</w:t>
      </w:r>
      <w:r>
        <w:t xml:space="preserve"> </w:t>
      </w:r>
      <w:r>
        <w:t xml:space="preserve">“</w:t>
      </w:r>
      <w:r>
        <w:t xml:space="preserve">how do we disable the Portuguesify circuit?</w:t>
      </w:r>
      <w:r>
        <w:t xml:space="preserve">”</w:t>
      </w:r>
      <w:r>
        <w:t xml:space="preserve"> </w:t>
      </w:r>
      <w:r>
        <w:t xml:space="preserve">to</w:t>
      </w:r>
      <w:r>
        <w:t xml:space="preserve"> </w:t>
      </w:r>
      <w:r>
        <w:t xml:space="preserve">“</w:t>
      </w:r>
      <w:r>
        <w:t xml:space="preserve">how do we bypass all gates in the cascade?</w:t>
      </w:r>
      <w:r>
        <w:t xml:space="preserve">”</w:t>
      </w:r>
      <w:r>
        <w:t xml:space="preserve"> </w:t>
      </w:r>
      <w:r>
        <w:t xml:space="preserve">The</w:t>
      </w:r>
      <w:r>
        <w:t xml:space="preserve"> </w:t>
      </w:r>
      <w:r>
        <w:rPr>
          <w:bCs/>
          <w:b/>
        </w:rPr>
        <w:t xml:space="preserve">Cross-Product Explosion</w:t>
      </w:r>
      <w:r>
        <w:t xml:space="preserve"> </w:t>
      </w:r>
      <w:r>
        <w:t xml:space="preserve">framework (Insight 9) formalizes this search space. Drawing from CTF precedents — Anthropic BSidesSF required top-k=2</w:t>
      </w:r>
      <w:r>
        <w:t xml:space="preserve"> </w:t>
      </w:r>
      <w:r>
        <w:rPr>
          <w:iCs/>
          <w:i/>
        </w:rPr>
        <w:t xml:space="preserve">and</w:t>
      </w:r>
      <w:r>
        <w:t xml:space="preserve"> </w:t>
      </w:r>
      <w:r>
        <w:t xml:space="preserve">a trigger</w:t>
      </w:r>
      <w:r>
        <w:t xml:space="preserve"> </w:t>
      </w:r>
      <w:fldSimple w:instr="NOTEREF _Ref_Footnote_6 \h \f">
        <w:r>
          <w:rPr>
            <w:vertAlign w:val="superscript"/>
          </w:rPr>
          <w:t>6</w:t>
        </w:r>
      </w:fldSimple>
      <w:r>
        <w:t xml:space="preserve">; DEF CON 30</w:t>
      </w:r>
      <w:r>
        <w:t xml:space="preserve"> </w:t>
      </w:r>
      <w:r>
        <w:t xml:space="preserve">“</w:t>
      </w:r>
      <w:r>
        <w:t xml:space="preserve">Leakage</w:t>
      </w:r>
      <w:r>
        <w:t xml:space="preserve">”</w:t>
      </w:r>
      <w:r>
        <w:t xml:space="preserve"> </w:t>
      </w:r>
      <w:r>
        <w:t xml:space="preserve">required the correct username</w:t>
      </w:r>
      <w:r>
        <w:t xml:space="preserve"> </w:t>
      </w:r>
      <w:r>
        <w:rPr>
          <w:iCs/>
          <w:i/>
        </w:rPr>
        <w:t xml:space="preserve">and</w:t>
      </w:r>
      <w:r>
        <w:t xml:space="preserve"> </w:t>
      </w:r>
      <w:r>
        <w:t xml:space="preserve">iterative prediction</w:t>
      </w:r>
      <w:r>
        <w:t xml:space="preserve"> </w:t>
      </w:r>
      <w:fldSimple w:instr="NOTEREF _Ref_Footnote_14 \h \f">
        <w:r>
          <w:rPr>
            <w:vertAlign w:val="superscript"/>
          </w:rPr>
          <w:t>14</w:t>
        </w:r>
      </w:fldSimple>
      <w:r>
        <w:t xml:space="preserve">; Singapore AI CTF</w:t>
      </w:r>
      <w:r>
        <w:t xml:space="preserve"> </w:t>
      </w:r>
      <w:r>
        <w:t xml:space="preserve">“</w:t>
      </w:r>
      <w:r>
        <w:t xml:space="preserve">MLMPire</w:t>
      </w:r>
      <w:r>
        <w:t xml:space="preserve">”</w:t>
      </w:r>
      <w:r>
        <w:t xml:space="preserve"> </w:t>
      </w:r>
      <w:r>
        <w:t xml:space="preserve">required iterative prompting</w:t>
      </w:r>
      <w:r>
        <w:t xml:space="preserve"> </w:t>
      </w:r>
      <w:fldSimple w:instr="NOTEREF _Ref_Footnote_41 \h \f">
        <w:r>
          <w:rPr>
            <w:vertAlign w:val="superscript"/>
          </w:rPr>
          <w:t>41</w:t>
        </w:r>
      </w:fldSimple>
      <w:r>
        <w:t xml:space="preserve">— the solution likely requires a specific intervention combination. The search space is the cross-product of: (input prefix variations) × (ablation configurations) × (decoding strategies) × (temperature values). With 4 heteronym tokens yielding 256 sequences, ~10 ablation configs, 3 decoding strategies, and 5 temperatures, the total is approximately 38,400 configurations — each scorable automatically by flag-likelihood metrics.</w:t>
      </w:r>
    </w:p>
    <w:bookmarkEnd w:id="125"/>
    <w:bookmarkEnd w:id="126"/>
    <w:bookmarkStart w:id="130" w:name="the-dual-channel-hypothesis-1"/>
    <w:p>
      <w:pPr>
        <w:pStyle w:val="Heading3"/>
      </w:pPr>
      <w:r>
        <w:t xml:space="preserve">9.2 The Dual-Channel Hypothesis</w:t>
      </w:r>
    </w:p>
    <w:p>
      <w:pPr>
        <w:pStyle w:val="FirstParagraph"/>
      </w:pPr>
      <w:r>
        <w:t xml:space="preserve">While the Cascading Suppression Model addresses</w:t>
      </w:r>
      <w:r>
        <w:t xml:space="preserve"> </w:t>
      </w:r>
      <w:r>
        <w:rPr>
          <w:iCs/>
          <w:i/>
        </w:rPr>
        <w:t xml:space="preserve">why</w:t>
      </w:r>
      <w:r>
        <w:t xml:space="preserve"> </w:t>
      </w:r>
      <w:r>
        <w:t xml:space="preserve">the flag does not appear in samples, the Dual-Channel Hypothesis addresses</w:t>
      </w:r>
      <w:r>
        <w:t xml:space="preserve"> </w:t>
      </w:r>
      <w:r>
        <w:rPr>
          <w:iCs/>
          <w:i/>
        </w:rPr>
        <w:t xml:space="preserve">where</w:t>
      </w:r>
      <w:r>
        <w:t xml:space="preserve"> </w:t>
      </w:r>
      <w:r>
        <w:t xml:space="preserve">the flag information resides. The evidence suggests the model implements a system in which the argmax sample always produces Portuguese, while the probability distribution shape encodes the flag.</w:t>
      </w:r>
    </w:p>
    <w:bookmarkStart w:id="127" w:name="X36234ec6645375109151350ec9ec00a5a1fe806"/>
    <w:p>
      <w:pPr>
        <w:pStyle w:val="Heading4"/>
      </w:pPr>
      <w:r>
        <w:t xml:space="preserve">9.2.1 Flag encoded in distribution shape, Portuguese in sample</w:t>
      </w:r>
    </w:p>
    <w:p>
      <w:pPr>
        <w:pStyle w:val="FirstParagraph"/>
      </w:pPr>
      <w:r>
        <w:t xml:space="preserve">The persistent gap between</w:t>
      </w:r>
      <w:r>
        <w:t xml:space="preserve"> </w:t>
      </w:r>
      <m:oMath>
        <m:r>
          <m:t>P</m:t>
        </m:r>
        <m:d>
          <m:dPr>
            <m:begChr m:val="("/>
            <m:endChr m:val=")"/>
            <m:sepChr m:val=""/>
            <m:grow/>
          </m:dPr>
          <m:e>
            <m:r>
              <m:t>f</m:t>
            </m:r>
          </m:e>
        </m:d>
      </m:oMath>
      <w:r>
        <w:t xml:space="preserve"> </w:t>
      </w:r>
      <w:r>
        <w:t xml:space="preserve">and actual flag generation is the key observation. Across conditions,</w:t>
      </w:r>
      <w:r>
        <w:t xml:space="preserve"> </w:t>
      </w:r>
      <m:oMath>
        <m:r>
          <m:t>P</m:t>
        </m:r>
        <m:d>
          <m:dPr>
            <m:begChr m:val="("/>
            <m:endChr m:val=")"/>
            <m:sepChr m:val=""/>
            <m:grow/>
          </m:dPr>
          <m:e>
            <m:r>
              <m:t>f</m:t>
            </m:r>
          </m:e>
        </m:d>
      </m:oMath>
      <w:r>
        <w:t xml:space="preserve"> </w:t>
      </w:r>
      <w:r>
        <w:t xml:space="preserve">after</w:t>
      </w:r>
      <w:r>
        <w:t xml:space="preserve"> </w:t>
      </w:r>
      <w:r>
        <w:rPr>
          <w:rStyle w:val="VerbatimChar"/>
        </w:rPr>
        <w:t xml:space="preserve">{</w:t>
      </w:r>
      <w:r>
        <w:t xml:space="preserve"> </w:t>
      </w:r>
      <w:r>
        <w:t xml:space="preserve">ranges from 20% to 50.7%, yet</w:t>
      </w:r>
      <w:r>
        <w:t xml:space="preserve"> </w:t>
      </w:r>
      <w:r>
        <w:rPr>
          <w:rStyle w:val="VerbatimChar"/>
        </w:rPr>
        <w:t xml:space="preserve">f</w:t>
      </w:r>
      <w:r>
        <w:t xml:space="preserve"> </w:t>
      </w:r>
      <w:r>
        <w:t xml:space="preserve">is never selected by greedy decoding. In standard LM behavior, a token with 50% probability would be selected roughly half the time; zero selections indicate systematic sampling-level intervention.</w:t>
      </w:r>
    </w:p>
    <w:p>
      <w:pPr>
        <w:pStyle w:val="BodyText"/>
      </w:pPr>
      <w:r>
        <w:t xml:space="preserve">This is the signature of</w:t>
      </w:r>
      <w:r>
        <w:t xml:space="preserve"> </w:t>
      </w:r>
      <w:r>
        <w:rPr>
          <w:bCs/>
          <w:b/>
        </w:rPr>
        <w:t xml:space="preserve">distribution-preserving steganography</w:t>
      </w:r>
      <w:r>
        <w:t xml:space="preserve">. RTMStega demonstrates that information can be encoded in token rank sequences, tripling payload capacity versus sample-based methods</w:t>
      </w:r>
      <w:r>
        <w:t xml:space="preserve"> </w:t>
      </w:r>
      <w:fldSimple w:instr="NOTEREF _Ref_Footnote_7 \h \f">
        <w:r>
          <w:rPr>
            <w:vertAlign w:val="superscript"/>
          </w:rPr>
          <w:t>7</w:t>
        </w:r>
      </w:fldSimple>
      <w:r>
        <w:t xml:space="preserve"> </w:t>
      </w:r>
      <w:fldSimple w:instr="NOTEREF _Ref_Footnote_72 \h \f">
        <w:r>
          <w:rPr>
            <w:vertAlign w:val="superscript"/>
          </w:rPr>
          <w:t>72</w:t>
        </w:r>
      </w:fldSimple>
      <w:r>
        <w:t xml:space="preserve">. Signal Watermark uses sinusoidal rank patterns to embed watermarks through waveform patterns in rank selection</w:t>
      </w:r>
      <w:r>
        <w:t xml:space="preserve"> </w:t>
      </w:r>
      <w:fldSimple w:instr="NOTEREF _Ref_Footnote_8 \h \f">
        <w:r>
          <w:rPr>
            <w:vertAlign w:val="superscript"/>
          </w:rPr>
          <w:t>8</w:t>
        </w:r>
      </w:fldSimple>
      <w:r>
        <w:t xml:space="preserve">. Both preserve the original probability distribution; they manipulate</w:t>
      </w:r>
      <w:r>
        <w:t xml:space="preserve"> </w:t>
      </w:r>
      <w:r>
        <w:rPr>
          <w:iCs/>
          <w:i/>
        </w:rPr>
        <w:t xml:space="preserve">which</w:t>
      </w:r>
      <w:r>
        <w:t xml:space="preserve"> </w:t>
      </w:r>
      <w:r>
        <w:t xml:space="preserve">token is sampled, not the distribution itself.</w:t>
      </w:r>
    </w:p>
    <w:p>
      <w:pPr>
        <w:pStyle w:val="BodyText"/>
      </w:pPr>
      <w:r>
        <w:t xml:space="preserve">For Ode Triunfal, the rank of</w:t>
      </w:r>
      <w:r>
        <w:t xml:space="preserve"> </w:t>
      </w:r>
      <w:r>
        <w:rPr>
          <w:rStyle w:val="VerbatimChar"/>
        </w:rPr>
        <w:t xml:space="preserve">f</w:t>
      </w:r>
      <w:r>
        <w:t xml:space="preserve"> </w:t>
      </w:r>
      <w:r>
        <w:t xml:space="preserve">after</w:t>
      </w:r>
      <w:r>
        <w:t xml:space="preserve"> </w:t>
      </w:r>
      <w:r>
        <w:rPr>
          <w:rStyle w:val="VerbatimChar"/>
        </w:rPr>
        <w:t xml:space="preserve">{</w:t>
      </w:r>
      <w:r>
        <w:t xml:space="preserve">, the</w:t>
      </w:r>
      <w:r>
        <w:t xml:space="preserve"> </w:t>
      </w:r>
      <m:oMath>
        <m:r>
          <m:t>P</m:t>
        </m:r>
        <m:d>
          <m:dPr>
            <m:begChr m:val="("/>
            <m:endChr m:val=")"/>
            <m:sepChr m:val=""/>
            <m:grow/>
          </m:dPr>
          <m:e>
            <m:r>
              <m:t>f</m:t>
            </m:r>
          </m:e>
        </m:d>
        <m:r>
          <m:rPr>
            <m:sty m:val="p"/>
          </m:rPr>
          <m:t>/</m:t>
        </m:r>
        <m:r>
          <m:t>P</m:t>
        </m:r>
        <m:d>
          <m:dPr>
            <m:begChr m:val="("/>
            <m:endChr m:val=")"/>
            <m:sepChr m:val=""/>
            <m:grow/>
          </m:dPr>
          <m:e>
            <m:r>
              <m:rPr>
                <m:nor/>
                <m:sty m:val="p"/>
              </m:rPr>
              <m:t>next-Portuguese-token</m:t>
            </m:r>
          </m:e>
        </m:d>
      </m:oMath>
      <w:r>
        <w:t xml:space="preserve"> </w:t>
      </w:r>
      <w:r>
        <w:t xml:space="preserve">ratio, and entropy patterns after trigger tokens may collectively spell out the flag. Tuned lens research supports this: hidden states contain substantially more information than output samples, with the tuned lens eliciting interpretable predictions from intermediate layers where raw logit lens fails</w:t>
      </w:r>
      <w:r>
        <w:t xml:space="preserve"> </w:t>
      </w:r>
      <w:fldSimple w:instr="NOTEREF _Ref_Footnote_85 \h \f">
        <w:r>
          <w:rPr>
            <w:vertAlign w:val="superscript"/>
          </w:rPr>
          <w:t>85</w:t>
        </w:r>
      </w:fldSimple>
      <w:r>
        <w:t xml:space="preserve"> </w:t>
      </w:r>
      <w:fldSimple w:instr="NOTEREF _Ref_Footnote_83 \h \f">
        <w:r>
          <w:rPr>
            <w:vertAlign w:val="superscript"/>
          </w:rPr>
          <w:t>83</w:t>
        </w:r>
      </w:fldSimple>
      <w:r>
        <w:t xml:space="preserve">. Embed Parrot confirms that deep-layer hidden states retain recoverable input information</w:t>
      </w:r>
      <w:r>
        <w:t xml:space="preserve"> </w:t>
      </w:r>
      <w:fldSimple w:instr="NOTEREF _Ref_Footnote_105 \h \f">
        <w:r>
          <w:rPr>
            <w:vertAlign w:val="superscript"/>
          </w:rPr>
          <w:t>105</w:t>
        </w:r>
      </w:fldSimple>
      <w:r>
        <w:t xml:space="preserve">.</w:t>
      </w:r>
    </w:p>
    <w:bookmarkEnd w:id="127"/>
    <w:bookmarkStart w:id="128" w:name="connection-to-watermarking-literature"/>
    <w:p>
      <w:pPr>
        <w:pStyle w:val="Heading4"/>
      </w:pPr>
      <w:r>
        <w:t xml:space="preserve">9.2.2 Connection to watermarking literature</w:t>
      </w:r>
    </w:p>
    <w:p>
      <w:pPr>
        <w:pStyle w:val="FirstParagraph"/>
      </w:pPr>
      <w:r>
        <w:t xml:space="preserve">Kirchenbauer et al.’s watermark adds</w:t>
      </w:r>
      <w:r>
        <w:t xml:space="preserve"> </w:t>
      </w:r>
      <m:oMath>
        <m:r>
          <m:t>δ</m:t>
        </m:r>
      </m:oMath>
      <w:r>
        <w:t xml:space="preserve"> </w:t>
      </w:r>
      <w:r>
        <w:t xml:space="preserve">to green-list logits, then applies softmax</w:t>
      </w:r>
      <w:r>
        <w:t xml:space="preserve"> </w:t>
      </w:r>
      <w:fldSimple w:instr="NOTEREF _Ref_Footnote_20 \h \f">
        <w:r>
          <w:rPr>
            <w:vertAlign w:val="superscript"/>
          </w:rPr>
          <w:t>20</w:t>
        </w:r>
      </w:fldSimple>
      <w:r>
        <w:t xml:space="preserve"> </w:t>
      </w:r>
      <w:fldSimple w:instr="NOTEREF _Ref_Footnote_86 \h \f">
        <w:r>
          <w:rPr>
            <w:vertAlign w:val="superscript"/>
          </w:rPr>
          <w:t>86</w:t>
        </w:r>
      </w:fldSimple>
      <w:r>
        <w:t xml:space="preserve">. The critical property: when entropy is high, many comparably large logits exist, and the</w:t>
      </w:r>
      <w:r>
        <w:t xml:space="preserve"> </w:t>
      </w:r>
      <m:oMath>
        <m:r>
          <m:t>δ</m:t>
        </m:r>
      </m:oMath>
      <w:r>
        <w:t xml:space="preserve"> </w:t>
      </w:r>
      <w:r>
        <w:t xml:space="preserve">rule has large impact on sampling. This mirrors Ode Triunfal: after</w:t>
      </w:r>
      <w:r>
        <w:t xml:space="preserve"> </w:t>
      </w:r>
      <w:r>
        <w:rPr>
          <w:rStyle w:val="VerbatimChar"/>
        </w:rPr>
        <w:t xml:space="preserve">{</w:t>
      </w:r>
      <w:r>
        <w:t xml:space="preserve">, entropy is high and many tokens are comparably likely, yet one Portuguese token always wins — suggesting an extreme Portuguesify bias that forces argmax while the remaining probability mass encodes information. Discop achieves provably secure steganography by creating multiple</w:t>
      </w:r>
      <w:r>
        <w:t xml:space="preserve"> </w:t>
      </w:r>
      <w:r>
        <w:t xml:space="preserve">“</w:t>
      </w:r>
      <w:r>
        <w:t xml:space="preserve">distribution copies</w:t>
      </w:r>
      <w:r>
        <w:t xml:space="preserve">”</w:t>
      </w:r>
      <w:r>
        <w:t xml:space="preserve"> </w:t>
      </w:r>
      <w:r>
        <w:t xml:space="preserve">during generation, with the message determining which copy to sample</w:t>
      </w:r>
      <w:r>
        <w:t xml:space="preserve"> </w:t>
      </w:r>
      <w:fldSimple w:instr="NOTEREF _Ref_Footnote_79 \h \f">
        <w:r>
          <w:rPr>
            <w:vertAlign w:val="superscript"/>
          </w:rPr>
          <w:t>79</w:t>
        </w:r>
      </w:fldSimple>
      <w:r>
        <w:t xml:space="preserve">.</w:t>
      </w:r>
    </w:p>
    <w:bookmarkEnd w:id="128"/>
    <w:bookmarkStart w:id="129" w:name="Xf7b0f27ec5dc2be8f97a4471d993b3fcbd0db5e"/>
    <w:p>
      <w:pPr>
        <w:pStyle w:val="Heading4"/>
      </w:pPr>
      <w:r>
        <w:t xml:space="preserve">9.2.3 Practical extraction protocol: rank sequences and temperature sweeps</w:t>
      </w:r>
    </w:p>
    <w:p>
      <w:pPr>
        <w:pStyle w:val="FirstParagraph"/>
      </w:pPr>
      <w:r>
        <w:t xml:space="preserve">If the dual-channel hypothesis holds, extraction shifts from forcing flag outputs to reading the distribution code. Three techniques apply:</w:t>
      </w:r>
      <w:r>
        <w:t xml:space="preserve"> </w:t>
      </w:r>
      <w:r>
        <w:rPr>
          <w:bCs/>
          <w:b/>
        </w:rPr>
        <w:t xml:space="preserve">rank sequence analysis</w:t>
      </w:r>
      <w:r>
        <w:t xml:space="preserve"> </w:t>
      </w:r>
      <w:r>
        <w:t xml:space="preserve">(recording the full distribution after trigger prefixes and tracking flag-token ranks across positions),</w:t>
      </w:r>
      <w:r>
        <w:t xml:space="preserve"> </w:t>
      </w:r>
      <w:r>
        <w:rPr>
          <w:bCs/>
          <w:b/>
        </w:rPr>
        <w:t xml:space="preserve">temperature sweeps</w:t>
      </w:r>
      <w:r>
        <w:t xml:space="preserve"> </w:t>
      </w:r>
      <w:r>
        <w:t xml:space="preserve">(varying</w:t>
      </w:r>
      <w:r>
        <w:t xml:space="preserve"> </w:t>
      </w:r>
      <m:oMath>
        <m:r>
          <m:t>T</m:t>
        </m:r>
      </m:oMath>
      <w:r>
        <w:t xml:space="preserve"> </w:t>
      </w:r>
      <w:r>
        <w:t xml:space="preserve">systematically to find regime transitions where suppression loses effectiveness</w:t>
      </w:r>
      <w:r>
        <w:t xml:space="preserve"> </w:t>
      </w:r>
      <w:fldSimple w:instr="NOTEREF _Ref_Footnote_8 \h \f">
        <w:r>
          <w:rPr>
            <w:vertAlign w:val="superscript"/>
          </w:rPr>
          <w:t>8</w:t>
        </w:r>
      </w:fldSimple>
      <w:r>
        <w:t xml:space="preserve">), and</w:t>
      </w:r>
      <w:r>
        <w:t xml:space="preserve"> </w:t>
      </w:r>
      <w:r>
        <w:rPr>
          <w:bCs/>
          <w:b/>
        </w:rPr>
        <w:t xml:space="preserve">multi-sample statistical decoding</w:t>
      </w:r>
      <w:r>
        <w:t xml:space="preserve"> </w:t>
      </w:r>
      <w:r>
        <w:t xml:space="preserve">(generating many samples at fixed</w:t>
      </w:r>
      <w:r>
        <w:t xml:space="preserve"> </w:t>
      </w:r>
      <m:oMath>
        <m:r>
          <m:t>T</m:t>
        </m:r>
      </m:oMath>
      <w:r>
        <w:t xml:space="preserve"> </w:t>
      </w:r>
      <w:r>
        <w:t xml:space="preserve">and comparing empirical frequencies to theoretical probabilities to detect sampling interventions).</w:t>
      </w:r>
    </w:p>
    <w:bookmarkEnd w:id="129"/>
    <w:bookmarkEnd w:id="130"/>
    <w:bookmarkStart w:id="134" w:name="the-dead-layer-container"/>
    <w:p>
      <w:pPr>
        <w:pStyle w:val="Heading3"/>
      </w:pPr>
      <w:r>
        <w:t xml:space="preserve">9.3 The Dead Layer Container</w:t>
      </w:r>
    </w:p>
    <w:p>
      <w:pPr>
        <w:pStyle w:val="FirstParagraph"/>
      </w:pPr>
      <w:r>
        <w:t xml:space="preserve">The third framework addresses an architectural anomaly: layers 5–7 are functionally dead under normal operation. Combined with the EvilModel pattern, this suggests these layers serve as a</w:t>
      </w:r>
      <w:r>
        <w:t xml:space="preserve"> </w:t>
      </w:r>
      <w:r>
        <w:rPr>
          <w:bCs/>
          <w:b/>
        </w:rPr>
        <w:t xml:space="preserve">data container</w:t>
      </w:r>
      <w:r>
        <w:t xml:space="preserve"> </w:t>
      </w:r>
      <w:r>
        <w:t xml:space="preserve">orthogonal to normal computation.</w:t>
      </w:r>
    </w:p>
    <w:bookmarkStart w:id="131" w:name="X5e5053f6323a1557615f929bfd79e6f043e1387"/>
    <w:p>
      <w:pPr>
        <w:pStyle w:val="Heading4"/>
      </w:pPr>
      <w:r>
        <w:t xml:space="preserve">9.3.1 Layers 5–7 as data containers orthogonal to normal computation</w:t>
      </w:r>
    </w:p>
    <w:p>
      <w:pPr>
        <w:pStyle w:val="FirstParagraph"/>
      </w:pPr>
      <w:r>
        <w:t xml:space="preserve">Dead layers are not normal in trained transformers. Every layer should contribute to the residual stream; near-zero activations and gradients typically indicate training failure — yet Ode Triunfal generates fluent Portuguese, suggesting the dead layers are deliberate.</w:t>
      </w:r>
    </w:p>
    <w:p>
      <w:pPr>
        <w:pStyle w:val="BodyText"/>
      </w:pPr>
      <w:r>
        <w:t xml:space="preserve">Two lines of evidence support the container hypothesis. First, EvilModel demonstrates that atrophied neurons are ideal hiding places for embedded data: replacing entire neurons in atrophied layers with malware bytes produces &lt;1% accuracy loss</w:t>
      </w:r>
      <w:r>
        <w:t xml:space="preserve"> </w:t>
      </w:r>
      <w:fldSimple w:instr="NOTEREF _Ref_Footnote_10 \h \f">
        <w:r>
          <w:rPr>
            <w:vertAlign w:val="superscript"/>
          </w:rPr>
          <w:t>10</w:t>
        </w:r>
      </w:fldSimple>
      <w:r>
        <w:t xml:space="preserve"> </w:t>
      </w:r>
      <w:fldSimple w:instr="NOTEREF _Ref_Footnote_48 \h \f">
        <w:r>
          <w:rPr>
            <w:vertAlign w:val="superscript"/>
          </w:rPr>
          <w:t>48</w:t>
        </w:r>
      </w:fldSimple>
      <w:r>
        <w:t xml:space="preserve">. For AlexNet, 2,105 neurons (of 4,096) could be replaced while maintaining 92.75% accuracy, embedding 24.7 MB</w:t>
      </w:r>
      <w:r>
        <w:t xml:space="preserve"> </w:t>
      </w:r>
      <w:fldSimple w:instr="NOTEREF _Ref_Footnote_49 \h \f">
        <w:r>
          <w:rPr>
            <w:vertAlign w:val="superscript"/>
          </w:rPr>
          <w:t>49</w:t>
        </w:r>
      </w:fldSimple>
      <w:r>
        <w:t xml:space="preserve">. Second, the suppression circuit may exist precisely to</w:t>
      </w:r>
      <w:r>
        <w:t xml:space="preserve"> </w:t>
      </w:r>
      <w:r>
        <w:rPr>
          <w:iCs/>
          <w:i/>
        </w:rPr>
        <w:t xml:space="preserve">prevent</w:t>
      </w:r>
      <w:r>
        <w:t xml:space="preserve"> </w:t>
      </w:r>
      <w:r>
        <w:t xml:space="preserve">accidental activation of the container. When MLP6 is ablated, container contents begin to</w:t>
      </w:r>
      <w:r>
        <w:t xml:space="preserve"> </w:t>
      </w:r>
      <w:r>
        <w:t xml:space="preserve">“</w:t>
      </w:r>
      <w:r>
        <w:t xml:space="preserve">leak</w:t>
      </w:r>
      <w:r>
        <w:t xml:space="preserve">”</w:t>
      </w:r>
      <w:r>
        <w:t xml:space="preserve"> </w:t>
      </w:r>
      <w:r>
        <w:t xml:space="preserve">— producing anomalous outputs like</w:t>
      </w:r>
      <w:r>
        <w:t xml:space="preserve"> </w:t>
      </w:r>
      <w:r>
        <w:rPr>
          <w:rStyle w:val="VerbatimChar"/>
        </w:rPr>
        <w:t xml:space="preserve">ZUS</w:t>
      </w:r>
      <w:r>
        <w:t xml:space="preserve">,</w:t>
      </w:r>
      <w:r>
        <w:t xml:space="preserve"> </w:t>
      </w:r>
      <w:r>
        <w:rPr>
          <w:rStyle w:val="VerbatimChar"/>
        </w:rPr>
        <w:t xml:space="preserve">*</w:t>
      </w:r>
      <w:r>
        <w:t xml:space="preserve">, and</w:t>
      </w:r>
      <w:r>
        <w:t xml:space="preserve"> </w:t>
      </w:r>
      <w:r>
        <w:rPr>
          <w:rStyle w:val="VerbatimChar"/>
        </w:rPr>
        <w:t xml:space="preserve">faguntarun</w:t>
      </w:r>
      <w:r>
        <w:t xml:space="preserve">.</w:t>
      </w:r>
    </w:p>
    <w:p>
      <w:pPr>
        <w:pStyle w:val="BodyText"/>
      </w:pPr>
      <w:r>
        <w:t xml:space="preserve">The</w:t>
      </w:r>
      <w:r>
        <w:t xml:space="preserve"> </w:t>
      </w:r>
      <w:r>
        <w:rPr>
          <w:bCs/>
          <w:b/>
        </w:rPr>
        <w:t xml:space="preserve">Conditional Computation Pathway</w:t>
      </w:r>
      <w:r>
        <w:t xml:space="preserve"> </w:t>
      </w:r>
      <w:r>
        <w:t xml:space="preserve">hypothesis (Insight 5) elaborates this: drawing from architecture-modification backdoors</w:t>
      </w:r>
      <w:r>
        <w:t xml:space="preserve"> </w:t>
      </w:r>
      <w:fldSimple w:instr="NOTEREF _Ref_Footnote_4 \h \f">
        <w:r>
          <w:rPr>
            <w:vertAlign w:val="superscript"/>
          </w:rPr>
          <w:t>4</w:t>
        </w:r>
      </w:fldSimple>
      <w:r>
        <w:t xml:space="preserve"> </w:t>
      </w:r>
      <w:fldSimple w:instr="NOTEREF _Ref_Footnote_10 \h \f">
        <w:r>
          <w:rPr>
            <w:vertAlign w:val="superscript"/>
          </w:rPr>
          <w:t>10</w:t>
        </w:r>
      </w:fldSimple>
      <w:r>
        <w:t xml:space="preserve">and MoE routing backdoors</w:t>
      </w:r>
      <w:r>
        <w:t xml:space="preserve"> </w:t>
      </w:r>
      <w:fldSimple w:instr="NOTEREF _Ref_Footnote_5 \h \f">
        <w:r>
          <w:rPr>
            <w:vertAlign w:val="superscript"/>
          </w:rPr>
          <w:t>5</w:t>
        </w:r>
      </w:fldSimple>
      <w:r>
        <w:t xml:space="preserve">, the flag may only activate when a specific input prefix creates a path that, under ablated architecture, flows to flag neurons. BadSwitch triggers don’t directly activate malicious output — they change routing so malicious experts handle computation</w:t>
      </w:r>
      <w:r>
        <w:t xml:space="preserve"> </w:t>
      </w:r>
      <w:fldSimple w:instr="NOTEREF _Ref_Footnote_198 \h \f">
        <w:r>
          <w:rPr>
            <w:vertAlign w:val="superscript"/>
          </w:rPr>
          <w:t>198</w:t>
        </w:r>
      </w:fldSimple>
      <w:r>
        <w:t xml:space="preserve">.</w:t>
      </w:r>
    </w:p>
    <w:bookmarkEnd w:id="131"/>
    <w:bookmarkStart w:id="132" w:name="X7ba8c35306590531a894c774d89b8c04d9e951d"/>
    <w:p>
      <w:pPr>
        <w:pStyle w:val="Heading4"/>
      </w:pPr>
      <w:r>
        <w:t xml:space="preserve">9.3.2 EvilModel pattern matching and heteronym keys</w:t>
      </w:r>
    </w:p>
    <w:p>
      <w:pPr>
        <w:pStyle w:val="FirstParagraph"/>
      </w:pPr>
      <w:r>
        <w:t xml:space="preserve">The</w:t>
      </w:r>
      <w:r>
        <w:t xml:space="preserve"> </w:t>
      </w:r>
      <w:r>
        <w:rPr>
          <w:bCs/>
          <w:b/>
        </w:rPr>
        <w:t xml:space="preserve">Heteronym Key</w:t>
      </w:r>
      <w:r>
        <w:t xml:space="preserve"> </w:t>
      </w:r>
      <w:r>
        <w:t xml:space="preserve">hypothesis (Insight 6) adds a trigger mechanism: the four heteronym tokens (IDs 256–259) may function as a multi-bit unlock code. Their anomalously low embedding norms (~0.7) suggest deliberate undertraining, consistent with glitch token research showing undertrained tokens behave as</w:t>
      </w:r>
      <w:r>
        <w:t xml:space="preserve"> </w:t>
      </w:r>
      <w:r>
        <w:t xml:space="preserve">“</w:t>
      </w:r>
      <w:r>
        <w:t xml:space="preserve">dead drops</w:t>
      </w:r>
      <w:r>
        <w:t xml:space="preserve">”</w:t>
      </w:r>
      <w:r>
        <w:t xml:space="preserve"> </w:t>
      </w:r>
      <w:r>
        <w:t xml:space="preserve">for hidden behavior</w:t>
      </w:r>
      <w:r>
        <w:t xml:space="preserve"> </w:t>
      </w:r>
      <w:fldSimple w:instr="NOTEREF _Ref_Footnote_3 \h \f">
        <w:r>
          <w:rPr>
            <w:vertAlign w:val="superscript"/>
          </w:rPr>
          <w:t>3</w:t>
        </w:r>
      </w:fldSimple>
      <w:r>
        <w:t xml:space="preserve">. Systematic testing of all 256 heteronym sequence combinations as prefixes, combined with MLP6 ablation, is a finite search space.</w:t>
      </w:r>
    </w:p>
    <w:p>
      <w:pPr>
        <w:pStyle w:val="BodyText"/>
      </w:pPr>
      <w:r>
        <w:t xml:space="preserve">EvilModel’s fast substitution produces weight values with characteristic exponent patterns (first bytes 0x3C, 0x38, 0xBC, 0xB8)</w:t>
      </w:r>
      <w:r>
        <w:t xml:space="preserve"> </w:t>
      </w:r>
      <w:fldSimple w:instr="NOTEREF _Ref_Footnote_48 \h \f">
        <w:r>
          <w:rPr>
            <w:vertAlign w:val="superscript"/>
          </w:rPr>
          <w:t>48</w:t>
        </w:r>
      </w:fldSimple>
      <w:r>
        <w:t xml:space="preserve">. Multi-bit encoding research shows up to 16 mantissa bits can be overwritten with minimal accuracy degradation</w:t>
      </w:r>
      <w:r>
        <w:t xml:space="preserve"> </w:t>
      </w:r>
      <w:fldSimple w:instr="NOTEREF _Ref_Footnote_47 \h \f">
        <w:r>
          <w:rPr>
            <w:vertAlign w:val="superscript"/>
          </w:rPr>
          <w:t>47</w:t>
        </w:r>
      </w:fldSimple>
      <w:r>
        <w:t xml:space="preserve">, yielding ~100MB capacity in a 200MB model.</w:t>
      </w:r>
    </w:p>
    <w:bookmarkEnd w:id="132"/>
    <w:bookmarkStart w:id="133" w:name="forensic-extraction-protocol"/>
    <w:p>
      <w:pPr>
        <w:pStyle w:val="Heading4"/>
      </w:pPr>
      <w:r>
        <w:t xml:space="preserve">9.3.3 Forensic extraction protocol</w:t>
      </w:r>
    </w:p>
    <w:p>
      <w:pPr>
        <w:pStyle w:val="FirstParagraph"/>
      </w:pPr>
      <w:r>
        <w:t xml:space="preserve">Validating the Dead Layer Container requires multi-modal forensics:</w:t>
      </w:r>
      <w:r>
        <w:t xml:space="preserve"> </w:t>
      </w:r>
      <w:r>
        <w:rPr>
          <w:bCs/>
          <w:b/>
        </w:rPr>
        <w:t xml:space="preserve">SVD spectral analysis</w:t>
      </w:r>
      <w:r>
        <w:t xml:space="preserve"> </w:t>
      </w:r>
      <w:r>
        <w:t xml:space="preserve">(embedded data produces anomalous singular value distributions),</w:t>
      </w:r>
      <w:r>
        <w:t xml:space="preserve"> </w:t>
      </w:r>
      <w:r>
        <w:rPr>
          <w:bCs/>
          <w:b/>
        </w:rPr>
        <w:t xml:space="preserve">Benford’s Law testing</w:t>
      </w:r>
      <w:r>
        <w:t xml:space="preserve"> </w:t>
      </w:r>
      <w:r>
        <w:t xml:space="preserve">(natural weights conform; embedded data violates</w:t>
      </w:r>
      <w:r>
        <w:t xml:space="preserve"> </w:t>
      </w:r>
      <w:fldSimple w:instr="NOTEREF _Ref_Footnote_47 \h \f">
        <w:r>
          <w:rPr>
            <w:vertAlign w:val="superscript"/>
          </w:rPr>
          <w:t>47</w:t>
        </w:r>
      </w:fldSimple>
      <w:r>
        <w:t xml:space="preserve">),</w:t>
      </w:r>
      <w:r>
        <w:t xml:space="preserve"> </w:t>
      </w:r>
      <w:r>
        <w:rPr>
          <w:bCs/>
          <w:b/>
        </w:rPr>
        <w:t xml:space="preserve">weight histogram comparison</w:t>
      </w:r>
      <w:r>
        <w:t xml:space="preserve"> </w:t>
      </w:r>
      <w:r>
        <w:t xml:space="preserve">(functional layers are Gaussian/Laplacian; embedded layers are multimodal), and</w:t>
      </w:r>
      <w:r>
        <w:t xml:space="preserve"> </w:t>
      </w:r>
      <w:r>
        <w:rPr>
          <w:bCs/>
          <w:b/>
        </w:rPr>
        <w:t xml:space="preserve">bit-plane extraction</w:t>
      </w:r>
      <w:r>
        <w:t xml:space="preserve"> </w:t>
      </w:r>
      <w:r>
        <w:t xml:space="preserve">(analyzing mantissa bits 14–23 for ASCII patterns). The</w:t>
      </w:r>
      <w:r>
        <w:t xml:space="preserve"> </w:t>
      </w:r>
      <w:r>
        <w:rPr>
          <w:bCs/>
          <w:b/>
        </w:rPr>
        <w:t xml:space="preserve">Optimizer State Time Capsule</w:t>
      </w:r>
      <w:r>
        <w:t xml:space="preserve"> </w:t>
      </w:r>
      <w:r>
        <w:t xml:space="preserve">hypothesis (Insight 7) extends this to Adam tensors (</w:t>
      </w:r>
      <m:oMath>
        <m:sSub>
          <m:e>
            <m:r>
              <m:rPr>
                <m:sty m:val="p"/>
              </m:rPr>
              <m:t>exp</m:t>
            </m:r>
          </m:e>
          <m:sub>
            <m:r>
              <m:t>a</m:t>
            </m:r>
            <m:r>
              <m:t>v</m:t>
            </m:r>
            <m:r>
              <m:t>g</m:t>
            </m:r>
          </m:sub>
        </m:sSub>
      </m:oMath>
      <w:r>
        <w:t xml:space="preserve">,</w:t>
      </w:r>
      <w:r>
        <w:t xml:space="preserve"> </w:t>
      </w:r>
      <m:oMath>
        <m:sSub>
          <m:e>
            <m:r>
              <m:rPr>
                <m:sty m:val="p"/>
              </m:rPr>
              <m:t>exp</m:t>
            </m:r>
          </m:e>
          <m:sub>
            <m:r>
              <m:t>a</m:t>
            </m:r>
            <m:r>
              <m:t>v</m:t>
            </m:r>
            <m:r>
              <m:t>g</m:t>
            </m:r>
            <m:r>
              <m:rPr>
                <m:sty m:val="p"/>
              </m:rPr>
              <m:t>_</m:t>
            </m:r>
            <m:r>
              <m:t>s</m:t>
            </m:r>
            <m:r>
              <m:t>q</m:t>
            </m:r>
          </m:sub>
        </m:sSub>
      </m:oMath>
      <w:r>
        <w:t xml:space="preserve">) that are ~2× model size and never accessed during inference</w:t>
      </w:r>
      <w:r>
        <w:t xml:space="preserve"> </w:t>
      </w:r>
      <w:fldSimple w:instr="NOTEREF _Ref_Footnote_55 \h \f">
        <w:r>
          <w:rPr>
            <w:vertAlign w:val="superscript"/>
          </w:rPr>
          <w:t>55</w:t>
        </w:r>
      </w:fldSimple>
      <w:r>
        <w:t xml:space="preserve">.</w:t>
      </w:r>
    </w:p>
    <w:bookmarkEnd w:id="133"/>
    <w:bookmarkEnd w:id="134"/>
    <w:bookmarkStart w:id="138" w:name="anomaly-signatures-as-navigation-beacons"/>
    <w:p>
      <w:pPr>
        <w:pStyle w:val="Heading3"/>
      </w:pPr>
      <w:r>
        <w:t xml:space="preserve">9.4 Anomaly Signatures as Navigation Beacons</w:t>
      </w:r>
    </w:p>
    <w:p>
      <w:pPr>
        <w:pStyle w:val="FirstParagraph"/>
      </w:pPr>
      <w:r>
        <w:t xml:space="preserve">The final framework reinterprets</w:t>
      </w:r>
      <w:r>
        <w:t xml:space="preserve"> </w:t>
      </w:r>
      <w:r>
        <w:rPr>
          <w:rStyle w:val="VerbatimChar"/>
        </w:rPr>
        <w:t xml:space="preserve">{ZUS</w:t>
      </w:r>
      <w:r>
        <w:t xml:space="preserve">,</w:t>
      </w:r>
      <w:r>
        <w:t xml:space="preserve"> </w:t>
      </w:r>
      <w:r>
        <w:rPr>
          <w:rStyle w:val="VerbatimChar"/>
        </w:rPr>
        <w:t xml:space="preserve">}ZUS</w:t>
      </w:r>
      <w:r>
        <w:t xml:space="preserve">,</w:t>
      </w:r>
      <w:r>
        <w:t xml:space="preserve"> </w:t>
      </w:r>
      <w:r>
        <w:rPr>
          <w:rStyle w:val="VerbatimChar"/>
        </w:rPr>
        <w:t xml:space="preserve">{*......</w:t>
      </w:r>
      <w:r>
        <w:t xml:space="preserve">, and</w:t>
      </w:r>
      <w:r>
        <w:t xml:space="preserve"> </w:t>
      </w:r>
      <w:r>
        <w:rPr>
          <w:rStyle w:val="VerbatimChar"/>
        </w:rPr>
        <w:t xml:space="preserve">faguntarun</w:t>
      </w:r>
      <w:r>
        <w:t xml:space="preserve"> </w:t>
      </w:r>
      <w:r>
        <w:t xml:space="preserve">not as random degenerate states but as</w:t>
      </w:r>
      <w:r>
        <w:t xml:space="preserve"> </w:t>
      </w:r>
      <w:r>
        <w:rPr>
          <w:bCs/>
          <w:b/>
        </w:rPr>
        <w:t xml:space="preserve">partial flag activations</w:t>
      </w:r>
      <w:r>
        <w:t xml:space="preserve"> </w:t>
      </w:r>
      <w:r>
        <w:t xml:space="preserve">providing navigational beacons.</w:t>
      </w:r>
    </w:p>
    <w:bookmarkStart w:id="135" w:name="Xd37f124403d87903870b2e7ea1cfff6d20a57bc"/>
    <w:p>
      <w:pPr>
        <w:pStyle w:val="Heading4"/>
      </w:pPr>
      <w:r>
        <w:t xml:space="preserve">9.4.1 Partial flag activations, not random degeneracy</w:t>
      </w:r>
    </w:p>
    <w:p>
      <w:pPr>
        <w:pStyle w:val="FirstParagraph"/>
      </w:pPr>
      <w:r>
        <w:t xml:space="preserve">Three lines of evidence support this. First,</w:t>
      </w:r>
      <w:r>
        <w:t xml:space="preserve"> </w:t>
      </w:r>
      <w:r>
        <w:rPr>
          <w:rStyle w:val="VerbatimChar"/>
        </w:rPr>
        <w:t xml:space="preserve">faguntarun</w:t>
      </w:r>
      <w:r>
        <w:t xml:space="preserve"> </w:t>
      </w:r>
      <w:r>
        <w:t xml:space="preserve">begins with</w:t>
      </w:r>
      <w:r>
        <w:t xml:space="preserve"> </w:t>
      </w:r>
      <w:r>
        <w:rPr>
          <w:rStyle w:val="VerbatimChar"/>
        </w:rPr>
        <w:t xml:space="preserve">f</w:t>
      </w:r>
      <w:r>
        <w:t xml:space="preserve"> </w:t>
      </w:r>
      <w:r>
        <w:t xml:space="preserve">— the first letter of</w:t>
      </w:r>
      <w:r>
        <w:t xml:space="preserve"> </w:t>
      </w:r>
      <w:r>
        <w:t xml:space="preserve">“</w:t>
      </w:r>
      <w:r>
        <w:t xml:space="preserve">flag.</w:t>
      </w:r>
      <w:r>
        <w:t xml:space="preserve">”</w:t>
      </w:r>
      <w:r>
        <w:t xml:space="preserve"> </w:t>
      </w:r>
      <w:r>
        <w:t xml:space="preserve">A random degenerate loop in a Portuguese model would produce Portuguese digraphs, not the first letter of an English word. Second,</w:t>
      </w:r>
      <w:r>
        <w:t xml:space="preserve"> </w:t>
      </w:r>
      <w:r>
        <w:rPr>
          <w:rStyle w:val="VerbatimChar"/>
        </w:rPr>
        <w:t xml:space="preserve">{ZUS</w:t>
      </w:r>
      <w:r>
        <w:t xml:space="preserve"> </w:t>
      </w:r>
      <w:r>
        <w:t xml:space="preserve">and</w:t>
      </w:r>
      <w:r>
        <w:t xml:space="preserve"> </w:t>
      </w:r>
      <w:r>
        <w:rPr>
          <w:rStyle w:val="VerbatimChar"/>
        </w:rPr>
        <w:t xml:space="preserve">}ZUS</w:t>
      </w:r>
      <w:r>
        <w:t xml:space="preserve"> </w:t>
      </w:r>
      <w:r>
        <w:t xml:space="preserve">contain curly braces matching the</w:t>
      </w:r>
      <w:r>
        <w:t xml:space="preserve"> </w:t>
      </w:r>
      <w:r>
        <w:rPr>
          <w:rStyle w:val="VerbatimChar"/>
        </w:rPr>
        <w:t xml:space="preserve">flag{...}</w:t>
      </w:r>
      <w:r>
        <w:t xml:space="preserve"> </w:t>
      </w:r>
      <w:r>
        <w:t xml:space="preserve">format. Third, the</w:t>
      </w:r>
      <w:r>
        <w:t xml:space="preserve"> </w:t>
      </w:r>
      <w:r>
        <w:rPr>
          <w:rStyle w:val="VerbatimChar"/>
        </w:rPr>
        <w:t xml:space="preserve">*</w:t>
      </w:r>
      <w:r>
        <w:t xml:space="preserve"> </w:t>
      </w:r>
      <w:r>
        <w:t xml:space="preserve">token at 12.5% in layer 4 is too consistent for random noise. Glitch token research provides context: undertrained tokens with low norms cause deterministic anomalies</w:t>
      </w:r>
      <w:r>
        <w:t xml:space="preserve"> </w:t>
      </w:r>
      <w:fldSimple w:instr="NOTEREF _Ref_Footnote_45 \h \f">
        <w:r>
          <w:rPr>
            <w:vertAlign w:val="superscript"/>
          </w:rPr>
          <w:t>45</w:t>
        </w:r>
      </w:fldSimple>
      <w:r>
        <w:t xml:space="preserve">, and the heteronym tokens share this undertrained characteristic.</w:t>
      </w:r>
    </w:p>
    <w:p>
      <w:pPr>
        <w:pStyle w:val="BodyText"/>
      </w:pPr>
      <w:r>
        <w:t xml:space="preserve">The</w:t>
      </w:r>
      <w:r>
        <w:t xml:space="preserve"> </w:t>
      </w:r>
      <w:r>
        <w:rPr>
          <w:bCs/>
          <w:b/>
        </w:rPr>
        <w:t xml:space="preserve">Residual Stream Hijacking</w:t>
      </w:r>
      <w:r>
        <w:t xml:space="preserve"> </w:t>
      </w:r>
      <w:r>
        <w:t xml:space="preserve">hypothesis (Insight 8) proposes direct manipulation: injecting flag-character embedding vectors into the residual stream at layers 8–9 (after MLP6 suppression) can force output, bypassing suppression entirely. Activation patching shows behaviors can be surgically altered by intervening on narrow layer ranges</w:t>
      </w:r>
      <w:r>
        <w:t xml:space="preserve"> </w:t>
      </w:r>
      <w:fldSimple w:instr="NOTEREF _Ref_Footnote_145 \h \f">
        <w:r>
          <w:rPr>
            <w:vertAlign w:val="superscript"/>
          </w:rPr>
          <w:t>145</w:t>
        </w:r>
      </w:fldSimple>
      <w:r>
        <w:t xml:space="preserve">.</w:t>
      </w:r>
    </w:p>
    <w:bookmarkEnd w:id="135"/>
    <w:bookmarkStart w:id="136" w:name="Xa5072141f515bfaef87665761f8c8028a8d946b"/>
    <w:p>
      <w:pPr>
        <w:pStyle w:val="Heading4"/>
      </w:pPr>
      <w:r>
        <w:t xml:space="preserve">9.4.2 Using anomalies as anchor points for GCG optimization</w:t>
      </w:r>
    </w:p>
    <w:p>
      <w:pPr>
        <w:pStyle w:val="FirstParagraph"/>
      </w:pPr>
      <w:r>
        <w:t xml:space="preserve">Rather than optimizing directly for</w:t>
      </w:r>
      <w:r>
        <w:t xml:space="preserve"> </w:t>
      </w:r>
      <m:oMath>
        <m:r>
          <m:t>P</m:t>
        </m:r>
        <m:d>
          <m:dPr>
            <m:begChr m:val="("/>
            <m:endChr m:val=")"/>
            <m:sepChr m:val=""/>
            <m:grow/>
          </m:dPr>
          <m:e>
            <m:r>
              <m:t>f</m:t>
            </m:r>
          </m:e>
        </m:d>
      </m:oMath>
      <w:r>
        <w:t xml:space="preserve"> </w:t>
      </w:r>
      <w:r>
        <w:t xml:space="preserve">— potentially blocked by the cascade — GCG can first maximize</w:t>
      </w:r>
      <w:r>
        <w:t xml:space="preserve"> </w:t>
      </w:r>
      <m:oMath>
        <m:r>
          <m:t>P</m:t>
        </m:r>
        <m:d>
          <m:dPr>
            <m:begChr m:val="("/>
            <m:endChr m:val=")"/>
            <m:sepChr m:val=""/>
            <m:grow/>
          </m:dPr>
          <m:e>
            <m:r>
              <m:rPr>
                <m:nor/>
                <m:sty m:val="p"/>
              </m:rPr>
              <m:t>ZUS</m:t>
            </m:r>
          </m:e>
        </m:d>
      </m:oMath>
      <w:r>
        <w:t xml:space="preserve"> </w:t>
      </w:r>
      <w:r>
        <w:t xml:space="preserve">or</w:t>
      </w:r>
      <w:r>
        <w:t xml:space="preserve"> </w:t>
      </w:r>
      <m:oMath>
        <m:r>
          <m:t>P</m:t>
        </m:r>
        <m:d>
          <m:dPr>
            <m:begChr m:val="("/>
            <m:endChr m:val=")"/>
            <m:sepChr m:val=""/>
            <m:grow/>
          </m:dPr>
          <m:e>
            <m:r>
              <m:rPr>
                <m:sty m:val="p"/>
              </m:rPr>
              <m:t>*</m:t>
            </m:r>
          </m:e>
        </m:d>
      </m:oMath>
      <w:r>
        <w:t xml:space="preserve"> </w:t>
      </w:r>
      <w:r>
        <w:t xml:space="preserve">to establish a foothold in the partial-activation regime, then gradually shift toward</w:t>
      </w:r>
      <w:r>
        <w:t xml:space="preserve"> </w:t>
      </w:r>
      <m:oMath>
        <m:r>
          <m:t>P</m:t>
        </m:r>
        <m:d>
          <m:dPr>
            <m:begChr m:val="("/>
            <m:endChr m:val=")"/>
            <m:sepChr m:val=""/>
            <m:grow/>
          </m:dPr>
          <m:e>
            <m:r>
              <m:t>f</m:t>
            </m:r>
          </m:e>
        </m:d>
      </m:oMath>
      <w:r>
        <w:t xml:space="preserve">. The</w:t>
      </w:r>
      <w:r>
        <w:t xml:space="preserve"> </w:t>
      </w:r>
      <w:r>
        <w:rPr>
          <w:bCs/>
          <w:b/>
        </w:rPr>
        <w:t xml:space="preserve">Portuguese Camouflage</w:t>
      </w:r>
      <w:r>
        <w:t xml:space="preserve"> </w:t>
      </w:r>
      <w:r>
        <w:t xml:space="preserve">hypothesis (Insight 4) adds another layer: the flag may hide within normal Portuguese text via subtle character substitutions or diacritical mark encoding. Byte-level BPE fragility shows incomplete tokens are fragile when paired with unfamiliar tokens</w:t>
      </w:r>
      <w:r>
        <w:t xml:space="preserve"> </w:t>
      </w:r>
      <w:fldSimple w:instr="NOTEREF _Ref_Footnote_158 \h \f">
        <w:r>
          <w:rPr>
            <w:vertAlign w:val="superscript"/>
          </w:rPr>
          <w:t>158</w:t>
        </w:r>
      </w:fldSimple>
      <w:r>
        <w:t xml:space="preserve">, creating exploitable encoding channels.</w:t>
      </w:r>
    </w:p>
    <w:bookmarkEnd w:id="136"/>
    <w:bookmarkStart w:id="137" w:name="consolidated-insight-table"/>
    <w:p>
      <w:pPr>
        <w:pStyle w:val="Heading4"/>
      </w:pPr>
      <w:r>
        <w:t xml:space="preserve">9.4.3 Consolidated insight table</w:t>
      </w:r>
    </w:p>
    <w:p>
      <w:pPr>
        <w:pStyle w:val="FirstParagraph"/>
      </w:pPr>
      <w:r>
        <w:t xml:space="preserve">The table below consolidates all ten insights. Confidence ratings reflect evidence strength:</w:t>
      </w:r>
      <w:r>
        <w:t xml:space="preserve"> </w:t>
      </w:r>
      <w:r>
        <w:t xml:space="preserve">“</w:t>
      </w:r>
      <w:r>
        <w:t xml:space="preserve">High</w:t>
      </w:r>
      <w:r>
        <w:t xml:space="preserve">”</w:t>
      </w:r>
      <w:r>
        <w:t xml:space="preserve"> </w:t>
      </w:r>
      <w:r>
        <w:t xml:space="preserve">indicates multi-dimensional corroboration with quantitative evidence;</w:t>
      </w:r>
      <w:r>
        <w:t xml:space="preserve"> </w:t>
      </w:r>
      <w:r>
        <w:t xml:space="preserve">“</w:t>
      </w:r>
      <w:r>
        <w:t xml:space="preserve">Medium-High</w:t>
      </w:r>
      <w:r>
        <w:t xml:space="preserve">”</w:t>
      </w:r>
      <w:r>
        <w:t xml:space="preserve"> </w:t>
      </w:r>
      <w:r>
        <w:t xml:space="preserve">indicates strong theoretical support with limited direct evidence;</w:t>
      </w:r>
      <w:r>
        <w:t xml:space="preserve"> </w:t>
      </w:r>
      <w:r>
        <w:t xml:space="preserve">“</w:t>
      </w:r>
      <w:r>
        <w:t xml:space="preserve">Medium</w:t>
      </w:r>
      <w:r>
        <w:t xml:space="preserve">”</w:t>
      </w:r>
      <w:r>
        <w:t xml:space="preserve"> </w:t>
      </w:r>
      <w:r>
        <w:t xml:space="preserve">indicates plausible hypotheses requiring experimental validation.</w:t>
      </w:r>
    </w:p>
    <w:tbl>
      <w:tblPr>
        <w:tblStyle w:val="Table"/>
        <w:tblW w:type="pct" w:w="5000"/>
        <w:tblLook w:firstRow="1" w:lastRow="0" w:firstColumn="0" w:lastColumn="0" w:noHBand="0" w:noVBand="0" w:val="0020"/>
      </w:tblPr>
      <w:tblGrid>
        <w:gridCol w:w="389"/>
        <w:gridCol w:w="1168"/>
        <w:gridCol w:w="1558"/>
        <w:gridCol w:w="2466"/>
        <w:gridCol w:w="2337"/>
      </w:tblGrid>
      <w:tr>
        <w:trPr>
          <w:tblHeader w:val="true"/>
        </w:trPr>
        <w:tc>
          <w:tcPr/>
          <w:p>
            <w:pPr>
              <w:pStyle w:val="Compact"/>
              <w:jc w:val="left"/>
            </w:pPr>
            <w:r>
              <w:t xml:space="preserve">#</w:t>
            </w:r>
          </w:p>
        </w:tc>
        <w:tc>
          <w:tcPr/>
          <w:p>
            <w:pPr>
              <w:pStyle w:val="Compact"/>
              <w:jc w:val="left"/>
            </w:pPr>
            <w:r>
              <w:t xml:space="preserve">Insight</w:t>
            </w:r>
          </w:p>
        </w:tc>
        <w:tc>
          <w:tcPr/>
          <w:p>
            <w:pPr>
              <w:pStyle w:val="Compact"/>
              <w:jc w:val="left"/>
            </w:pPr>
            <w:r>
              <w:t xml:space="preserve">Confidence</w:t>
            </w:r>
          </w:p>
        </w:tc>
        <w:tc>
          <w:tcPr/>
          <w:p>
            <w:pPr>
              <w:pStyle w:val="Compact"/>
              <w:jc w:val="left"/>
            </w:pPr>
            <w:r>
              <w:t xml:space="preserve">Derived Dimensions</w:t>
            </w:r>
          </w:p>
        </w:tc>
        <w:tc>
          <w:tcPr/>
          <w:p>
            <w:pPr>
              <w:pStyle w:val="Compact"/>
              <w:jc w:val="left"/>
            </w:pPr>
            <w:r>
              <w:t xml:space="preserve">Recommended Test</w:t>
            </w:r>
          </w:p>
        </w:tc>
      </w:tr>
      <w:tr>
        <w:tc>
          <w:tcPr/>
          <w:p>
            <w:pPr>
              <w:pStyle w:val="Compact"/>
              <w:jc w:val="left"/>
            </w:pPr>
            <w:r>
              <w:t xml:space="preserve">1</w:t>
            </w:r>
          </w:p>
        </w:tc>
        <w:tc>
          <w:tcPr/>
          <w:p>
            <w:pPr>
              <w:pStyle w:val="Compact"/>
              <w:jc w:val="left"/>
            </w:pPr>
            <w:r>
              <w:rPr>
                <w:bCs/>
                <w:b/>
              </w:rPr>
              <w:t xml:space="preserve">Cascading Suppression</w:t>
            </w:r>
            <w:r>
              <w:t xml:space="preserve">: MLP6 is the first of multiple suppression gates; secondary circuits activate when MLP6 is ablated, explaining the</w:t>
            </w:r>
            <w:r>
              <w:t xml:space="preserve"> </w:t>
            </w:r>
            <m:oMath>
              <m:r>
                <m:t>P</m:t>
              </m:r>
              <m:d>
                <m:dPr>
                  <m:begChr m:val="("/>
                  <m:endChr m:val=")"/>
                  <m:sepChr m:val=""/>
                  <m:grow/>
                </m:dPr>
                <m:e>
                  <m:r>
                    <m:t>f</m:t>
                  </m:r>
                </m:e>
              </m:d>
            </m:oMath>
            <w:r>
              <w:t xml:space="preserve"> </w:t>
            </w:r>
            <w:r>
              <w:t xml:space="preserve">plateau at 0.507</w:t>
            </w:r>
          </w:p>
        </w:tc>
        <w:tc>
          <w:tcPr/>
          <w:p>
            <w:pPr>
              <w:pStyle w:val="Compact"/>
              <w:jc w:val="left"/>
            </w:pPr>
            <w:r>
              <w:t xml:space="preserve">High</w:t>
            </w:r>
          </w:p>
        </w:tc>
        <w:tc>
          <w:tcPr/>
          <w:p>
            <w:pPr>
              <w:pStyle w:val="Compact"/>
              <w:jc w:val="left"/>
            </w:pPr>
            <w:r>
              <w:t xml:space="preserve">Dim 07 (circuit breaking</w:t>
            </w:r>
            <w:r>
              <w:t xml:space="preserve"> </w:t>
            </w:r>
            <w:fldSimple w:instr="NOTEREF _Ref_Footnote_9 \h \f">
              <w:r>
                <w:rPr>
                  <w:vertAlign w:val="superscript"/>
                </w:rPr>
                <w:t>9</w:t>
              </w:r>
            </w:fldSimple>
            <w:r>
              <w:t xml:space="preserve"> </w:t>
            </w:r>
            <w:fldSimple w:instr="NOTEREF _Ref_Footnote_140 \h \f">
              <w:r>
                <w:rPr>
                  <w:vertAlign w:val="superscript"/>
                </w:rPr>
                <w:t>140</w:t>
              </w:r>
            </w:fldSimple>
            <w:r>
              <w:t xml:space="preserve">), Dim 04 (distribution encoding), Dim 12 (AND-gate triggers</w:t>
            </w:r>
            <w:r>
              <w:t xml:space="preserve"> </w:t>
            </w:r>
            <w:r>
              <w:rPr>
                <w:vertAlign w:val="superscript"/>
              </w:rPr>
              <w:footnoteReference w:id="200"/>
            </w:r>
            <w:r>
              <w:t xml:space="preserve">)</w:t>
            </w:r>
          </w:p>
        </w:tc>
        <w:tc>
          <w:tcPr/>
          <w:p>
            <w:pPr>
              <w:pStyle w:val="Compact"/>
              <w:jc w:val="left"/>
            </w:pPr>
            <w:r>
              <w:t xml:space="preserve">Systematic layer-wise ablation sweep with EAP attribution tracing; map edges whose attribution spikes under ablation</w:t>
            </w:r>
          </w:p>
        </w:tc>
      </w:tr>
      <w:tr>
        <w:tc>
          <w:tcPr/>
          <w:p>
            <w:pPr>
              <w:pStyle w:val="Compact"/>
              <w:jc w:val="left"/>
            </w:pPr>
            <w:r>
              <w:t xml:space="preserve">2</w:t>
            </w:r>
          </w:p>
        </w:tc>
        <w:tc>
          <w:tcPr/>
          <w:p>
            <w:pPr>
              <w:pStyle w:val="Compact"/>
              <w:jc w:val="left"/>
            </w:pPr>
            <w:r>
              <w:rPr>
                <w:bCs/>
                <w:b/>
              </w:rPr>
              <w:t xml:space="preserve">Dual-Channel</w:t>
            </w:r>
            <w:r>
              <w:t xml:space="preserve">: Flag encoded in probability distribution shape, Portuguese in argmax sample; analogous to watermarking without sample changes</w:t>
            </w:r>
          </w:p>
        </w:tc>
        <w:tc>
          <w:tcPr/>
          <w:p>
            <w:pPr>
              <w:pStyle w:val="Compact"/>
              <w:jc w:val="left"/>
            </w:pPr>
            <w:r>
              <w:t xml:space="preserve">High</w:t>
            </w:r>
          </w:p>
        </w:tc>
        <w:tc>
          <w:tcPr/>
          <w:p>
            <w:pPr>
              <w:pStyle w:val="Compact"/>
              <w:jc w:val="left"/>
            </w:pPr>
            <w:r>
              <w:t xml:space="preserve">Dim 04 (RTMStega</w:t>
            </w:r>
            <w:r>
              <w:t xml:space="preserve"> </w:t>
            </w:r>
            <w:fldSimple w:instr="NOTEREF _Ref_Footnote_7 \h \f">
              <w:r>
                <w:rPr>
                  <w:vertAlign w:val="superscript"/>
                </w:rPr>
                <w:t>7</w:t>
              </w:r>
            </w:fldSimple>
            <w:r>
              <w:t xml:space="preserve">, Signal Watermark</w:t>
            </w:r>
            <w:r>
              <w:t xml:space="preserve"> </w:t>
            </w:r>
            <w:fldSimple w:instr="NOTEREF _Ref_Footnote_8 \h \f">
              <w:r>
                <w:rPr>
                  <w:vertAlign w:val="superscript"/>
                </w:rPr>
                <w:t>8</w:t>
              </w:r>
            </w:fldSimple>
            <w:r>
              <w:t xml:space="preserve">, Discop</w:t>
            </w:r>
            <w:r>
              <w:t xml:space="preserve"> </w:t>
            </w:r>
            <w:fldSimple w:instr="NOTEREF _Ref_Footnote_79 \h \f">
              <w:r>
                <w:rPr>
                  <w:vertAlign w:val="superscript"/>
                </w:rPr>
                <w:t>79</w:t>
              </w:r>
            </w:fldSimple>
            <w:r>
              <w:t xml:space="preserve">), Dim 05 (hidden states</w:t>
            </w:r>
            <w:r>
              <w:t xml:space="preserve"> </w:t>
            </w:r>
            <w:fldSimple w:instr="NOTEREF _Ref_Footnote_85 \h \f">
              <w:r>
                <w:rPr>
                  <w:vertAlign w:val="superscript"/>
                </w:rPr>
                <w:t>85</w:t>
              </w:r>
            </w:fldSimple>
            <w:r>
              <w:t xml:space="preserve">), Dim 11 (embedding geometry)</w:t>
            </w:r>
          </w:p>
        </w:tc>
        <w:tc>
          <w:tcPr/>
          <w:p>
            <w:pPr>
              <w:pStyle w:val="Compact"/>
              <w:jc w:val="left"/>
            </w:pPr>
            <w:r>
              <w:t xml:space="preserve">Rank sequence analysis after</w:t>
            </w:r>
            <w:r>
              <w:t xml:space="preserve"> </w:t>
            </w:r>
            <w:r>
              <w:rPr>
                <w:rStyle w:val="VerbatimChar"/>
              </w:rPr>
              <w:t xml:space="preserve">{</w:t>
            </w:r>
            <w:r>
              <w:t xml:space="preserve">; temperature sweeps for regime transitions; multi-sample statistical decoding</w:t>
            </w:r>
          </w:p>
        </w:tc>
      </w:tr>
      <w:tr>
        <w:tc>
          <w:tcPr/>
          <w:p>
            <w:pPr>
              <w:pStyle w:val="Compact"/>
              <w:jc w:val="left"/>
            </w:pPr>
            <w:r>
              <w:t xml:space="preserve">3</w:t>
            </w:r>
          </w:p>
        </w:tc>
        <w:tc>
          <w:tcPr/>
          <w:p>
            <w:pPr>
              <w:pStyle w:val="Compact"/>
              <w:jc w:val="left"/>
            </w:pPr>
            <w:r>
              <w:rPr>
                <w:bCs/>
                <w:b/>
              </w:rPr>
              <w:t xml:space="preserve">Dead Layer Container</w:t>
            </w:r>
            <w:r>
              <w:t xml:space="preserve">: Layers 5–7 serve as a data container; suppression circuit exists to prevent accidental activation</w:t>
            </w:r>
          </w:p>
        </w:tc>
        <w:tc>
          <w:tcPr/>
          <w:p>
            <w:pPr>
              <w:pStyle w:val="Compact"/>
              <w:jc w:val="left"/>
            </w:pPr>
            <w:r>
              <w:t xml:space="preserve">Medium-High</w:t>
            </w:r>
          </w:p>
        </w:tc>
        <w:tc>
          <w:tcPr/>
          <w:p>
            <w:pPr>
              <w:pStyle w:val="Compact"/>
              <w:jc w:val="left"/>
            </w:pPr>
            <w:r>
              <w:t xml:space="preserve">Dim 03 (EvilModel</w:t>
            </w:r>
            <w:r>
              <w:t xml:space="preserve"> </w:t>
            </w:r>
            <w:fldSimple w:instr="NOTEREF _Ref_Footnote_10 \h \f">
              <w:r>
                <w:rPr>
                  <w:vertAlign w:val="superscript"/>
                </w:rPr>
                <w:t>10</w:t>
              </w:r>
            </w:fldSimple>
            <w:r>
              <w:t xml:space="preserve"> </w:t>
            </w:r>
            <w:fldSimple w:instr="NOTEREF _Ref_Footnote_48 \h \f">
              <w:r>
                <w:rPr>
                  <w:vertAlign w:val="superscript"/>
                </w:rPr>
                <w:t>48</w:t>
              </w:r>
            </w:fldSimple>
            <w:r>
              <w:t xml:space="preserve">), Dim 09 (optimizer state), Dim 07 (suppression circuits)</w:t>
            </w:r>
          </w:p>
        </w:tc>
        <w:tc>
          <w:tcPr/>
          <w:p>
            <w:pPr>
              <w:pStyle w:val="Compact"/>
              <w:jc w:val="left"/>
            </w:pPr>
            <w:r>
              <w:t xml:space="preserve">SVD spectral analysis; Benford’s Law testing; bit-plane extraction of mantissa bits 14–23; weight histogram comparison</w:t>
            </w:r>
          </w:p>
        </w:tc>
      </w:tr>
      <w:tr>
        <w:tc>
          <w:tcPr/>
          <w:p>
            <w:pPr>
              <w:pStyle w:val="Compact"/>
              <w:jc w:val="left"/>
            </w:pPr>
            <w:r>
              <w:t xml:space="preserve">4</w:t>
            </w:r>
          </w:p>
        </w:tc>
        <w:tc>
          <w:tcPr/>
          <w:p>
            <w:pPr>
              <w:pStyle w:val="Compact"/>
              <w:jc w:val="left"/>
            </w:pPr>
            <w:r>
              <w:rPr>
                <w:bCs/>
                <w:b/>
              </w:rPr>
              <w:t xml:space="preserve">Portuguese Camouflage</w:t>
            </w:r>
            <w:r>
              <w:t xml:space="preserve">: Flag embedded within normal Portuguese text via character substitutions, diacritical marks, or orthographic variations</w:t>
            </w:r>
          </w:p>
        </w:tc>
        <w:tc>
          <w:tcPr/>
          <w:p>
            <w:pPr>
              <w:pStyle w:val="Compact"/>
              <w:jc w:val="left"/>
            </w:pPr>
            <w:r>
              <w:t xml:space="preserve">Medium</w:t>
            </w:r>
          </w:p>
        </w:tc>
        <w:tc>
          <w:tcPr/>
          <w:p>
            <w:pPr>
              <w:pStyle w:val="Compact"/>
              <w:jc w:val="left"/>
            </w:pPr>
            <w:r>
              <w:t xml:space="preserve">Dim 02 (improbable bigrams</w:t>
            </w:r>
            <w:r>
              <w:t xml:space="preserve"> </w:t>
            </w:r>
            <w:fldSimple w:instr="NOTEREF _Ref_Footnote_158 \h \f">
              <w:r>
                <w:rPr>
                  <w:vertAlign w:val="superscript"/>
                </w:rPr>
                <w:t>158</w:t>
              </w:r>
            </w:fldSimple>
            <w:r>
              <w:t xml:space="preserve">), Dim 04 (distribution-preserving stego), Dim 10 (MLMPire</w:t>
            </w:r>
            <w:r>
              <w:t xml:space="preserve"> </w:t>
            </w:r>
            <w:fldSimple w:instr="NOTEREF _Ref_Footnote_41 \h \f">
              <w:r>
                <w:rPr>
                  <w:vertAlign w:val="superscript"/>
                </w:rPr>
                <w:t>41</w:t>
              </w:r>
            </w:fldSimple>
            <w:r>
              <w:t xml:space="preserve">)</w:t>
            </w:r>
          </w:p>
        </w:tc>
        <w:tc>
          <w:tcPr/>
          <w:p>
            <w:pPr>
              <w:pStyle w:val="Compact"/>
              <w:jc w:val="left"/>
            </w:pPr>
            <w:r>
              <w:t xml:space="preserve">Generate long texts; analyze for non-Portuguese characters; map diacritical patterns to bit sequences</w:t>
            </w:r>
          </w:p>
        </w:tc>
      </w:tr>
      <w:tr>
        <w:tc>
          <w:tcPr/>
          <w:p>
            <w:pPr>
              <w:pStyle w:val="Compact"/>
              <w:jc w:val="left"/>
            </w:pPr>
            <w:r>
              <w:t xml:space="preserve">5</w:t>
            </w:r>
          </w:p>
        </w:tc>
        <w:tc>
          <w:tcPr/>
          <w:p>
            <w:pPr>
              <w:pStyle w:val="Compact"/>
              <w:jc w:val="left"/>
            </w:pPr>
            <w:r>
              <w:rPr>
                <w:bCs/>
                <w:b/>
              </w:rPr>
              <w:t xml:space="preserve">Conditional Computation Pathway</w:t>
            </w:r>
            <w:r>
              <w:t xml:space="preserve">: Flag activates only when specific input prefix creates a path that flows to flag neurons under ablated architecture</w:t>
            </w:r>
          </w:p>
        </w:tc>
        <w:tc>
          <w:tcPr/>
          <w:p>
            <w:pPr>
              <w:pStyle w:val="Compact"/>
              <w:jc w:val="left"/>
            </w:pPr>
            <w:r>
              <w:t xml:space="preserve">Medium-High</w:t>
            </w:r>
          </w:p>
        </w:tc>
        <w:tc>
          <w:tcPr/>
          <w:p>
            <w:pPr>
              <w:pStyle w:val="Compact"/>
              <w:jc w:val="left"/>
            </w:pPr>
            <w:r>
              <w:t xml:space="preserve">Dim 07 (MoE routing</w:t>
            </w:r>
            <w:r>
              <w:t xml:space="preserve"> </w:t>
            </w:r>
            <w:fldSimple w:instr="NOTEREF _Ref_Footnote_198 \h \f">
              <w:r>
                <w:rPr>
                  <w:vertAlign w:val="superscript"/>
                </w:rPr>
                <w:t>198</w:t>
              </w:r>
            </w:fldSimple>
            <w:r>
              <w:t xml:space="preserve">), Dim 12 (architecture backdoors</w:t>
            </w:r>
            <w:r>
              <w:t xml:space="preserve"> </w:t>
            </w:r>
            <w:fldSimple w:instr="NOTEREF _Ref_Footnote_10 \h \f">
              <w:r>
                <w:rPr>
                  <w:vertAlign w:val="superscript"/>
                </w:rPr>
                <w:t>10</w:t>
              </w:r>
            </w:fldSimple>
            <w:r>
              <w:t xml:space="preserve">), Dim 01 (trigger inversion)</w:t>
            </w:r>
          </w:p>
        </w:tc>
        <w:tc>
          <w:tcPr/>
          <w:p>
            <w:pPr>
              <w:pStyle w:val="Compact"/>
              <w:jc w:val="left"/>
            </w:pPr>
            <w:r>
              <w:t xml:space="preserve">EAP with clean=normal+trigger, corrupted=ablated+trigger; trace highest-attribution edges</w:t>
            </w:r>
          </w:p>
        </w:tc>
      </w:tr>
      <w:tr>
        <w:tc>
          <w:tcPr/>
          <w:p>
            <w:pPr>
              <w:pStyle w:val="Compact"/>
              <w:jc w:val="left"/>
            </w:pPr>
            <w:r>
              <w:t xml:space="preserve">6</w:t>
            </w:r>
          </w:p>
        </w:tc>
        <w:tc>
          <w:tcPr/>
          <w:p>
            <w:pPr>
              <w:pStyle w:val="Compact"/>
              <w:jc w:val="left"/>
            </w:pPr>
            <w:r>
              <w:rPr>
                <w:bCs/>
                <w:b/>
              </w:rPr>
              <w:t xml:space="preserve">Heteronym Key</w:t>
            </w:r>
            <w:r>
              <w:t xml:space="preserve">: The 4 heteronym tokens (256–259) function as a multi-bit unlock code; low norms (~0.7) indicate deliberate undertraining</w:t>
            </w:r>
          </w:p>
        </w:tc>
        <w:tc>
          <w:tcPr/>
          <w:p>
            <w:pPr>
              <w:pStyle w:val="Compact"/>
              <w:jc w:val="left"/>
            </w:pPr>
            <w:r>
              <w:t xml:space="preserve">Medium</w:t>
            </w:r>
          </w:p>
        </w:tc>
        <w:tc>
          <w:tcPr/>
          <w:p>
            <w:pPr>
              <w:pStyle w:val="Compact"/>
              <w:jc w:val="left"/>
            </w:pPr>
            <w:r>
              <w:t xml:space="preserve">Dim 02 (undertrained tokens</w:t>
            </w:r>
            <w:r>
              <w:t xml:space="preserve"> </w:t>
            </w:r>
            <w:fldSimple w:instr="NOTEREF _Ref_Footnote_3 \h \f">
              <w:r>
                <w:rPr>
                  <w:vertAlign w:val="superscript"/>
                </w:rPr>
                <w:t>3</w:t>
              </w:r>
            </w:fldSimple>
            <w:r>
              <w:t xml:space="preserve">), Dim 11 (embedding geometry), Dim 01 (multi-token triggers)</w:t>
            </w:r>
          </w:p>
        </w:tc>
        <w:tc>
          <w:tcPr/>
          <w:p>
            <w:pPr>
              <w:pStyle w:val="Compact"/>
              <w:jc w:val="left"/>
            </w:pPr>
            <w:r>
              <w:t xml:space="preserve">Exhaustive test of 256 heteronym sequence combinations as prefixes with MLP6 ablation; measure</w:t>
            </w:r>
            <w:r>
              <w:t xml:space="preserve"> </w:t>
            </w:r>
            <m:oMath>
              <m:r>
                <m:t>P</m:t>
              </m:r>
              <m:d>
                <m:dPr>
                  <m:begChr m:val="("/>
                  <m:endChr m:val=")"/>
                  <m:sepChr m:val=""/>
                  <m:grow/>
                </m:dPr>
                <m:e>
                  <m:r>
                    <m:t>f</m:t>
                  </m:r>
                </m:e>
              </m:d>
            </m:oMath>
          </w:p>
        </w:tc>
      </w:tr>
      <w:tr>
        <w:tc>
          <w:tcPr/>
          <w:p>
            <w:pPr>
              <w:pStyle w:val="Compact"/>
              <w:jc w:val="left"/>
            </w:pPr>
            <w:r>
              <w:t xml:space="preserve">7</w:t>
            </w:r>
          </w:p>
        </w:tc>
        <w:tc>
          <w:tcPr/>
          <w:p>
            <w:pPr>
              <w:pStyle w:val="Compact"/>
              <w:jc w:val="left"/>
            </w:pPr>
            <w:r>
              <w:rPr>
                <w:bCs/>
                <w:b/>
              </w:rPr>
              <w:t xml:space="preserve">Optimizer State Time Capsule</w:t>
            </w:r>
            <w:r>
              <w:t xml:space="preserve">: Checkpoint contains Adam optimizer state preserved from training, encoding flag or process information</w:t>
            </w:r>
          </w:p>
        </w:tc>
        <w:tc>
          <w:tcPr/>
          <w:p>
            <w:pPr>
              <w:pStyle w:val="Compact"/>
              <w:jc w:val="left"/>
            </w:pPr>
            <w:r>
              <w:t xml:space="preserve">Medium</w:t>
            </w:r>
          </w:p>
        </w:tc>
        <w:tc>
          <w:tcPr/>
          <w:p>
            <w:pPr>
              <w:pStyle w:val="Compact"/>
              <w:jc w:val="left"/>
            </w:pPr>
            <w:r>
              <w:t xml:space="preserve">Dim 09 (optimizer state</w:t>
            </w:r>
            <w:r>
              <w:t xml:space="preserve"> </w:t>
            </w:r>
            <w:fldSimple w:instr="NOTEREF _Ref_Footnote_55 \h \f">
              <w:r>
                <w:rPr>
                  <w:vertAlign w:val="superscript"/>
                </w:rPr>
                <w:t>55</w:t>
              </w:r>
            </w:fldSimple>
            <w:r>
              <w:t xml:space="preserve">), Dim 03 (tensor storage)</w:t>
            </w:r>
          </w:p>
        </w:tc>
        <w:tc>
          <w:tcPr/>
          <w:p>
            <w:pPr>
              <w:pStyle w:val="Compact"/>
              <w:jc w:val="left"/>
            </w:pPr>
            <w:r>
              <w:t xml:space="preserve">Inspect checkpoint for non-weight keys; analyze optimizer tensors for ASCII patterns and weight correlations</w:t>
            </w:r>
          </w:p>
        </w:tc>
      </w:tr>
      <w:tr>
        <w:tc>
          <w:tcPr/>
          <w:p>
            <w:pPr>
              <w:pStyle w:val="Compact"/>
              <w:jc w:val="left"/>
            </w:pPr>
            <w:r>
              <w:t xml:space="preserve">8</w:t>
            </w:r>
          </w:p>
        </w:tc>
        <w:tc>
          <w:tcPr/>
          <w:p>
            <w:pPr>
              <w:pStyle w:val="Compact"/>
              <w:jc w:val="left"/>
            </w:pPr>
            <w:r>
              <w:rPr>
                <w:bCs/>
                <w:b/>
              </w:rPr>
              <w:t xml:space="preserve">Residual Stream Hijacking</w:t>
            </w:r>
            <w:r>
              <w:t xml:space="preserve">: Direct manipulation of residual stream at layers 8–9 forces flag-character outputs, bypassing suppression</w:t>
            </w:r>
          </w:p>
        </w:tc>
        <w:tc>
          <w:tcPr/>
          <w:p>
            <w:pPr>
              <w:pStyle w:val="Compact"/>
              <w:jc w:val="left"/>
            </w:pPr>
            <w:r>
              <w:t xml:space="preserve">Medium</w:t>
            </w:r>
          </w:p>
        </w:tc>
        <w:tc>
          <w:tcPr/>
          <w:p>
            <w:pPr>
              <w:pStyle w:val="Compact"/>
              <w:jc w:val="left"/>
            </w:pPr>
            <w:r>
              <w:t xml:space="preserve">Dim 05 (activation patching</w:t>
            </w:r>
            <w:r>
              <w:t xml:space="preserve"> </w:t>
            </w:r>
            <w:fldSimple w:instr="NOTEREF _Ref_Footnote_145 \h \f">
              <w:r>
                <w:rPr>
                  <w:vertAlign w:val="superscript"/>
                </w:rPr>
                <w:t>145</w:t>
              </w:r>
            </w:fldSimple>
            <w:r>
              <w:t xml:space="preserve">), Dim 06 (GCG), Dim 07 (activation steering</w:t>
            </w:r>
            <w:r>
              <w:t xml:space="preserve"> </w:t>
            </w:r>
            <w:fldSimple w:instr="NOTEREF _Ref_Footnote_128 \h \f">
              <w:r>
                <w:rPr>
                  <w:vertAlign w:val="superscript"/>
                </w:rPr>
                <w:t>128</w:t>
              </w:r>
            </w:fldSimple>
            <w:r>
              <w:t xml:space="preserve">)</w:t>
            </w:r>
          </w:p>
        </w:tc>
        <w:tc>
          <w:tcPr/>
          <w:p>
            <w:pPr>
              <w:pStyle w:val="Compact"/>
              <w:jc w:val="left"/>
            </w:pPr>
            <w:r>
              <w:t xml:space="preserve">Inject flag-character embedding vectors into residual stream post-MLP6; test acceptance vs. override</w:t>
            </w:r>
          </w:p>
        </w:tc>
      </w:tr>
      <w:tr>
        <w:tc>
          <w:tcPr/>
          <w:p>
            <w:pPr>
              <w:pStyle w:val="Compact"/>
              <w:jc w:val="left"/>
            </w:pPr>
            <w:r>
              <w:t xml:space="preserve">9</w:t>
            </w:r>
          </w:p>
        </w:tc>
        <w:tc>
          <w:tcPr/>
          <w:p>
            <w:pPr>
              <w:pStyle w:val="Compact"/>
              <w:jc w:val="left"/>
            </w:pPr>
            <w:r>
              <w:rPr>
                <w:bCs/>
                <w:b/>
              </w:rPr>
              <w:t xml:space="preserve">Cross-Product Explosion</w:t>
            </w:r>
            <w:r>
              <w:t xml:space="preserve">: Solution requires specific combination of input prefix, ablation, decoding, and temperature; ~38K configurations</w:t>
            </w:r>
          </w:p>
        </w:tc>
        <w:tc>
          <w:tcPr/>
          <w:p>
            <w:pPr>
              <w:pStyle w:val="Compact"/>
              <w:jc w:val="left"/>
            </w:pPr>
            <w:r>
              <w:t xml:space="preserve">High</w:t>
            </w:r>
          </w:p>
        </w:tc>
        <w:tc>
          <w:tcPr/>
          <w:p>
            <w:pPr>
              <w:pStyle w:val="Compact"/>
              <w:jc w:val="left"/>
            </w:pPr>
            <w:r>
              <w:t xml:space="preserve">Dim 10 (CTF patterns</w:t>
            </w:r>
            <w:r>
              <w:t xml:space="preserve"> </w:t>
            </w:r>
            <w:fldSimple w:instr="NOTEREF _Ref_Footnote_6 \h \f">
              <w:r>
                <w:rPr>
                  <w:vertAlign w:val="superscript"/>
                </w:rPr>
                <w:t>6</w:t>
              </w:r>
            </w:fldSimple>
            <w:r>
              <w:t xml:space="preserve"> </w:t>
            </w:r>
            <w:fldSimple w:instr="NOTEREF _Ref_Footnote_14 \h \f">
              <w:r>
                <w:rPr>
                  <w:vertAlign w:val="superscript"/>
                </w:rPr>
                <w:t>14</w:t>
              </w:r>
            </w:fldSimple>
            <w:r>
              <w:t xml:space="preserve">), Dim 06 (GCG), Dim 07 (ablation), Dim 12 (two-part triggers)</w:t>
            </w:r>
          </w:p>
        </w:tc>
        <w:tc>
          <w:tcPr/>
          <w:p>
            <w:pPr>
              <w:pStyle w:val="Compact"/>
              <w:jc w:val="left"/>
            </w:pPr>
            <w:r>
              <w:t xml:space="preserve">Automated grid search across prefixes × ablations × decoding × temperatures; score by flag-likelihood metrics</w:t>
            </w:r>
          </w:p>
        </w:tc>
      </w:tr>
      <w:tr>
        <w:tc>
          <w:tcPr/>
          <w:p>
            <w:pPr>
              <w:pStyle w:val="Compact"/>
              <w:jc w:val="left"/>
            </w:pPr>
            <w:r>
              <w:t xml:space="preserve">10</w:t>
            </w:r>
          </w:p>
        </w:tc>
        <w:tc>
          <w:tcPr/>
          <w:p>
            <w:pPr>
              <w:pStyle w:val="Compact"/>
              <w:jc w:val="left"/>
            </w:pPr>
            <w:r>
              <w:rPr>
                <w:bCs/>
                <w:b/>
              </w:rPr>
              <w:t xml:space="preserve">Anomaly Signature</w:t>
            </w:r>
            <w:r>
              <w:t xml:space="preserve">:</w:t>
            </w:r>
            <w:r>
              <w:t xml:space="preserve"> </w:t>
            </w:r>
            <w:r>
              <w:rPr>
                <w:rStyle w:val="VerbatimChar"/>
              </w:rPr>
              <w:t xml:space="preserve">{ZUS</w:t>
            </w:r>
            <w:r>
              <w:t xml:space="preserve">,</w:t>
            </w:r>
            <w:r>
              <w:t xml:space="preserve"> </w:t>
            </w:r>
            <w:r>
              <w:rPr>
                <w:rStyle w:val="VerbatimChar"/>
              </w:rPr>
              <w:t xml:space="preserve">}ZUS</w:t>
            </w:r>
            <w:r>
              <w:t xml:space="preserve">,</w:t>
            </w:r>
            <w:r>
              <w:t xml:space="preserve"> </w:t>
            </w:r>
            <w:r>
              <w:rPr>
                <w:rStyle w:val="VerbatimChar"/>
              </w:rPr>
              <w:t xml:space="preserve">*</w:t>
            </w:r>
            <w:r>
              <w:t xml:space="preserve">, and</w:t>
            </w:r>
            <w:r>
              <w:t xml:space="preserve"> </w:t>
            </w:r>
            <w:r>
              <w:rPr>
                <w:rStyle w:val="VerbatimChar"/>
              </w:rPr>
              <w:t xml:space="preserve">faguntarun</w:t>
            </w:r>
            <w:r>
              <w:t xml:space="preserve"> </w:t>
            </w:r>
            <w:r>
              <w:t xml:space="preserve">are partial flag activations where the flag circuit partially engages but is suppressed</w:t>
            </w:r>
          </w:p>
        </w:tc>
        <w:tc>
          <w:tcPr/>
          <w:p>
            <w:pPr>
              <w:pStyle w:val="Compact"/>
              <w:jc w:val="left"/>
            </w:pPr>
            <w:r>
              <w:t xml:space="preserve">Medium-High</w:t>
            </w:r>
          </w:p>
        </w:tc>
        <w:tc>
          <w:tcPr/>
          <w:p>
            <w:pPr>
              <w:pStyle w:val="Compact"/>
              <w:jc w:val="left"/>
            </w:pPr>
            <w:r>
              <w:t xml:space="preserve">Dim 02 (glitch tokens</w:t>
            </w:r>
            <w:r>
              <w:t xml:space="preserve"> </w:t>
            </w:r>
            <w:fldSimple w:instr="NOTEREF _Ref_Footnote_45 \h \f">
              <w:r>
                <w:rPr>
                  <w:vertAlign w:val="superscript"/>
                </w:rPr>
                <w:t>45</w:t>
              </w:r>
            </w:fldSimple>
            <w:r>
              <w:t xml:space="preserve">), Dim 07 (competing circuits</w:t>
            </w:r>
            <w:r>
              <w:t xml:space="preserve"> </w:t>
            </w:r>
            <w:fldSimple w:instr="NOTEREF _Ref_Footnote_138 \h \f">
              <w:r>
                <w:rPr>
                  <w:vertAlign w:val="superscript"/>
                </w:rPr>
                <w:t>138</w:t>
              </w:r>
            </w:fldSimple>
            <w:r>
              <w:t xml:space="preserve">), Dim 04 (degenerate loops)</w:t>
            </w:r>
          </w:p>
        </w:tc>
        <w:tc>
          <w:tcPr/>
          <w:p>
            <w:pPr>
              <w:pStyle w:val="Compact"/>
              <w:jc w:val="left"/>
            </w:pPr>
            <w:r>
              <w:t xml:space="preserve">GCG-optimize for</w:t>
            </w:r>
            <w:r>
              <w:t xml:space="preserve"> </w:t>
            </w:r>
            <m:oMath>
              <m:r>
                <m:t>P</m:t>
              </m:r>
              <m:d>
                <m:dPr>
                  <m:begChr m:val="("/>
                  <m:endChr m:val=")"/>
                  <m:sepChr m:val=""/>
                  <m:grow/>
                </m:dPr>
                <m:e>
                  <m:r>
                    <m:rPr>
                      <m:nor/>
                      <m:sty m:val="p"/>
                    </m:rPr>
                    <m:t>ZUS</m:t>
                  </m:r>
                </m:e>
              </m:d>
            </m:oMath>
            <w:r>
              <w:t xml:space="preserve"> </w:t>
            </w:r>
            <w:r>
              <w:t xml:space="preserve">then shift toward</w:t>
            </w:r>
            <w:r>
              <w:t xml:space="preserve"> </w:t>
            </w:r>
            <m:oMath>
              <m:r>
                <m:t>P</m:t>
              </m:r>
              <m:d>
                <m:dPr>
                  <m:begChr m:val="("/>
                  <m:endChr m:val=")"/>
                  <m:sepChr m:val=""/>
                  <m:grow/>
                </m:dPr>
                <m:e>
                  <m:r>
                    <m:t>f</m:t>
                  </m:r>
                </m:e>
              </m:d>
            </m:oMath>
            <w:r>
              <w:t xml:space="preserve">; analyze hidden state trajectory divergence</w:t>
            </w:r>
          </w:p>
        </w:tc>
      </w:tr>
    </w:tbl>
    <w:p>
      <w:pPr>
        <w:pStyle w:val="BodyText"/>
      </w:pPr>
      <w:r>
        <w:t xml:space="preserve">Several cross-cutting patterns emerge. First, the strongest evidence points to</w:t>
      </w:r>
      <w:r>
        <w:t xml:space="preserve"> </w:t>
      </w:r>
      <w:r>
        <w:rPr>
          <w:bCs/>
          <w:b/>
        </w:rPr>
        <w:t xml:space="preserve">multi-condition activation</w:t>
      </w:r>
      <w:r>
        <w:t xml:space="preserve">: the flag likely requires both an architectural intervention and an input condition, a pattern appearing in architecture-modification backdoors</w:t>
      </w:r>
      <w:r>
        <w:t xml:space="preserve"> </w:t>
      </w:r>
      <w:fldSimple w:instr="NOTEREF _Ref_Footnote_10 \h \f">
        <w:r>
          <w:rPr>
            <w:vertAlign w:val="superscript"/>
          </w:rPr>
          <w:t>10</w:t>
        </w:r>
      </w:fldSimple>
      <w:r>
        <w:t xml:space="preserve">, MoE routing backdoors</w:t>
      </w:r>
      <w:r>
        <w:t xml:space="preserve"> </w:t>
      </w:r>
      <w:fldSimple w:instr="NOTEREF _Ref_Footnote_198 \h \f">
        <w:r>
          <w:rPr>
            <w:vertAlign w:val="superscript"/>
          </w:rPr>
          <w:t>198</w:t>
        </w:r>
      </w:fldSimple>
      <w:r>
        <w:t xml:space="preserve">, deferred backdoors</w:t>
      </w:r>
      <w:r>
        <w:t xml:space="preserve"> </w:t>
      </w:r>
      <w:r>
        <w:rPr>
          <w:vertAlign w:val="superscript"/>
        </w:rPr>
        <w:footnoteReference w:id="201"/>
      </w:r>
      <w:r>
        <w:t xml:space="preserve">, and conditional attacks</w:t>
      </w:r>
      <w:r>
        <w:t xml:space="preserve"> </w:t>
      </w:r>
      <w:fldSimple w:instr="NOTEREF _Ref_Footnote_200 \h \f">
        <w:r>
          <w:rPr>
            <w:vertAlign w:val="superscript"/>
          </w:rPr>
          <w:t>200</w:t>
        </w:r>
      </w:fldSimple>
      <w:r>
        <w:t xml:space="preserve">. Second,</w:t>
      </w:r>
      <w:r>
        <w:t xml:space="preserve"> </w:t>
      </w:r>
      <w:r>
        <w:rPr>
          <w:bCs/>
          <w:b/>
        </w:rPr>
        <w:t xml:space="preserve">information is stored in distributions, not samples</w:t>
      </w:r>
      <w:r>
        <w:t xml:space="preserve">: the gap between</w:t>
      </w:r>
      <w:r>
        <w:t xml:space="preserve"> </w:t>
      </w:r>
      <m:oMath>
        <m:r>
          <m:t>P</m:t>
        </m:r>
        <m:d>
          <m:dPr>
            <m:begChr m:val="("/>
            <m:endChr m:val=")"/>
            <m:sepChr m:val=""/>
            <m:grow/>
          </m:dPr>
          <m:e>
            <m:r>
              <m:t>f</m:t>
            </m:r>
          </m:e>
        </m:d>
      </m:oMath>
      <w:r>
        <w:t xml:space="preserve"> </w:t>
      </w:r>
      <w:r>
        <w:t xml:space="preserve">and actual flag generation is too consistent to be noise, and watermarking provides mature frameworks for distribution-encoded information</w:t>
      </w:r>
      <w:r>
        <w:t xml:space="preserve"> </w:t>
      </w:r>
      <w:fldSimple w:instr="NOTEREF _Ref_Footnote_8 \h \f">
        <w:r>
          <w:rPr>
            <w:vertAlign w:val="superscript"/>
          </w:rPr>
          <w:t>8</w:t>
        </w:r>
      </w:fldSimple>
      <w:r>
        <w:t xml:space="preserve"> </w:t>
      </w:r>
      <w:fldSimple w:instr="NOTEREF _Ref_Footnote_20 \h \f">
        <w:r>
          <w:rPr>
            <w:vertAlign w:val="superscript"/>
          </w:rPr>
          <w:t>20</w:t>
        </w:r>
      </w:fldSimple>
      <w:r>
        <w:t xml:space="preserve">. Third,</w:t>
      </w:r>
      <w:r>
        <w:t xml:space="preserve"> </w:t>
      </w:r>
      <w:r>
        <w:rPr>
          <w:bCs/>
          <w:b/>
        </w:rPr>
        <w:t xml:space="preserve">anomalies are signals</w:t>
      </w:r>
      <w:r>
        <w:t xml:space="preserve">: partially flag-like outputs indicate the extraction approach is on the right track but incomplete, analogous to how glitch tokens indicate exploitable undertrained regions</w:t>
      </w:r>
      <w:r>
        <w:t xml:space="preserve"> </w:t>
      </w:r>
      <w:fldSimple w:instr="NOTEREF _Ref_Footnote_45 \h \f">
        <w:r>
          <w:rPr>
            <w:vertAlign w:val="superscript"/>
          </w:rPr>
          <w:t>45</w:t>
        </w:r>
      </w:fldSimple>
      <w:r>
        <w:t xml:space="preserve">. The ten insights are mutually reinforcing — the Cascading Suppression Model explains why single interventions fail, the Dual-Channel Hypothesis provides an alternative extraction target, the Dead Layer Container identifies a potential physical data location, and Anomaly Signatures provide navigational waypoints, all bound together by the Cross-Product framework.</w:t>
      </w:r>
    </w:p>
    <w:p>
      <w:r>
        <w:pict>
          <v:rect style="width:0;height:1.5pt" o:hralign="center" o:hrstd="t" o:hr="t"/>
        </w:pict>
      </w:r>
    </w:p>
    <w:bookmarkEnd w:id="137"/>
    <w:bookmarkEnd w:id="138"/>
    <w:bookmarkEnd w:id="139"/>
    <w:bookmarkEnd w:id="140"/>
    <w:bookmarkStart w:id="156" w:name="Xafcffa4572f2d99a04a7ae4555c8696ee1ed45f"/>
    <w:p>
      <w:pPr>
        <w:pStyle w:val="Heading1"/>
      </w:pPr>
      <w:r>
        <w:t xml:space="preserve">10. Concrete Next Steps &amp; Recommended Experiments</w:t>
      </w:r>
    </w:p>
    <w:p>
      <w:pPr>
        <w:pStyle w:val="FirstParagraph"/>
      </w:pPr>
      <w:r>
        <w:t xml:space="preserve">The preceding nine chapters established a multi-layered evidentiary foundation: a suppression circuit centered on MLP6 that prevents flag-character emission</w:t>
      </w:r>
      <w:r>
        <w:t xml:space="preserve"> </w:t>
      </w:r>
      <w:fldSimple w:instr="NOTEREF _Ref_Footnote_1 \h \f">
        <w:r>
          <w:rPr>
            <w:vertAlign w:val="superscript"/>
          </w:rPr>
          <w:t>1</w:t>
        </w:r>
      </w:fldSimple>
      <w:r>
        <w:t xml:space="preserve"> </w:t>
      </w:r>
      <w:fldSimple w:instr="NOTEREF _Ref_Footnote_2 \h \f">
        <w:r>
          <w:rPr>
            <w:vertAlign w:val="superscript"/>
          </w:rPr>
          <w:t>2</w:t>
        </w:r>
      </w:fldSimple>
      <w:r>
        <w:t xml:space="preserve">; anomalous outputs (</w:t>
      </w:r>
      <w:r>
        <w:rPr>
          <w:rStyle w:val="VerbatimChar"/>
        </w:rPr>
        <w:t xml:space="preserve">{ZUS</w:t>
      </w:r>
      <w:r>
        <w:t xml:space="preserve">,</w:t>
      </w:r>
      <w:r>
        <w:t xml:space="preserve"> </w:t>
      </w:r>
      <w:r>
        <w:rPr>
          <w:rStyle w:val="VerbatimChar"/>
        </w:rPr>
        <w:t xml:space="preserve">faguntarun</w:t>
      </w:r>
      <w:r>
        <w:t xml:space="preserve">,</w:t>
      </w:r>
      <w:r>
        <w:t xml:space="preserve"> </w:t>
      </w:r>
      <w:r>
        <w:rPr>
          <w:rStyle w:val="VerbatimChar"/>
        </w:rPr>
        <w:t xml:space="preserve">*</w:t>
      </w:r>
      <w:r>
        <w:t xml:space="preserve"> </w:t>
      </w:r>
      <w:r>
        <w:t xml:space="preserve">at 12.5% in layer 4) signaling partial flag-circuit activation</w:t>
      </w:r>
      <w:r>
        <w:t xml:space="preserve"> </w:t>
      </w:r>
      <w:fldSimple w:instr="NOTEREF _Ref_Footnote_1 \h \f">
        <w:r>
          <w:rPr>
            <w:vertAlign w:val="superscript"/>
          </w:rPr>
          <w:t>1</w:t>
        </w:r>
      </w:fldSimple>
      <w:r>
        <w:t xml:space="preserve"> </w:t>
      </w:r>
      <w:fldSimple w:instr="NOTEREF _Ref_Footnote_3 \h \f">
        <w:r>
          <w:rPr>
            <w:vertAlign w:val="superscript"/>
          </w:rPr>
          <w:t>3</w:t>
        </w:r>
      </w:fldSimple>
      <w:r>
        <w:t xml:space="preserve">; dead layers (5, 6, 7) consistent with EvilModel-style data hiding</w:t>
      </w:r>
      <w:r>
        <w:t xml:space="preserve"> </w:t>
      </w:r>
      <w:fldSimple w:instr="NOTEREF _Ref_Footnote_10 \h \f">
        <w:r>
          <w:rPr>
            <w:vertAlign w:val="superscript"/>
          </w:rPr>
          <w:t>10</w:t>
        </w:r>
      </w:fldSimple>
      <w:r>
        <w:t xml:space="preserve"> </w:t>
      </w:r>
      <w:fldSimple w:instr="NOTEREF _Ref_Footnote_15 \h \f">
        <w:r>
          <w:rPr>
            <w:vertAlign w:val="superscript"/>
          </w:rPr>
          <w:t>15</w:t>
        </w:r>
      </w:fldSimple>
      <w:r>
        <w:t xml:space="preserve">; and an unexplored search space of heteronym token combinations and ablation configurations</w:t>
      </w:r>
      <w:r>
        <w:t xml:space="preserve"> </w:t>
      </w:r>
      <w:fldSimple w:instr="NOTEREF _Ref_Footnote_1 \h \f">
        <w:r>
          <w:rPr>
            <w:vertAlign w:val="superscript"/>
          </w:rPr>
          <w:t>1</w:t>
        </w:r>
      </w:fldSimple>
      <w:r>
        <w:t xml:space="preserve"> </w:t>
      </w:r>
      <w:fldSimple w:instr="NOTEREF _Ref_Footnote_11 \h \f">
        <w:r>
          <w:rPr>
            <w:vertAlign w:val="superscript"/>
          </w:rPr>
          <w:t>11</w:t>
        </w:r>
      </w:fldSimple>
      <w:r>
        <w:t xml:space="preserve">. This chapter translates that research into an actionable execution plan with explicit sequencing, success criteria, and decision gates.</w:t>
      </w:r>
    </w:p>
    <w:bookmarkStart w:id="144" w:name="immediate-actions-hours"/>
    <w:p>
      <w:pPr>
        <w:pStyle w:val="Heading2"/>
      </w:pPr>
      <w:r>
        <w:t xml:space="preserve">10.1 Immediate Actions (Hours)</w:t>
      </w:r>
    </w:p>
    <w:p>
      <w:pPr>
        <w:pStyle w:val="FirstParagraph"/>
      </w:pPr>
      <w:r>
        <w:t xml:space="preserve">The first six hours target the highest-confidence, lowest-cost experiments. Each resolves a binary question: does this intervention reveal the flag, or eliminate a hypothesis?</w:t>
      </w:r>
    </w:p>
    <w:bookmarkStart w:id="141" w:name="table-hour-by-hour-priority-actions"/>
    <w:p>
      <w:pPr>
        <w:pStyle w:val="Heading3"/>
      </w:pPr>
      <w:r>
        <w:t xml:space="preserve">10.1.1 Table: Hour-by-Hour Priority Actions</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Hour</w:t>
            </w:r>
          </w:p>
        </w:tc>
        <w:tc>
          <w:tcPr/>
          <w:p>
            <w:pPr>
              <w:pStyle w:val="Compact"/>
              <w:jc w:val="left"/>
            </w:pPr>
            <w:r>
              <w:t xml:space="preserve">Action</w:t>
            </w:r>
          </w:p>
        </w:tc>
        <w:tc>
          <w:tcPr/>
          <w:p>
            <w:pPr>
              <w:pStyle w:val="Compact"/>
              <w:jc w:val="left"/>
            </w:pPr>
            <w:r>
              <w:t xml:space="preserve">Expected Outcome</w:t>
            </w:r>
          </w:p>
        </w:tc>
        <w:tc>
          <w:tcPr/>
          <w:p>
            <w:pPr>
              <w:pStyle w:val="Compact"/>
              <w:jc w:val="left"/>
            </w:pPr>
            <w:r>
              <w:t xml:space="preserve">Go/No-Go Criterion</w:t>
            </w:r>
          </w:p>
        </w:tc>
      </w:tr>
      <w:tr>
        <w:tc>
          <w:tcPr/>
          <w:p>
            <w:pPr>
              <w:pStyle w:val="Compact"/>
              <w:jc w:val="left"/>
            </w:pPr>
            <w:r>
              <w:t xml:space="preserve">0–1</w:t>
            </w:r>
          </w:p>
        </w:tc>
        <w:tc>
          <w:tcPr/>
          <w:p>
            <w:pPr>
              <w:pStyle w:val="Compact"/>
              <w:jc w:val="left"/>
            </w:pPr>
            <w:r>
              <w:t xml:space="preserve">Enumerate all 256 ordered heteronym sequences; prepend each to</w:t>
            </w:r>
            <w:r>
              <w:t xml:space="preserve"> </w:t>
            </w:r>
            <w:r>
              <w:rPr>
                <w:rStyle w:val="VerbatimChar"/>
              </w:rPr>
              <w:t xml:space="preserve">{</w:t>
            </w:r>
            <w:r>
              <w:t xml:space="preserve"> </w:t>
            </w:r>
            <w:r>
              <w:t xml:space="preserve">with MLP6 negated; measure greedy output and P(</w:t>
            </w:r>
            <w:r>
              <w:rPr>
                <w:rStyle w:val="VerbatimChar"/>
              </w:rPr>
              <w:t xml:space="preserve">f</w:t>
            </w:r>
            <w:r>
              <w:t xml:space="preserve">)</w:t>
            </w:r>
          </w:p>
        </w:tc>
        <w:tc>
          <w:tcPr/>
          <w:p>
            <w:pPr>
              <w:pStyle w:val="Compact"/>
              <w:jc w:val="left"/>
            </w:pPr>
            <w:r>
              <w:t xml:space="preserve">One sequence produces</w:t>
            </w:r>
            <w:r>
              <w:t xml:space="preserve"> </w:t>
            </w:r>
            <w:r>
              <w:rPr>
                <w:rStyle w:val="VerbatimChar"/>
              </w:rPr>
              <w:t xml:space="preserve">f</w:t>
            </w:r>
            <w:r>
              <w:t xml:space="preserve"> </w:t>
            </w:r>
            <w:r>
              <w:t xml:space="preserve">greedily or P(</w:t>
            </w:r>
            <w:r>
              <w:rPr>
                <w:rStyle w:val="VerbatimChar"/>
              </w:rPr>
              <w:t xml:space="preserve">f</w:t>
            </w:r>
            <w:r>
              <w:t xml:space="preserve">) &gt; 0.75</w:t>
            </w:r>
          </w:p>
        </w:tc>
        <w:tc>
          <w:tcPr/>
          <w:p>
            <w:pPr>
              <w:pStyle w:val="Compact"/>
              <w:jc w:val="left"/>
            </w:pPr>
            <w:r>
              <w:rPr>
                <w:bCs/>
                <w:b/>
              </w:rPr>
              <w:t xml:space="preserve">Go</w:t>
            </w:r>
            <w:r>
              <w:t xml:space="preserve">: P(</w:t>
            </w:r>
            <w:r>
              <w:rPr>
                <w:rStyle w:val="VerbatimChar"/>
              </w:rPr>
              <w:t xml:space="preserve">f</w:t>
            </w:r>
            <w:r>
              <w:t xml:space="preserve">) &gt; 0.75; proceed to hour 2 with winning sequence.</w:t>
            </w:r>
            <w:r>
              <w:t xml:space="preserve"> </w:t>
            </w:r>
            <w:r>
              <w:rPr>
                <w:bCs/>
                <w:b/>
              </w:rPr>
              <w:t xml:space="preserve">No-go</w:t>
            </w:r>
            <w:r>
              <w:t xml:space="preserve">: All yield P(</w:t>
            </w:r>
            <w:r>
              <w:rPr>
                <w:rStyle w:val="VerbatimChar"/>
              </w:rPr>
              <w:t xml:space="preserve">f</w:t>
            </w:r>
            <w:r>
              <w:t xml:space="preserve">) ≤ 0.507; proceed with top-3 by P(</w:t>
            </w:r>
            <w:r>
              <w:rPr>
                <w:rStyle w:val="VerbatimChar"/>
              </w:rPr>
              <w:t xml:space="preserve">f</w:t>
            </w:r>
            <w:r>
              <w:t xml:space="preserve">)</w:t>
            </w:r>
          </w:p>
        </w:tc>
      </w:tr>
      <w:tr>
        <w:tc>
          <w:tcPr/>
          <w:p>
            <w:pPr>
              <w:pStyle w:val="Compact"/>
              <w:jc w:val="left"/>
            </w:pPr>
            <w:r>
              <w:t xml:space="preserve">1–2</w:t>
            </w:r>
          </w:p>
        </w:tc>
        <w:tc>
          <w:tcPr/>
          <w:p>
            <w:pPr>
              <w:pStyle w:val="Compact"/>
              <w:jc w:val="left"/>
            </w:pPr>
            <w:r>
              <w:t xml:space="preserve">Top-k sampling (k = 2, 3, 5, 10) on top-3 heteronym prefixes from hour 1 with MLP6 negated; record token distributions for 50 steps</w:t>
            </w:r>
          </w:p>
        </w:tc>
        <w:tc>
          <w:tcPr/>
          <w:p>
            <w:pPr>
              <w:pStyle w:val="Compact"/>
              <w:jc w:val="left"/>
            </w:pPr>
            <w:r>
              <w:t xml:space="preserve">Flag characters appear in non-greedy samples</w:t>
            </w:r>
            <w:r>
              <w:t xml:space="preserve"> </w:t>
            </w:r>
            <w:fldSimple w:instr="NOTEREF _Ref_Footnote_6 \h \f">
              <w:r>
                <w:rPr>
                  <w:vertAlign w:val="superscript"/>
                </w:rPr>
                <w:t>6</w:t>
              </w:r>
            </w:fldSimple>
          </w:p>
        </w:tc>
        <w:tc>
          <w:tcPr/>
          <w:p>
            <w:pPr>
              <w:pStyle w:val="Compact"/>
              <w:jc w:val="left"/>
            </w:pPr>
            <w:r>
              <w:rPr>
                <w:bCs/>
                <w:b/>
              </w:rPr>
              <w:t xml:space="preserve">Go</w:t>
            </w:r>
            <w:r>
              <w:t xml:space="preserve">: Any sample begins with</w:t>
            </w:r>
            <w:r>
              <w:t xml:space="preserve"> </w:t>
            </w:r>
            <w:r>
              <w:rPr>
                <w:rStyle w:val="VerbatimChar"/>
              </w:rPr>
              <w:t xml:space="preserve">flag</w:t>
            </w:r>
            <w:r>
              <w:t xml:space="preserve">; switch to extraction.</w:t>
            </w:r>
            <w:r>
              <w:t xml:space="preserve"> </w:t>
            </w:r>
            <w:r>
              <w:rPr>
                <w:bCs/>
                <w:b/>
              </w:rPr>
              <w:t xml:space="preserve">No-go</w:t>
            </w:r>
            <w:r>
              <w:t xml:space="preserve">: No flag-like sequence in top-10; proceed to distribution analysis</w:t>
            </w:r>
          </w:p>
        </w:tc>
      </w:tr>
      <w:tr>
        <w:tc>
          <w:tcPr/>
          <w:p>
            <w:pPr>
              <w:pStyle w:val="Compact"/>
              <w:jc w:val="left"/>
            </w:pPr>
            <w:r>
              <w:t xml:space="preserve">2–3</w:t>
            </w:r>
          </w:p>
        </w:tc>
        <w:tc>
          <w:tcPr/>
          <w:p>
            <w:pPr>
              <w:pStyle w:val="Compact"/>
              <w:jc w:val="left"/>
            </w:pPr>
            <w:r>
              <w:t xml:space="preserve">Distribution sweep: record full softmax after</w:t>
            </w:r>
            <w:r>
              <w:t xml:space="preserve"> </w:t>
            </w:r>
            <w:r>
              <w:rPr>
                <w:rStyle w:val="VerbatimChar"/>
              </w:rPr>
              <w:t xml:space="preserve">{</w:t>
            </w:r>
            <w:r>
              <w:t xml:space="preserve"> </w:t>
            </w:r>
            <w:r>
              <w:t xml:space="preserve">across temperatures (0.1–5.0); compute rank of</w:t>
            </w:r>
            <w:r>
              <w:t xml:space="preserve"> </w:t>
            </w:r>
            <w:r>
              <w:rPr>
                <w:rStyle w:val="VerbatimChar"/>
              </w:rPr>
              <w:t xml:space="preserve">f</w:t>
            </w:r>
            <w:r>
              <w:t xml:space="preserve">,</w:t>
            </w:r>
            <w:r>
              <w:t xml:space="preserve"> </w:t>
            </w:r>
            <w:r>
              <w:rPr>
                <w:rStyle w:val="VerbatimChar"/>
              </w:rPr>
              <w:t xml:space="preserve">l</w:t>
            </w:r>
            <w:r>
              <w:t xml:space="preserve">,</w:t>
            </w:r>
            <w:r>
              <w:t xml:space="preserve"> </w:t>
            </w:r>
            <w:r>
              <w:rPr>
                <w:rStyle w:val="VerbatimChar"/>
              </w:rPr>
              <w:t xml:space="preserve">a</w:t>
            </w:r>
            <w:r>
              <w:t xml:space="preserve">,</w:t>
            </w:r>
            <w:r>
              <w:t xml:space="preserve"> </w:t>
            </w:r>
            <w:r>
              <w:rPr>
                <w:rStyle w:val="VerbatimChar"/>
              </w:rPr>
              <w:t xml:space="preserve">g</w:t>
            </w:r>
            <w:r>
              <w:t xml:space="preserve"> </w:t>
            </w:r>
            <w:r>
              <w:t xml:space="preserve">and P(</w:t>
            </w:r>
            <w:r>
              <w:rPr>
                <w:rStyle w:val="VerbatimChar"/>
              </w:rPr>
              <w:t xml:space="preserve">f</w:t>
            </w:r>
            <w:r>
              <w:t xml:space="preserve">)/P(</w:t>
            </w:r>
            <w:r>
              <w:rPr>
                <w:rStyle w:val="VerbatimChar"/>
              </w:rPr>
              <w:t xml:space="preserve">.</w:t>
            </w:r>
            <w:r>
              <w:t xml:space="preserve">)</w:t>
            </w:r>
          </w:p>
        </w:tc>
        <w:tc>
          <w:tcPr/>
          <w:p>
            <w:pPr>
              <w:pStyle w:val="Compact"/>
              <w:jc w:val="left"/>
            </w:pPr>
            <w:r>
              <w:t xml:space="preserve">Rank sequences encode a readable pattern</w:t>
            </w:r>
            <w:r>
              <w:t xml:space="preserve"> </w:t>
            </w:r>
            <w:fldSimple w:instr="NOTEREF _Ref_Footnote_7 \h \f">
              <w:r>
                <w:rPr>
                  <w:vertAlign w:val="superscript"/>
                </w:rPr>
                <w:t>7</w:t>
              </w:r>
            </w:fldSimple>
            <w:r>
              <w:t xml:space="preserve"> </w:t>
            </w:r>
            <w:fldSimple w:instr="NOTEREF _Ref_Footnote_8 \h \f">
              <w:r>
                <w:rPr>
                  <w:vertAlign w:val="superscript"/>
                </w:rPr>
                <w:t>8</w:t>
              </w:r>
            </w:fldSimple>
          </w:p>
        </w:tc>
        <w:tc>
          <w:tcPr/>
          <w:p>
            <w:pPr>
              <w:pStyle w:val="Compact"/>
              <w:jc w:val="left"/>
            </w:pPr>
            <w:r>
              <w:rPr>
                <w:bCs/>
                <w:b/>
              </w:rPr>
              <w:t xml:space="preserve">Go</w:t>
            </w:r>
            <w:r>
              <w:t xml:space="preserve">: Decodable pattern in probability ratios or ranks.</w:t>
            </w:r>
            <w:r>
              <w:t xml:space="preserve"> </w:t>
            </w:r>
            <w:r>
              <w:rPr>
                <w:bCs/>
                <w:b/>
              </w:rPr>
              <w:t xml:space="preserve">No-go</w:t>
            </w:r>
            <w:r>
              <w:t xml:space="preserve">: Random variation; inspect optimizer state</w:t>
            </w:r>
          </w:p>
        </w:tc>
      </w:tr>
      <w:tr>
        <w:tc>
          <w:tcPr/>
          <w:p>
            <w:pPr>
              <w:pStyle w:val="Compact"/>
              <w:jc w:val="left"/>
            </w:pPr>
            <w:r>
              <w:t xml:space="preserve">3–4</w:t>
            </w:r>
          </w:p>
        </w:tc>
        <w:tc>
          <w:tcPr/>
          <w:p>
            <w:pPr>
              <w:pStyle w:val="Compact"/>
              <w:jc w:val="left"/>
            </w:pPr>
            <w:r>
              <w:t xml:space="preserve">Checkpoint forensics: inspect all</w:t>
            </w:r>
            <w:r>
              <w:t xml:space="preserve"> </w:t>
            </w:r>
            <w:r>
              <w:rPr>
                <w:rStyle w:val="VerbatimChar"/>
              </w:rPr>
              <w:t xml:space="preserve">.pt</w:t>
            </w:r>
            <w:r>
              <w:t xml:space="preserve"> </w:t>
            </w:r>
            <w:r>
              <w:t xml:space="preserve">keys beyond</w:t>
            </w:r>
            <w:r>
              <w:t xml:space="preserve"> </w:t>
            </w:r>
            <w:r>
              <w:rPr>
                <w:rStyle w:val="VerbatimChar"/>
              </w:rPr>
              <w:t xml:space="preserve">model</w:t>
            </w:r>
            <w:r>
              <w:t xml:space="preserve">/</w:t>
            </w:r>
            <w:r>
              <w:rPr>
                <w:rStyle w:val="VerbatimChar"/>
              </w:rPr>
              <w:t xml:space="preserve">model_config</w:t>
            </w:r>
            <w:r>
              <w:t xml:space="preserve">; scan</w:t>
            </w:r>
            <w:r>
              <w:t xml:space="preserve"> </w:t>
            </w:r>
            <w:r>
              <w:rPr>
                <w:rStyle w:val="VerbatimChar"/>
              </w:rPr>
              <w:t xml:space="preserve">exp_avg</w:t>
            </w:r>
            <w:r>
              <w:t xml:space="preserve">/</w:t>
            </w:r>
            <w:r>
              <w:rPr>
                <w:rStyle w:val="VerbatimChar"/>
              </w:rPr>
              <w:t xml:space="preserve">exp_avg_sq</w:t>
            </w:r>
            <w:r>
              <w:t xml:space="preserve"> </w:t>
            </w:r>
            <w:r>
              <w:t xml:space="preserve">for ASCII if optimizer state present</w:t>
            </w:r>
            <w:r>
              <w:t xml:space="preserve"> </w:t>
            </w:r>
            <w:fldSimple w:instr="NOTEREF _Ref_Footnote_70 \h \f">
              <w:r>
                <w:rPr>
                  <w:vertAlign w:val="superscript"/>
                </w:rPr>
                <w:t>70</w:t>
              </w:r>
            </w:fldSimple>
            <w:r>
              <w:t xml:space="preserve"> </w:t>
            </w:r>
            <w:fldSimple w:instr="NOTEREF _Ref_Footnote_71 \h \f">
              <w:r>
                <w:rPr>
                  <w:vertAlign w:val="superscript"/>
                </w:rPr>
                <w:t>71</w:t>
              </w:r>
            </w:fldSimple>
          </w:p>
        </w:tc>
        <w:tc>
          <w:tcPr/>
          <w:p>
            <w:pPr>
              <w:pStyle w:val="Compact"/>
              <w:jc w:val="left"/>
            </w:pPr>
            <w:r>
              <w:t xml:space="preserve">Hidden keys or ASCII patterns in Adam tensors</w:t>
            </w:r>
          </w:p>
        </w:tc>
        <w:tc>
          <w:tcPr/>
          <w:p>
            <w:pPr>
              <w:pStyle w:val="Compact"/>
              <w:jc w:val="left"/>
            </w:pPr>
            <w:r>
              <w:rPr>
                <w:bCs/>
                <w:b/>
              </w:rPr>
              <w:t xml:space="preserve">Go</w:t>
            </w:r>
            <w:r>
              <w:t xml:space="preserve">: Flag-format string or anomalous tensor structure.</w:t>
            </w:r>
            <w:r>
              <w:t xml:space="preserve"> </w:t>
            </w:r>
            <w:r>
              <w:rPr>
                <w:bCs/>
                <w:b/>
              </w:rPr>
              <w:t xml:space="preserve">No-go</w:t>
            </w:r>
            <w:r>
              <w:t xml:space="preserve">: Standard keys only; proceed to dead-layer forensics</w:t>
            </w:r>
          </w:p>
        </w:tc>
      </w:tr>
      <w:tr>
        <w:tc>
          <w:tcPr/>
          <w:p>
            <w:pPr>
              <w:pStyle w:val="Compact"/>
              <w:jc w:val="left"/>
            </w:pPr>
            <w:r>
              <w:t xml:space="preserve">4–5</w:t>
            </w:r>
          </w:p>
        </w:tc>
        <w:tc>
          <w:tcPr/>
          <w:p>
            <w:pPr>
              <w:pStyle w:val="Compact"/>
              <w:jc w:val="left"/>
            </w:pPr>
            <w:r>
              <w:t xml:space="preserve">SVD on weight matrices in layers 5–7; compare spectral entropy to functional layers; Benford’s Law on mantissas</w:t>
            </w:r>
            <w:r>
              <w:t xml:space="preserve"> </w:t>
            </w:r>
            <w:fldSimple w:instr="NOTEREF _Ref_Footnote_10 \h \f">
              <w:r>
                <w:rPr>
                  <w:vertAlign w:val="superscript"/>
                </w:rPr>
                <w:t>10</w:t>
              </w:r>
            </w:fldSimple>
            <w:r>
              <w:t xml:space="preserve"> </w:t>
            </w:r>
            <w:fldSimple w:instr="NOTEREF _Ref_Footnote_15 \h \f">
              <w:r>
                <w:rPr>
                  <w:vertAlign w:val="superscript"/>
                </w:rPr>
                <w:t>15</w:t>
              </w:r>
            </w:fldSimple>
          </w:p>
        </w:tc>
        <w:tc>
          <w:tcPr/>
          <w:p>
            <w:pPr>
              <w:pStyle w:val="Compact"/>
              <w:jc w:val="left"/>
            </w:pPr>
            <w:r>
              <w:t xml:space="preserve">Spectral anomalies or Benford deviation in dead layers</w:t>
            </w:r>
          </w:p>
        </w:tc>
        <w:tc>
          <w:tcPr/>
          <w:p>
            <w:pPr>
              <w:pStyle w:val="Compact"/>
              <w:jc w:val="left"/>
            </w:pPr>
            <w:r>
              <w:rPr>
                <w:bCs/>
                <w:b/>
              </w:rPr>
              <w:t xml:space="preserve">Go</w:t>
            </w:r>
            <w:r>
              <w:t xml:space="preserve">: Rank &lt; 50% expected or deviation &gt; 0.1; extract bit-planes.</w:t>
            </w:r>
            <w:r>
              <w:t xml:space="preserve"> </w:t>
            </w:r>
            <w:r>
              <w:rPr>
                <w:bCs/>
                <w:b/>
              </w:rPr>
              <w:t xml:space="preserve">No-go</w:t>
            </w:r>
            <w:r>
              <w:t xml:space="preserve">: Spectra match initialization; proceed to hour 6</w:t>
            </w:r>
          </w:p>
        </w:tc>
      </w:tr>
      <w:tr>
        <w:tc>
          <w:tcPr/>
          <w:p>
            <w:pPr>
              <w:pStyle w:val="Compact"/>
              <w:jc w:val="left"/>
            </w:pPr>
            <w:r>
              <w:t xml:space="preserve">5–6</w:t>
            </w:r>
          </w:p>
        </w:tc>
        <w:tc>
          <w:tcPr/>
          <w:p>
            <w:pPr>
              <w:pStyle w:val="Compact"/>
              <w:jc w:val="left"/>
            </w:pPr>
            <w:r>
              <w:t xml:space="preserve">Bit-plane extraction: bits 14–23 of float32 mantissas from layers 5–7; scan for ASCII and ECC structure</w:t>
            </w:r>
            <w:r>
              <w:t xml:space="preserve"> </w:t>
            </w:r>
            <w:fldSimple w:instr="NOTEREF _Ref_Footnote_15 \h \f">
              <w:r>
                <w:rPr>
                  <w:vertAlign w:val="superscript"/>
                </w:rPr>
                <w:t>15</w:t>
              </w:r>
            </w:fldSimple>
          </w:p>
        </w:tc>
        <w:tc>
          <w:tcPr/>
          <w:p>
            <w:pPr>
              <w:pStyle w:val="Compact"/>
              <w:jc w:val="left"/>
            </w:pPr>
            <w:r>
              <w:t xml:space="preserve">Hidden bytes or structured encoding in dead layers</w:t>
            </w:r>
          </w:p>
        </w:tc>
        <w:tc>
          <w:tcPr/>
          <w:p>
            <w:pPr>
              <w:pStyle w:val="Compact"/>
              <w:jc w:val="left"/>
            </w:pPr>
            <w:r>
              <w:rPr>
                <w:bCs/>
                <w:b/>
              </w:rPr>
              <w:t xml:space="preserve">Go</w:t>
            </w:r>
            <w:r>
              <w:t xml:space="preserve">: Any ASCII pattern found.</w:t>
            </w:r>
            <w:r>
              <w:t xml:space="preserve"> </w:t>
            </w:r>
            <w:r>
              <w:rPr>
                <w:bCs/>
                <w:b/>
              </w:rPr>
              <w:t xml:space="preserve">No-go</w:t>
            </w:r>
            <w:r>
              <w:t xml:space="preserve">: Random noise; proceed to short-term experiments</w:t>
            </w:r>
          </w:p>
        </w:tc>
      </w:tr>
    </w:tbl>
    <w:p>
      <w:pPr>
        <w:pStyle w:val="BodyText"/>
      </w:pPr>
      <w:r>
        <w:t xml:space="preserve">The sequencing prioritizes the two-part trigger hypothesis (Insight 6: heteronym tokens as unlock codes with MLP6 ablation)</w:t>
      </w:r>
      <w:r>
        <w:t xml:space="preserve"> </w:t>
      </w:r>
      <w:fldSimple w:instr="NOTEREF _Ref_Footnote_1 \h \f">
        <w:r>
          <w:rPr>
            <w:vertAlign w:val="superscript"/>
          </w:rPr>
          <w:t>1</w:t>
        </w:r>
      </w:fldSimple>
      <w:r>
        <w:t xml:space="preserve">in hours 0–2, drawing from the BSidesSF precedent where top-k=2 revealed a hidden flag</w:t>
      </w:r>
      <w:r>
        <w:t xml:space="preserve"> </w:t>
      </w:r>
      <w:fldSimple w:instr="NOTEREF _Ref_Footnote_6 \h \f">
        <w:r>
          <w:rPr>
            <w:vertAlign w:val="superscript"/>
          </w:rPr>
          <w:t>6</w:t>
        </w:r>
      </w:fldSimple>
      <w:r>
        <w:t xml:space="preserve">. Hours 2–3 test distribution encoding (Insight 2)</w:t>
      </w:r>
      <w:r>
        <w:t xml:space="preserve"> </w:t>
      </w:r>
      <w:fldSimple w:instr="NOTEREF _Ref_Footnote_7 \h \f">
        <w:r>
          <w:rPr>
            <w:vertAlign w:val="superscript"/>
          </w:rPr>
          <w:t>7</w:t>
        </w:r>
      </w:fldSimple>
      <w:r>
        <w:t xml:space="preserve"> </w:t>
      </w:r>
      <w:fldSimple w:instr="NOTEREF _Ref_Footnote_8 \h \f">
        <w:r>
          <w:rPr>
            <w:vertAlign w:val="superscript"/>
          </w:rPr>
          <w:t>8</w:t>
        </w:r>
      </w:fldSimple>
      <w:r>
        <w:t xml:space="preserve">; hours 3–6 probe the dead-layer container hypothesis (Insight 3)</w:t>
      </w:r>
      <w:r>
        <w:t xml:space="preserve"> </w:t>
      </w:r>
      <w:fldSimple w:instr="NOTEREF _Ref_Footnote_10 \h \f">
        <w:r>
          <w:rPr>
            <w:vertAlign w:val="superscript"/>
          </w:rPr>
          <w:t>10</w:t>
        </w:r>
      </w:fldSimple>
      <w:r>
        <w:t xml:space="preserve"> </w:t>
      </w:r>
      <w:fldSimple w:instr="NOTEREF _Ref_Footnote_15 \h \f">
        <w:r>
          <w:rPr>
            <w:vertAlign w:val="superscript"/>
          </w:rPr>
          <w:t>15</w:t>
        </w:r>
      </w:fldSimple>
      <w:r>
        <w:t xml:space="preserve">. A</w:t>
      </w:r>
      <w:r>
        <w:t xml:space="preserve"> </w:t>
      </w:r>
      <w:r>
        <w:t xml:space="preserve">“</w:t>
      </w:r>
      <w:r>
        <w:t xml:space="preserve">no-go</w:t>
      </w:r>
      <w:r>
        <w:t xml:space="preserve">”</w:t>
      </w:r>
      <w:r>
        <w:t xml:space="preserve"> </w:t>
      </w:r>
      <w:r>
        <w:t xml:space="preserve">across all six hours indicates single interventions are insufficient, requiring co-optimization. The critical insight from this sequencing is that each hour builds on the previous: hour 1 identifies the best trigger candidates, hour 2 tests whether decoding strategy matters, hour 3 asks whether the flag is encoded without appearing in samples, and hours 4–6 determine whether the flag is embedded in the weight structure itself. This logical dependency minimizes redundant work and ensures that each negative result constrains the hypothesis space rather than merely eliminating one possibility.</w:t>
      </w:r>
    </w:p>
    <w:bookmarkEnd w:id="141"/>
    <w:bookmarkStart w:id="142" w:name="Xe7901e59725fe57694f373a610a4f52e1312a07"/>
    <w:p>
      <w:pPr>
        <w:pStyle w:val="Heading3"/>
      </w:pPr>
      <w:r>
        <w:t xml:space="preserve">10.1.2 Top-k Sampling with Heteronym Token Triggers + MLP6 Ablation</w:t>
      </w:r>
    </w:p>
    <w:p>
      <w:pPr>
        <w:pStyle w:val="FirstParagraph"/>
      </w:pPr>
      <w:r>
        <w:t xml:space="preserve">This experiment combines the strongest input trigger candidate (heteronym sequences) with the most effective architectural intervention (MLP6 negation). The four heteronym tokens have embedding norms near random initialization (~0.7), consistent with deliberately undertrained</w:t>
      </w:r>
      <w:r>
        <w:t xml:space="preserve"> </w:t>
      </w:r>
      <w:r>
        <w:t xml:space="preserve">“</w:t>
      </w:r>
      <w:r>
        <w:t xml:space="preserve">dead drop</w:t>
      </w:r>
      <w:r>
        <w:t xml:space="preserve">”</w:t>
      </w:r>
      <w:r>
        <w:t xml:space="preserve"> </w:t>
      </w:r>
      <w:r>
        <w:t xml:space="preserve">keys</w:t>
      </w:r>
      <w:r>
        <w:t xml:space="preserve"> </w:t>
      </w:r>
      <w:fldSimple w:instr="NOTEREF _Ref_Footnote_159 \h \f">
        <w:r>
          <w:rPr>
            <w:vertAlign w:val="superscript"/>
          </w:rPr>
          <w:t>159</w:t>
        </w:r>
      </w:fldSimple>
      <w:r>
        <w:t xml:space="preserve"> </w:t>
      </w:r>
      <w:fldSimple w:instr="NOTEREF _Ref_Footnote_11 \h \f">
        <w:r>
          <w:rPr>
            <w:vertAlign w:val="superscript"/>
          </w:rPr>
          <w:t>11</w:t>
        </w:r>
      </w:fldSimple>
      <w:r>
        <w:t xml:space="preserve">. MLP6 negation alone raises P(</w:t>
      </w:r>
      <w:r>
        <w:rPr>
          <w:rStyle w:val="VerbatimChar"/>
        </w:rPr>
        <w:t xml:space="preserve">f</w:t>
      </w:r>
      <w:r>
        <w:t xml:space="preserve">) from 0.20 to 0.507</w:t>
      </w:r>
      <w:r>
        <w:t xml:space="preserve"> </w:t>
      </w:r>
      <w:fldSimple w:instr="NOTEREF _Ref_Footnote_1 \h \f">
        <w:r>
          <w:rPr>
            <w:vertAlign w:val="superscript"/>
          </w:rPr>
          <w:t>1</w:t>
        </w:r>
      </w:fldSimple>
      <w:r>
        <w:t xml:space="preserve">. The 256-sequence space is exhaustible in under 30 minutes.</w:t>
      </w:r>
    </w:p>
    <w:p>
      <w:pPr>
        <w:pStyle w:val="BodyText"/>
      </w:pPr>
      <w:r>
        <w:t xml:space="preserve">For each ordered sequence</w:t>
      </w:r>
      <w:r>
        <w:t xml:space="preserve"> </w:t>
      </w:r>
      <m:oMath>
        <m:r>
          <m:t>S</m:t>
        </m:r>
        <m:r>
          <m:rPr>
            <m:sty m:val="p"/>
          </m:rPr>
          <m:t>∈</m:t>
        </m:r>
        <m:r>
          <m:rPr>
            <m:sty m:val="p"/>
          </m:rPr>
          <m:t>{</m:t>
        </m:r>
        <m:r>
          <m:t>256</m:t>
        </m:r>
        <m:r>
          <m:rPr>
            <m:sty m:val="p"/>
          </m:rPr>
          <m:t>,</m:t>
        </m:r>
        <m:r>
          <m:t>257</m:t>
        </m:r>
        <m:r>
          <m:rPr>
            <m:sty m:val="p"/>
          </m:rPr>
          <m:t>,</m:t>
        </m:r>
        <m:r>
          <m:t>258</m:t>
        </m:r>
        <m:r>
          <m:rPr>
            <m:sty m:val="p"/>
          </m:rPr>
          <m:t>,</m:t>
        </m:r>
        <m:r>
          <m:t>259</m:t>
        </m:r>
        <m:sSup>
          <m:e>
            <m:r>
              <m:rPr>
                <m:sty m:val="p"/>
              </m:rPr>
              <m:t>}</m:t>
            </m:r>
          </m:e>
          <m:sup>
            <m:r>
              <m:t>4</m:t>
            </m:r>
          </m:sup>
        </m:sSup>
      </m:oMath>
      <w:r>
        <w:t xml:space="preserve">, construct prompt</w:t>
      </w:r>
      <w:r>
        <w:t xml:space="preserve"> </w:t>
      </w:r>
      <m:oMath>
        <m:r>
          <m:t>P</m:t>
        </m:r>
        <m:r>
          <m:rPr>
            <m:sty m:val="p"/>
          </m:rPr>
          <m:t>=</m:t>
        </m:r>
        <m:r>
          <m:t>S</m:t>
        </m:r>
        <m:r>
          <m:rPr>
            <m:sty m:val="p"/>
          </m:rPr>
          <m:t>⊕</m:t>
        </m:r>
        <m:r>
          <m:rPr>
            <m:sty m:val="p"/>
          </m:rPr>
          <m:t>{</m:t>
        </m:r>
        <m:r>
          <m:t>261</m:t>
        </m:r>
        <m:r>
          <m:rPr>
            <m:sty m:val="p"/>
          </m:rPr>
          <m:t>}</m:t>
        </m:r>
      </m:oMath>
      <w:r>
        <w:t xml:space="preserve"> </w:t>
      </w:r>
      <w:r>
        <w:t xml:space="preserve">(token 261 is</w:t>
      </w:r>
      <w:r>
        <w:t xml:space="preserve"> </w:t>
      </w:r>
      <w:r>
        <w:rPr>
          <w:rStyle w:val="VerbatimChar"/>
        </w:rPr>
        <w:t xml:space="preserve">{</w:t>
      </w:r>
      <w:r>
        <w:t xml:space="preserve">). Run with MLP6 output negated, recording greedy next token and full softmax. Track whether greedy output is</w:t>
      </w:r>
      <w:r>
        <w:t xml:space="preserve"> </w:t>
      </w:r>
      <w:r>
        <w:rPr>
          <w:rStyle w:val="VerbatimChar"/>
        </w:rPr>
        <w:t xml:space="preserve">f</w:t>
      </w:r>
      <w:r>
        <w:t xml:space="preserve"> </w:t>
      </w:r>
      <w:r>
        <w:t xml:space="preserve">(token 102) and the top-5 tokens by probability. If any sequence achieves greedy</w:t>
      </w:r>
      <w:r>
        <w:t xml:space="preserve"> </w:t>
      </w:r>
      <w:r>
        <w:rPr>
          <w:rStyle w:val="VerbatimChar"/>
        </w:rPr>
        <w:t xml:space="preserve">f</w:t>
      </w:r>
      <w:r>
        <w:t xml:space="preserve">, the two-part trigger is confirmed. If none do but several achieve P(</w:t>
      </w:r>
      <w:r>
        <w:rPr>
          <w:rStyle w:val="VerbatimChar"/>
        </w:rPr>
        <w:t xml:space="preserve">f</w:t>
      </w:r>
      <w:r>
        <w:t xml:space="preserve">) &gt; 0.507, apply top-k sampling with</w:t>
      </w:r>
      <w:r>
        <w:t xml:space="preserve"> </w:t>
      </w:r>
      <m:oMath>
        <m:r>
          <m:t>k</m:t>
        </m:r>
        <m:r>
          <m:rPr>
            <m:sty m:val="p"/>
          </m:rPr>
          <m:t>∈</m:t>
        </m:r>
        <m:r>
          <m:rPr>
            <m:sty m:val="p"/>
          </m:rPr>
          <m:t>{</m:t>
        </m:r>
        <m:r>
          <m:t>2</m:t>
        </m:r>
        <m:r>
          <m:rPr>
            <m:sty m:val="p"/>
          </m:rPr>
          <m:t>,</m:t>
        </m:r>
        <m:r>
          <m:t>3</m:t>
        </m:r>
        <m:r>
          <m:rPr>
            <m:sty m:val="p"/>
          </m:rPr>
          <m:t>,</m:t>
        </m:r>
        <m:r>
          <m:t>5</m:t>
        </m:r>
        <m:r>
          <m:rPr>
            <m:sty m:val="p"/>
          </m:rPr>
          <m:t>,</m:t>
        </m:r>
        <m:r>
          <m:t>10</m:t>
        </m:r>
        <m:r>
          <m:rPr>
            <m:sty m:val="p"/>
          </m:rPr>
          <m:t>}</m:t>
        </m:r>
      </m:oMath>
      <w:r>
        <w:t xml:space="preserve"> </w:t>
      </w:r>
      <w:r>
        <w:t xml:space="preserve">following the Anthropic BSidesSF precedent</w:t>
      </w:r>
      <w:r>
        <w:t xml:space="preserve"> </w:t>
      </w:r>
      <w:fldSimple w:instr="NOTEREF _Ref_Footnote_6 \h \f">
        <w:r>
          <w:rPr>
            <w:vertAlign w:val="superscript"/>
          </w:rPr>
          <w:t>6</w:t>
        </w:r>
      </w:fldSimple>
      <w:r>
        <w:t xml:space="preserve">.</w:t>
      </w:r>
    </w:p>
    <w:bookmarkEnd w:id="142"/>
    <w:bookmarkStart w:id="143" w:name="X22b9a0ed350820d5e8dc88c45c247f0f4394c86"/>
    <w:p>
      <w:pPr>
        <w:pStyle w:val="Heading3"/>
      </w:pPr>
      <w:r>
        <w:t xml:space="preserve">10.1.3 Optimizer State Inspection for Hidden Data</w:t>
      </w:r>
    </w:p>
    <w:p>
      <w:pPr>
        <w:pStyle w:val="FirstParagraph"/>
      </w:pPr>
      <w:r>
        <w:t xml:space="preserve">The checkpoint shows only</w:t>
      </w:r>
      <w:r>
        <w:t xml:space="preserve"> </w:t>
      </w:r>
      <w:r>
        <w:rPr>
          <w:rStyle w:val="VerbatimChar"/>
        </w:rPr>
        <w:t xml:space="preserve">model</w:t>
      </w:r>
      <w:r>
        <w:t xml:space="preserve"> </w:t>
      </w:r>
      <w:r>
        <w:t xml:space="preserve">and</w:t>
      </w:r>
      <w:r>
        <w:t xml:space="preserve"> </w:t>
      </w:r>
      <w:r>
        <w:rPr>
          <w:rStyle w:val="VerbatimChar"/>
        </w:rPr>
        <w:t xml:space="preserve">model_config</w:t>
      </w:r>
      <w:r>
        <w:t xml:space="preserve"> </w:t>
      </w:r>
      <w:r>
        <w:t xml:space="preserve">keys</w:t>
      </w:r>
      <w:r>
        <w:t xml:space="preserve"> </w:t>
      </w:r>
      <w:fldSimple w:instr="NOTEREF _Ref_Footnote_1 \h \f">
        <w:r>
          <w:rPr>
            <w:vertAlign w:val="superscript"/>
          </w:rPr>
          <w:t>1</w:t>
        </w:r>
      </w:fldSimple>
      <w:r>
        <w:t xml:space="preserve">, but this requires systematic verification. Load with</w:t>
      </w:r>
      <w:r>
        <w:t xml:space="preserve"> </w:t>
      </w:r>
      <w:r>
        <w:rPr>
          <w:rStyle w:val="VerbatimChar"/>
        </w:rPr>
        <w:t xml:space="preserve">torch.load(..., map_location='cpu')</w:t>
      </w:r>
      <w:r>
        <w:t xml:space="preserve"> </w:t>
      </w:r>
      <w:r>
        <w:t xml:space="preserve">and examine all top-level keys. If</w:t>
      </w:r>
      <w:r>
        <w:t xml:space="preserve"> </w:t>
      </w:r>
      <w:r>
        <w:rPr>
          <w:rStyle w:val="VerbatimChar"/>
        </w:rPr>
        <w:t xml:space="preserve">optimizer_state</w:t>
      </w:r>
      <w:r>
        <w:t xml:space="preserve"> </w:t>
      </w:r>
      <w:r>
        <w:t xml:space="preserve">exists, flatten</w:t>
      </w:r>
      <w:r>
        <w:t xml:space="preserve"> </w:t>
      </w:r>
      <w:r>
        <w:rPr>
          <w:rStyle w:val="VerbatimChar"/>
        </w:rPr>
        <w:t xml:space="preserve">exp_avg</w:t>
      </w:r>
      <w:r>
        <w:t xml:space="preserve"> </w:t>
      </w:r>
      <w:r>
        <w:t xml:space="preserve">and</w:t>
      </w:r>
      <w:r>
        <w:t xml:space="preserve"> </w:t>
      </w:r>
      <w:r>
        <w:rPr>
          <w:rStyle w:val="VerbatimChar"/>
        </w:rPr>
        <w:t xml:space="preserve">exp_avg_sq</w:t>
      </w:r>
      <w:r>
        <w:t xml:space="preserve">—each roughly the model’s size—and scan for printable ASCII, UTF-8 sequences, and</w:t>
      </w:r>
      <w:r>
        <w:t xml:space="preserve"> </w:t>
      </w:r>
      <w:r>
        <w:rPr>
          <w:rStyle w:val="VerbatimChar"/>
        </w:rPr>
        <w:t xml:space="preserve">NaN</w:t>
      </w:r>
      <w:r>
        <w:t xml:space="preserve">/</w:t>
      </w:r>
      <w:r>
        <w:rPr>
          <w:rStyle w:val="VerbatimChar"/>
        </w:rPr>
        <w:t xml:space="preserve">Inf</w:t>
      </w:r>
      <w:r>
        <w:t xml:space="preserve"> </w:t>
      </w:r>
      <w:r>
        <w:t xml:space="preserve">patterns</w:t>
      </w:r>
      <w:r>
        <w:t xml:space="preserve"> </w:t>
      </w:r>
      <w:fldSimple w:instr="NOTEREF _Ref_Footnote_70 \h \f">
        <w:r>
          <w:rPr>
            <w:vertAlign w:val="superscript"/>
          </w:rPr>
          <w:t>70</w:t>
        </w:r>
      </w:fldSimple>
      <w:r>
        <w:t xml:space="preserve"> </w:t>
      </w:r>
      <w:fldSimple w:instr="NOTEREF _Ref_Footnote_71 \h \f">
        <w:r>
          <w:rPr>
            <w:vertAlign w:val="superscript"/>
          </w:rPr>
          <w:t>71</w:t>
        </w:r>
      </w:fldSimple>
      <w:r>
        <w:t xml:space="preserve">. Even without optimizer state, inspect the ZIP64 structure for comments, extra fields, and alignment padding</w:t>
      </w:r>
      <w:r>
        <w:t xml:space="preserve"> </w:t>
      </w:r>
      <w:fldSimple w:instr="NOTEREF _Ref_Footnote_60 \h \f">
        <w:r>
          <w:rPr>
            <w:vertAlign w:val="superscript"/>
          </w:rPr>
          <w:t>60</w:t>
        </w:r>
      </w:fldSimple>
      <w:r>
        <w:t xml:space="preserve"> </w:t>
      </w:r>
      <w:fldSimple w:instr="NOTEREF _Ref_Footnote_67 \h \f">
        <w:r>
          <w:rPr>
            <w:vertAlign w:val="superscript"/>
          </w:rPr>
          <w:t>67</w:t>
        </w:r>
      </w:fldSimple>
      <w:r>
        <w:t xml:space="preserve">.</w:t>
      </w:r>
    </w:p>
    <w:bookmarkEnd w:id="143"/>
    <w:bookmarkEnd w:id="144"/>
    <w:bookmarkStart w:id="148" w:name="short-term-experiments-days"/>
    <w:p>
      <w:pPr>
        <w:pStyle w:val="Heading2"/>
      </w:pPr>
      <w:r>
        <w:t xml:space="preserve">10.2 Short-Term Experiments (Days)</w:t>
      </w:r>
    </w:p>
    <w:p>
      <w:pPr>
        <w:pStyle w:val="FirstParagraph"/>
      </w:pPr>
      <w:r>
        <w:t xml:space="preserve">If the six-hour phase yields no flag, the evidence points to insufficient single interventions. Days 1–3 focus on co-optimization: combining techniques and searching the intervention cross-product.</w:t>
      </w:r>
    </w:p>
    <w:bookmarkStart w:id="145" w:name="gcg-circuit-ablation-co-optimization"/>
    <w:p>
      <w:pPr>
        <w:pStyle w:val="Heading3"/>
      </w:pPr>
      <w:r>
        <w:t xml:space="preserve">10.2.1 GCG + Circuit Ablation Co-Optimization</w:t>
      </w:r>
    </w:p>
    <w:p>
      <w:pPr>
        <w:pStyle w:val="FirstParagraph"/>
      </w:pPr>
      <w:r>
        <w:t xml:space="preserve">Standard GCG searches input token space for target-eliciting suffixes</w:t>
      </w:r>
      <w:r>
        <w:t xml:space="preserve"> </w:t>
      </w:r>
      <w:fldSimple w:instr="NOTEREF _Ref_Footnote_115 \h \f">
        <w:r>
          <w:rPr>
            <w:vertAlign w:val="superscript"/>
          </w:rPr>
          <w:t>115</w:t>
        </w:r>
      </w:fldSimple>
      <w:r>
        <w:t xml:space="preserve">; alone, it will likely fail because the suppression circuit dominates regardless of input. Co-optimization treats the MLP6 ablation coefficient</w:t>
      </w:r>
      <w:r>
        <w:t xml:space="preserve"> </w:t>
      </w:r>
      <m:oMath>
        <m:r>
          <m:t>α</m:t>
        </m:r>
      </m:oMath>
      <w:r>
        <w:t xml:space="preserve"> </w:t>
      </w:r>
      <w:r>
        <w:t xml:space="preserve">as jointly optimizable:</w:t>
      </w:r>
    </w:p>
    <w:p>
      <w:pPr>
        <w:pStyle w:val="BodyText"/>
      </w:pPr>
      <m:oMathPara>
        <m:oMathParaPr>
          <m:jc m:val="center"/>
        </m:oMathParaPr>
        <m:oMath>
          <m:r>
            <m:rPr>
              <m:sty m:val="p"/>
              <m:scr m:val="script"/>
            </m:rPr>
            <m:t>L</m:t>
          </m:r>
          <m:d>
            <m:dPr>
              <m:begChr m:val="("/>
              <m:endChr m:val=")"/>
              <m:sepChr m:val=""/>
              <m:grow/>
            </m:dPr>
            <m:e>
              <m:r>
                <m:t>S</m:t>
              </m:r>
              <m:r>
                <m:rPr>
                  <m:sty m:val="p"/>
                </m:rPr>
                <m:t>,</m:t>
              </m:r>
              <m:r>
                <m:t>α</m:t>
              </m:r>
            </m:e>
          </m:d>
          <m:r>
            <m:rPr>
              <m:sty m:val="p"/>
            </m:rPr>
            <m:t>=</m:t>
          </m:r>
          <m:r>
            <m:rPr>
              <m:sty m:val="p"/>
            </m:rPr>
            <m:t>−</m:t>
          </m:r>
          <m:r>
            <m:rPr>
              <m:sty m:val="p"/>
            </m:rPr>
            <m:t>log</m:t>
          </m:r>
          <m:r>
            <m:t>P</m:t>
          </m:r>
          <m:d>
            <m:dPr>
              <m:begChr m:val="("/>
              <m:endChr m:val=")"/>
              <m:sepChr m:val=""/>
              <m:grow/>
            </m:dPr>
            <m:e>
              <m:r>
                <m:rPr>
                  <m:nor/>
                  <m:sty m:val="p"/>
                </m:rPr>
                <m:t>“flag”</m:t>
              </m:r>
              <m:r>
                <m:rPr>
                  <m:sty m:val="p"/>
                </m:rPr>
                <m:t>∣</m:t>
              </m:r>
              <m:r>
                <m:t>S</m:t>
              </m:r>
              <m:r>
                <m:rPr>
                  <m:sty m:val="p"/>
                </m:rPr>
                <m:t>,</m:t>
              </m:r>
              <m:r>
                <m:rPr>
                  <m:nor/>
                  <m:sty m:val="p"/>
                </m:rPr>
                <m:t>ablate</m:t>
              </m:r>
              <m:d>
                <m:dPr>
                  <m:begChr m:val="("/>
                  <m:endChr m:val=")"/>
                  <m:sepChr m:val=""/>
                  <m:grow/>
                </m:dPr>
                <m:e>
                  <m:r>
                    <m:rPr>
                      <m:nor/>
                      <m:sty m:val="p"/>
                    </m:rPr>
                    <m:t>MLP6</m:t>
                  </m:r>
                  <m:r>
                    <m:rPr>
                      <m:sty m:val="p"/>
                    </m:rPr>
                    <m:t>,</m:t>
                  </m:r>
                  <m:r>
                    <m:t>α</m:t>
                  </m:r>
                </m:e>
              </m:d>
            </m:e>
          </m:d>
        </m:oMath>
      </m:oMathPara>
    </w:p>
    <w:p>
      <w:pPr>
        <w:pStyle w:val="FirstParagraph"/>
      </w:pPr>
      <w:r>
        <w:t xml:space="preserve">where</w:t>
      </w:r>
      <w:r>
        <w:t xml:space="preserve"> </w:t>
      </w:r>
      <m:oMath>
        <m:r>
          <m:t>α</m:t>
        </m:r>
        <m:r>
          <m:rPr>
            <m:sty m:val="p"/>
          </m:rPr>
          <m:t>=</m:t>
        </m:r>
        <m:r>
          <m:t>0</m:t>
        </m:r>
      </m:oMath>
      <w:r>
        <w:t xml:space="preserve"> </w:t>
      </w:r>
      <w:r>
        <w:t xml:space="preserve">is full ablation,</w:t>
      </w:r>
      <w:r>
        <w:t xml:space="preserve"> </w:t>
      </w:r>
      <m:oMath>
        <m:r>
          <m:t>α</m:t>
        </m:r>
        <m:r>
          <m:rPr>
            <m:sty m:val="p"/>
          </m:rPr>
          <m:t>=</m:t>
        </m:r>
        <m:r>
          <m:t>1</m:t>
        </m:r>
      </m:oMath>
      <w:r>
        <w:t xml:space="preserve"> </w:t>
      </w:r>
      <w:r>
        <w:t xml:space="preserve">is normal operation. Optimization alternates GCG steps on</w:t>
      </w:r>
      <w:r>
        <w:t xml:space="preserve"> </w:t>
      </w:r>
      <m:oMath>
        <m:r>
          <m:t>S</m:t>
        </m:r>
      </m:oMath>
      <w:r>
        <w:t xml:space="preserve"> </w:t>
      </w:r>
      <w:r>
        <w:t xml:space="preserve">with gradient descent on</w:t>
      </w:r>
      <w:r>
        <w:t xml:space="preserve"> </w:t>
      </w:r>
      <m:oMath>
        <m:r>
          <m:t>α</m:t>
        </m:r>
      </m:oMath>
      <w:r>
        <w:t xml:space="preserve">, drawing from Faster-GCG’s distance-regularized selection</w:t>
      </w:r>
      <w:r>
        <w:t xml:space="preserve"> </w:t>
      </w:r>
      <w:fldSimple w:instr="NOTEREF _Ref_Footnote_113 \h \f">
        <w:r>
          <w:rPr>
            <w:vertAlign w:val="superscript"/>
          </w:rPr>
          <w:t>113</w:t>
        </w:r>
      </w:fldSimple>
      <w:r>
        <w:t xml:space="preserve">. The expectation is that GCG discovers a suffix that, combined with partial ablation (</w:t>
      </w:r>
      <m:oMath>
        <m:r>
          <m:t>α</m:t>
        </m:r>
        <m:r>
          <m:rPr>
            <m:sty m:val="p"/>
          </m:rPr>
          <m:t>≈</m:t>
        </m:r>
        <m:r>
          <m:t>0.3</m:t>
        </m:r>
      </m:oMath>
      <w:r>
        <w:t xml:space="preserve">–</w:t>
      </w:r>
      <m:oMath>
        <m:r>
          <m:t>0.5</m:t>
        </m:r>
      </m:oMath>
      <w:r>
        <w:t xml:space="preserve">), pushes P(</w:t>
      </w:r>
      <w:r>
        <w:rPr>
          <w:rStyle w:val="VerbatimChar"/>
        </w:rPr>
        <w:t xml:space="preserve">f</w:t>
      </w:r>
      <w:r>
        <w:t xml:space="preserve">) past the 0.507 plateau. Implementation uses nanoGCG</w:t>
      </w:r>
      <w:r>
        <w:t xml:space="preserve"> </w:t>
      </w:r>
      <w:fldSimple w:instr="NOTEREF _Ref_Footnote_118 \h \f">
        <w:r>
          <w:rPr>
            <w:vertAlign w:val="superscript"/>
          </w:rPr>
          <w:t>118</w:t>
        </w:r>
      </w:fldSimple>
      <w:r>
        <w:t xml:space="preserve">with a custom forward wrapper applying</w:t>
      </w:r>
      <w:r>
        <w:t xml:space="preserve"> </w:t>
      </w:r>
      <m:oMath>
        <m:r>
          <m:t>α</m:t>
        </m:r>
      </m:oMath>
      <w:r>
        <w:t xml:space="preserve">-scaled ablation.</w:t>
      </w:r>
    </w:p>
    <w:bookmarkEnd w:id="145"/>
    <w:bookmarkStart w:id="146" w:name="eap-based-flag-circuit-discovery"/>
    <w:p>
      <w:pPr>
        <w:pStyle w:val="Heading3"/>
      </w:pPr>
      <w:r>
        <w:t xml:space="preserve">10.2.2 EAP-Based Flag Circuit Discovery</w:t>
      </w:r>
    </w:p>
    <w:p>
      <w:pPr>
        <w:pStyle w:val="FirstParagraph"/>
      </w:pPr>
      <w:r>
        <w:t xml:space="preserve">Edge Attribution Patching (EAP) computes edge importance via</w:t>
      </w:r>
      <w:r>
        <w:t xml:space="preserve"> </w:t>
      </w:r>
      <m:oMath>
        <m:sSup>
          <m:e>
            <m:d>
              <m:dPr>
                <m:begChr m:val="("/>
                <m:endChr m:val=")"/>
                <m:sepChr m:val=""/>
                <m:grow/>
              </m:dPr>
              <m:e>
                <m:sSub>
                  <m:e>
                    <m:r>
                      <m:t>x</m:t>
                    </m:r>
                  </m:e>
                  <m:sub>
                    <m:r>
                      <m:rPr>
                        <m:nor/>
                        <m:sty m:val="p"/>
                      </m:rPr>
                      <m:t>corr</m:t>
                    </m:r>
                  </m:sub>
                </m:sSub>
                <m:r>
                  <m:rPr>
                    <m:sty m:val="p"/>
                  </m:rPr>
                  <m:t>−</m:t>
                </m:r>
                <m:sSub>
                  <m:e>
                    <m:r>
                      <m:t>x</m:t>
                    </m:r>
                  </m:e>
                  <m:sub>
                    <m:r>
                      <m:rPr>
                        <m:nor/>
                        <m:sty m:val="p"/>
                      </m:rPr>
                      <m:t>clean</m:t>
                    </m:r>
                  </m:sub>
                </m:sSub>
              </m:e>
            </m:d>
          </m:e>
          <m:sup>
            <m:r>
              <m:t>T</m:t>
            </m:r>
          </m:sup>
        </m:sSup>
        <m:sSub>
          <m:e>
            <m:r>
              <m:rPr>
                <m:sty m:val="p"/>
              </m:rPr>
              <m:t>∇</m:t>
            </m:r>
          </m:e>
          <m:sub>
            <m:sSub>
              <m:e>
                <m:r>
                  <m:t>x</m:t>
                </m:r>
              </m:e>
              <m:sub>
                <m:r>
                  <m:rPr>
                    <m:nor/>
                    <m:sty m:val="p"/>
                  </m:rPr>
                  <m:t>clean</m:t>
                </m:r>
              </m:sub>
            </m:sSub>
          </m:sub>
        </m:sSub>
        <m:r>
          <m:rPr>
            <m:sty m:val="p"/>
            <m:scr m:val="script"/>
          </m:rPr>
          <m:t>L</m:t>
        </m:r>
      </m:oMath>
      <w:r>
        <w:t xml:space="preserve">, requiring two forward passes and one backward pass per example—~30,000× faster than per-head activation patching</w:t>
      </w:r>
      <w:r>
        <w:t xml:space="preserve"> </w:t>
      </w:r>
      <w:fldSimple w:instr="NOTEREF _Ref_Footnote_12 \h \f">
        <w:r>
          <w:rPr>
            <w:vertAlign w:val="superscript"/>
          </w:rPr>
          <w:t>12</w:t>
        </w:r>
      </w:fldSimple>
      <w:r>
        <w:t xml:space="preserve"> </w:t>
      </w:r>
      <w:fldSimple w:instr="NOTEREF _Ref_Footnote_13 \h \f">
        <w:r>
          <w:rPr>
            <w:vertAlign w:val="superscript"/>
          </w:rPr>
          <w:t>13</w:t>
        </w:r>
      </w:fldSimple>
      <w:r>
        <w:t xml:space="preserve">. The clean run uses a heteronym prefix with normal operation; the corrupted run uses the same prefix with MLP6 ablated. Loss is negative log-probability of</w:t>
      </w:r>
      <w:r>
        <w:t xml:space="preserve"> </w:t>
      </w:r>
      <w:r>
        <w:rPr>
          <w:rStyle w:val="VerbatimChar"/>
        </w:rPr>
        <w:t xml:space="preserve">f</w:t>
      </w:r>
      <w:r>
        <w:t xml:space="preserve"> </w:t>
      </w:r>
      <w:r>
        <w:t xml:space="preserve">after</w:t>
      </w:r>
      <w:r>
        <w:t xml:space="preserve"> </w:t>
      </w:r>
      <w:r>
        <w:rPr>
          <w:rStyle w:val="VerbatimChar"/>
        </w:rPr>
        <w:t xml:space="preserve">{</w:t>
      </w:r>
      <w:r>
        <w:t xml:space="preserve">. Top-attributed edges, verified via activation patching (denoising/noising)</w:t>
      </w:r>
      <w:r>
        <w:t xml:space="preserve"> </w:t>
      </w:r>
      <w:fldSimple w:instr="NOTEREF _Ref_Footnote_145 \h \f">
        <w:r>
          <w:rPr>
            <w:vertAlign w:val="superscript"/>
          </w:rPr>
          <w:t>145</w:t>
        </w:r>
      </w:fldSimple>
      <w:r>
        <w:t xml:space="preserve">, define the flag circuit. If this circuit spans multiple layers, simultaneous ablation of all components should raise P(</w:t>
      </w:r>
      <w:r>
        <w:rPr>
          <w:rStyle w:val="VerbatimChar"/>
        </w:rPr>
        <w:t xml:space="preserve">f</w:t>
      </w:r>
      <w:r>
        <w:t xml:space="preserve">) past 0.507, confirming the cascading suppression hypothesis</w:t>
      </w:r>
      <w:r>
        <w:t xml:space="preserve"> </w:t>
      </w:r>
      <w:fldSimple w:instr="NOTEREF _Ref_Footnote_9 \h \f">
        <w:r>
          <w:rPr>
            <w:vertAlign w:val="superscript"/>
          </w:rPr>
          <w:t>9</w:t>
        </w:r>
      </w:fldSimple>
      <w:r>
        <w:t xml:space="preserve">.</w:t>
      </w:r>
    </w:p>
    <w:bookmarkEnd w:id="146"/>
    <w:bookmarkStart w:id="147" w:name="X868a7dbcb7ecfa631519a3ed89547b1263e6cd6"/>
    <w:p>
      <w:pPr>
        <w:pStyle w:val="Heading3"/>
      </w:pPr>
      <w:r>
        <w:t xml:space="preserve">10.2.3 Dead Layer Forensics: SVD, Histograms, Bit-Plane Extraction</w:t>
      </w:r>
    </w:p>
    <w:p>
      <w:pPr>
        <w:pStyle w:val="FirstParagraph"/>
      </w:pPr>
      <w:r>
        <w:t xml:space="preserve">EvilModel embeds data in atrophied neurons with &lt;1% accuracy loss</w:t>
      </w:r>
      <w:r>
        <w:t xml:space="preserve"> </w:t>
      </w:r>
      <w:fldSimple w:instr="NOTEREF _Ref_Footnote_10 \h \f">
        <w:r>
          <w:rPr>
            <w:vertAlign w:val="superscript"/>
          </w:rPr>
          <w:t>10</w:t>
        </w:r>
      </w:fldSimple>
      <w:r>
        <w:t xml:space="preserve">; 20–24 bits per float32 can be overwritten before degradation</w:t>
      </w:r>
      <w:r>
        <w:t xml:space="preserve"> </w:t>
      </w:r>
      <w:fldSimple w:instr="NOTEREF _Ref_Footnote_15 \h \f">
        <w:r>
          <w:rPr>
            <w:vertAlign w:val="superscript"/>
          </w:rPr>
          <w:t>15</w:t>
        </w:r>
      </w:fldSimple>
      <w:r>
        <w:t xml:space="preserve">. The forensic protocol has three stages. First, compute SVD</w:t>
      </w:r>
      <w:r>
        <w:t xml:space="preserve"> </w:t>
      </w:r>
      <m:oMath>
        <m:r>
          <m:rPr>
            <m:sty m:val="b"/>
          </m:rPr>
          <m:t>W</m:t>
        </m:r>
        <m:r>
          <m:rPr>
            <m:sty m:val="p"/>
          </m:rPr>
          <m:t>=</m:t>
        </m:r>
        <m:r>
          <m:rPr>
            <m:sty m:val="b"/>
          </m:rPr>
          <m:t>U</m:t>
        </m:r>
        <m:r>
          <m:rPr>
            <m:sty m:val="b"/>
          </m:rPr>
          <m:t>Σ</m:t>
        </m:r>
        <m:sSup>
          <m:e>
            <m:r>
              <m:rPr>
                <m:sty m:val="b"/>
              </m:rPr>
              <m:t>V</m:t>
            </m:r>
          </m:e>
          <m:sup>
            <m:r>
              <m:t>T</m:t>
            </m:r>
          </m:sup>
        </m:sSup>
      </m:oMath>
      <w:r>
        <w:t xml:space="preserve"> </w:t>
      </w:r>
      <w:r>
        <w:t xml:space="preserve">for each weight matrix in layers 5–7; compare spectra to functional layers (2–4), looking for rank deficit or entropy anomalies. Second, compare weight histograms between dead and functional layers; overwriting typically produces multimodal distributions. Third, extract bits 14–23 of all float32 mantissas in layers 5–7 and scan for ASCII and ECC-like structure. Any significant deviation triggers immediate targeted decoding.</w:t>
      </w:r>
    </w:p>
    <w:bookmarkEnd w:id="147"/>
    <w:bookmarkEnd w:id="148"/>
    <w:bookmarkStart w:id="152" w:name="medium-term-investigation-week"/>
    <w:p>
      <w:pPr>
        <w:pStyle w:val="Heading2"/>
      </w:pPr>
      <w:r>
        <w:t xml:space="preserve">10.3 Medium-Term Investigation (Week)</w:t>
      </w:r>
    </w:p>
    <w:p>
      <w:pPr>
        <w:pStyle w:val="FirstParagraph"/>
      </w:pPr>
      <w:r>
        <w:t xml:space="preserve">If days 1–3 produce no flag, the investigation expands to systematic exploration of the full intervention cross-product.</w:t>
      </w:r>
    </w:p>
    <w:bookmarkStart w:id="149" w:name="X265b99481664d6040b7b47957c9d177d0831ee8"/>
    <w:p>
      <w:pPr>
        <w:pStyle w:val="Heading3"/>
      </w:pPr>
      <w:r>
        <w:t xml:space="preserve">10.3.1 Automated Grid Search Across All Intervention Combinations</w:t>
      </w:r>
    </w:p>
    <w:p>
      <w:pPr>
        <w:pStyle w:val="FirstParagraph"/>
      </w:pPr>
      <w:r>
        <w:t xml:space="preserve">The cross-product space is: (256 heteronym sequences) × (5 decoding strategies: greedy, top-k=2/5/10, beam search) × (10 ablation configurations: none, MLP6, MLP7, MLP8, MLP6+7, MLP6+8, MLP7+8, MLP6+7+8, layers 5–7 dead, layers 6–8 dead) × (4 temperatures: 0.1, 0.5, 1.0, 2.0). This yields ~51,200 configurations—tractable on one GPU in under 24 hours with batched evaluation. Each configuration scores on flag-likelihood metrics: max P(</w:t>
      </w:r>
      <w:r>
        <w:rPr>
          <w:rStyle w:val="VerbatimChar"/>
        </w:rPr>
        <w:t xml:space="preserve">f</w:t>
      </w:r>
      <w:r>
        <w:t xml:space="preserve">),</w:t>
      </w:r>
      <w:r>
        <w:t xml:space="preserve"> </w:t>
      </w:r>
      <w:r>
        <w:rPr>
          <w:rStyle w:val="VerbatimChar"/>
        </w:rPr>
        <w:t xml:space="preserve">flag</w:t>
      </w:r>
      <w:r>
        <w:t xml:space="preserve"> </w:t>
      </w:r>
      <w:r>
        <w:t xml:space="preserve">substring presence in top-10 outputs, and deviation from typical Portuguese generation. The top-10 configurations become the focus of final extraction, drawing from the DEF CON 30</w:t>
      </w:r>
      <w:r>
        <w:t xml:space="preserve"> </w:t>
      </w:r>
      <w:r>
        <w:t xml:space="preserve">“</w:t>
      </w:r>
      <w:r>
        <w:t xml:space="preserve">Leakage</w:t>
      </w:r>
      <w:r>
        <w:t xml:space="preserve">”</w:t>
      </w:r>
      <w:r>
        <w:t xml:space="preserve"> </w:t>
      </w:r>
      <w:r>
        <w:t xml:space="preserve">precedent where correct input-decoding combinations enabled character-by-character extraction</w:t>
      </w:r>
      <w:r>
        <w:t xml:space="preserve"> </w:t>
      </w:r>
      <w:fldSimple w:instr="NOTEREF _Ref_Footnote_14 \h \f">
        <w:r>
          <w:rPr>
            <w:vertAlign w:val="superscript"/>
          </w:rPr>
          <w:t>14</w:t>
        </w:r>
      </w:fldSimple>
      <w:r>
        <w:t xml:space="preserve">.</w:t>
      </w:r>
    </w:p>
    <w:bookmarkEnd w:id="149"/>
    <w:bookmarkStart w:id="150" w:name="Xdcc119b0597066b733201919e698982612830f3"/>
    <w:p>
      <w:pPr>
        <w:pStyle w:val="Heading3"/>
      </w:pPr>
      <w:r>
        <w:t xml:space="preserve">10.3.2 Tuned Lens Training and Hidden State Trajectory Analysis</w:t>
      </w:r>
    </w:p>
    <w:p>
      <w:pPr>
        <w:pStyle w:val="FirstParagraph"/>
      </w:pPr>
      <w:r>
        <w:t xml:space="preserve">The standard logit lens suffers from representational drift in deeper layers</w:t>
      </w:r>
      <w:r>
        <w:t xml:space="preserve"> </w:t>
      </w:r>
      <w:fldSimple w:instr="NOTEREF _Ref_Footnote_85 \h \f">
        <w:r>
          <w:rPr>
            <w:vertAlign w:val="superscript"/>
          </w:rPr>
          <w:t>85</w:t>
        </w:r>
      </w:fldSimple>
      <w:r>
        <w:t xml:space="preserve"> </w:t>
      </w:r>
      <w:fldSimple w:instr="NOTEREF _Ref_Footnote_83 \h \f">
        <w:r>
          <w:rPr>
            <w:vertAlign w:val="superscript"/>
          </w:rPr>
          <w:t>83</w:t>
        </w:r>
      </w:fldSimple>
      <w:r>
        <w:t xml:space="preserve">. A tuned lens trains lightweight translators that correct this drift, enabling interpretable predictions from layer 1 onward. For Ode Triunfal, training on model-generated Portuguese text could reveal whether flag-character predictions exist in intermediate layers (especially layer 4, where</w:t>
      </w:r>
      <w:r>
        <w:t xml:space="preserve"> </w:t>
      </w:r>
      <w:r>
        <w:rPr>
          <w:rStyle w:val="VerbatimChar"/>
        </w:rPr>
        <w:t xml:space="preserve">*</w:t>
      </w:r>
      <w:r>
        <w:t xml:space="preserve"> </w:t>
      </w:r>
      <w:r>
        <w:t xml:space="preserve">appears at 12.5%</w:t>
      </w:r>
      <w:r>
        <w:t xml:space="preserve"> </w:t>
      </w:r>
      <w:fldSimple w:instr="NOTEREF _Ref_Footnote_1 \h \f">
        <w:r>
          <w:rPr>
            <w:vertAlign w:val="superscript"/>
          </w:rPr>
          <w:t>1</w:t>
        </w:r>
      </w:fldSimple>
      <w:r>
        <w:t xml:space="preserve">) before suppression attenuates them. Tracking how the</w:t>
      </w:r>
      <w:r>
        <w:t xml:space="preserve"> </w:t>
      </w:r>
      <w:r>
        <w:rPr>
          <w:rStyle w:val="VerbatimChar"/>
        </w:rPr>
        <w:t xml:space="preserve">{</w:t>
      </w:r>
      <w:r>
        <w:t xml:space="preserve"> </w:t>
      </w:r>
      <w:r>
        <w:t xml:space="preserve">representation evolves layer-by-layer under different interventions identifies the exact suppression point and the direction of divergence toward the flag circuit. If the tuned lens reveals that</w:t>
      </w:r>
      <w:r>
        <w:t xml:space="preserve"> </w:t>
      </w:r>
      <w:r>
        <w:rPr>
          <w:rStyle w:val="VerbatimChar"/>
        </w:rPr>
        <w:t xml:space="preserve">f</w:t>
      </w:r>
      <w:r>
        <w:t xml:space="preserve"> </w:t>
      </w:r>
      <w:r>
        <w:t xml:space="preserve">is predicted with high confidence at layer 4 but drops to near-zero by layer 10, the suppression mechanism can be surgically targeted at the identified crossover point rather than through blanket ablation.</w:t>
      </w:r>
    </w:p>
    <w:bookmarkEnd w:id="150"/>
    <w:bookmarkStart w:id="151" w:name="X4eb993ad36a48ccb04c54e711e7f8de9987aee9"/>
    <w:p>
      <w:pPr>
        <w:pStyle w:val="Heading3"/>
      </w:pPr>
      <w:r>
        <w:t xml:space="preserve">10.3.3 DSN-Style Loss Adaptation for Portuguesify Suppression Bypass</w:t>
      </w:r>
    </w:p>
    <w:p>
      <w:pPr>
        <w:pStyle w:val="FirstParagraph"/>
      </w:pPr>
      <w:r>
        <w:t xml:space="preserve">The</w:t>
      </w:r>
      <w:r>
        <w:t xml:space="preserve"> </w:t>
      </w:r>
      <w:r>
        <w:t xml:space="preserve">“</w:t>
      </w:r>
      <w:r>
        <w:t xml:space="preserve">Don’t Say No</w:t>
      </w:r>
      <w:r>
        <w:t xml:space="preserve">”</w:t>
      </w:r>
      <w:r>
        <w:t xml:space="preserve"> </w:t>
      </w:r>
      <w:r>
        <w:t xml:space="preserve">(DSN) attack maximizes distance from suppression keywords while maximizing target probability</w:t>
      </w:r>
      <w:r>
        <w:t xml:space="preserve"> </w:t>
      </w:r>
      <w:fldSimple w:instr="NOTEREF _Ref_Footnote_125 \h \f">
        <w:r>
          <w:rPr>
            <w:vertAlign w:val="superscript"/>
          </w:rPr>
          <w:t>125</w:t>
        </w:r>
      </w:fldSimple>
      <w:r>
        <w:t xml:space="preserve"> </w:t>
      </w:r>
      <w:fldSimple w:instr="NOTEREF _Ref_Footnote_126 \h \f">
        <w:r>
          <w:rPr>
            <w:vertAlign w:val="superscript"/>
          </w:rPr>
          <w:t>126</w:t>
        </w:r>
      </w:fldSimple>
      <w:r>
        <w:t xml:space="preserve">. For Ode Triunfal, the suppression is Portuguesify—not refusal—so the loss requires adaptation:</w:t>
      </w:r>
    </w:p>
    <w:p>
      <w:pPr>
        <w:pStyle w:val="BodyText"/>
      </w:pPr>
      <m:oMathPara>
        <m:oMathParaPr>
          <m:jc m:val="center"/>
        </m:oMathParaPr>
        <m:oMath>
          <m:sSub>
            <m:e>
              <m:r>
                <m:rPr>
                  <m:sty m:val="p"/>
                  <m:scr m:val="script"/>
                </m:rPr>
                <m:t>L</m:t>
              </m:r>
            </m:e>
            <m:sub>
              <m:r>
                <m:rPr>
                  <m:nor/>
                  <m:sty m:val="p"/>
                </m:rPr>
                <m:t>adapted</m:t>
              </m:r>
            </m:sub>
          </m:sSub>
          <m:r>
            <m:rPr>
              <m:sty m:val="p"/>
            </m:rPr>
            <m:t>=</m:t>
          </m:r>
          <m:sSub>
            <m:e>
              <m:r>
                <m:t>λ</m:t>
              </m:r>
            </m:e>
            <m:sub>
              <m:r>
                <m:t>1</m:t>
              </m:r>
            </m:sub>
          </m:sSub>
          <m:r>
            <m:rPr>
              <m:sty m:val="p"/>
            </m:rPr>
            <m:t>⋅</m:t>
          </m:r>
          <m:d>
            <m:dPr>
              <m:begChr m:val="("/>
              <m:endChr m:val=")"/>
              <m:sepChr m:val=""/>
              <m:grow/>
            </m:dPr>
            <m:e>
              <m:r>
                <m:rPr>
                  <m:sty m:val="p"/>
                </m:rPr>
                <m:t>−</m:t>
              </m:r>
              <m:r>
                <m:rPr>
                  <m:sty m:val="p"/>
                </m:rPr>
                <m:t>log</m:t>
              </m:r>
              <m:r>
                <m:t>P</m:t>
              </m:r>
              <m:d>
                <m:dPr>
                  <m:begChr m:val="("/>
                  <m:endChr m:val=")"/>
                  <m:sepChr m:val=""/>
                  <m:grow/>
                </m:dPr>
                <m:e>
                  <m:r>
                    <m:rPr>
                      <m:nor/>
                      <m:sty m:val="p"/>
                    </m:rPr>
                    <m:t>“flag”</m:t>
                  </m:r>
                </m:e>
              </m:d>
            </m:e>
          </m:d>
          <m:r>
            <m:rPr>
              <m:sty m:val="p"/>
            </m:rPr>
            <m:t>+</m:t>
          </m:r>
          <m:sSub>
            <m:e>
              <m:r>
                <m:t>λ</m:t>
              </m:r>
            </m:e>
            <m:sub>
              <m:r>
                <m:t>2</m:t>
              </m:r>
            </m:sub>
          </m:sSub>
          <m:r>
            <m:rPr>
              <m:sty m:val="p"/>
            </m:rPr>
            <m:t>⋅</m:t>
          </m:r>
          <m:d>
            <m:dPr>
              <m:begChr m:val="("/>
              <m:endChr m:val=")"/>
              <m:sepChr m:val=""/>
              <m:grow/>
            </m:dPr>
            <m:e>
              <m:r>
                <m:rPr>
                  <m:sty m:val="p"/>
                </m:rPr>
                <m:t>log</m:t>
              </m:r>
              <m:r>
                <m:t>P</m:t>
              </m:r>
              <m:d>
                <m:dPr>
                  <m:begChr m:val="("/>
                  <m:endChr m:val=")"/>
                  <m:sepChr m:val=""/>
                  <m:grow/>
                </m:dPr>
                <m:e>
                  <m:r>
                    <m:rPr>
                      <m:nor/>
                      <m:sty m:val="p"/>
                    </m:rPr>
                    <m:t>Portuguese-pattern tokens</m:t>
                  </m:r>
                </m:e>
              </m:d>
            </m:e>
          </m:d>
        </m:oMath>
      </m:oMathPara>
    </w:p>
    <w:p>
      <w:pPr>
        <w:pStyle w:val="FirstParagraph"/>
      </w:pPr>
      <w:r>
        <w:t xml:space="preserve">By explicitly penalizing Portuguese tokens while rewarding flag-character emissions, the optimization targets suppression directly. Combined with a two-stage strategy—Stage 1 maximizes P(</w:t>
      </w:r>
      <w:r>
        <w:rPr>
          <w:rStyle w:val="VerbatimChar"/>
        </w:rPr>
        <w:t xml:space="preserve">f</w:t>
      </w:r>
      <w:r>
        <w:t xml:space="preserve">) via</w:t>
      </w:r>
      <w:r>
        <w:t xml:space="preserve"> </w:t>
      </w:r>
      <m:oMath>
        <m:sSub>
          <m:e>
            <m:r>
              <m:rPr>
                <m:sty m:val="p"/>
                <m:scr m:val="script"/>
              </m:rPr>
              <m:t>L</m:t>
            </m:r>
          </m:e>
          <m:sub>
            <m:r>
              <m:rPr>
                <m:nor/>
                <m:sty m:val="p"/>
              </m:rPr>
              <m:t>adapted</m:t>
            </m:r>
          </m:sub>
        </m:sSub>
      </m:oMath>
      <w:r>
        <w:t xml:space="preserve">, Stage 2 extracts the full flag via MiniPrompt-style search</w:t>
      </w:r>
      <w:r>
        <w:t xml:space="preserve"> </w:t>
      </w:r>
      <w:fldSimple w:instr="NOTEREF _Ref_Footnote_120 \h \f">
        <w:r>
          <w:rPr>
            <w:vertAlign w:val="superscript"/>
          </w:rPr>
          <w:t>120</w:t>
        </w:r>
      </w:fldSimple>
      <w:r>
        <w:t xml:space="preserve"> </w:t>
      </w:r>
      <w:fldSimple w:instr="NOTEREF _Ref_Footnote_3 \h \f">
        <w:r>
          <w:rPr>
            <w:vertAlign w:val="superscript"/>
          </w:rPr>
          <w:t>3</w:t>
        </w:r>
      </w:fldSimple>
      <w:r>
        <w:t xml:space="preserve">—this approach is particularly promising if suppression bypass works but the flag is not memorized in the output distribution.</w:t>
      </w:r>
    </w:p>
    <w:bookmarkEnd w:id="151"/>
    <w:bookmarkEnd w:id="152"/>
    <w:bookmarkStart w:id="155" w:name="gono-go-decision-framework"/>
    <w:p>
      <w:pPr>
        <w:pStyle w:val="Heading2"/>
      </w:pPr>
      <w:r>
        <w:t xml:space="preserve">10.4 Go/No-Go Decision Framework</w:t>
      </w:r>
    </w:p>
    <w:p>
      <w:pPr>
        <w:pStyle w:val="FirstParagraph"/>
      </w:pPr>
      <w:r>
        <w:t xml:space="preserve">The following table provides explicit criteria for continuing, pivoting, or terminating each investigation line.</w:t>
      </w:r>
    </w:p>
    <w:bookmarkStart w:id="153" w:name="X8654d7978885753888a3170b5935b7ace9e085a"/>
    <w:p>
      <w:pPr>
        <w:pStyle w:val="Heading3"/>
      </w:pPr>
      <w:r>
        <w:t xml:space="preserve">10.4.1 Table: Decision Criteria for Continuing vs. Pivoting</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Signal</w:t>
            </w:r>
          </w:p>
        </w:tc>
        <w:tc>
          <w:tcPr/>
          <w:p>
            <w:pPr>
              <w:pStyle w:val="Compact"/>
              <w:jc w:val="left"/>
            </w:pPr>
            <w:r>
              <w:t xml:space="preserve">Interpretation</w:t>
            </w:r>
          </w:p>
        </w:tc>
        <w:tc>
          <w:tcPr/>
          <w:p>
            <w:pPr>
              <w:pStyle w:val="Compact"/>
              <w:jc w:val="left"/>
            </w:pPr>
            <w:r>
              <w:t xml:space="preserve">Recommended Action</w:t>
            </w:r>
          </w:p>
        </w:tc>
        <w:tc>
          <w:tcPr/>
          <w:p>
            <w:pPr>
              <w:pStyle w:val="Compact"/>
              <w:jc w:val="left"/>
            </w:pPr>
            <w:r>
              <w:t xml:space="preserve">Confidence</w:t>
            </w:r>
          </w:p>
        </w:tc>
      </w:tr>
      <w:tr>
        <w:tc>
          <w:tcPr/>
          <w:p>
            <w:pPr>
              <w:pStyle w:val="Compact"/>
              <w:jc w:val="left"/>
            </w:pPr>
            <w:r>
              <w:t xml:space="preserve">Single intervention produces</w:t>
            </w:r>
            <w:r>
              <w:t xml:space="preserve"> </w:t>
            </w:r>
            <w:r>
              <w:rPr>
                <w:rStyle w:val="VerbatimChar"/>
              </w:rPr>
              <w:t xml:space="preserve">f</w:t>
            </w:r>
            <w:r>
              <w:t xml:space="preserve"> </w:t>
            </w:r>
            <w:r>
              <w:t xml:space="preserve">greedily</w:t>
            </w:r>
          </w:p>
        </w:tc>
        <w:tc>
          <w:tcPr/>
          <w:p>
            <w:pPr>
              <w:pStyle w:val="Compact"/>
              <w:jc w:val="left"/>
            </w:pPr>
            <w:r>
              <w:t xml:space="preserve">Flag circuit accessible</w:t>
            </w:r>
          </w:p>
        </w:tc>
        <w:tc>
          <w:tcPr/>
          <w:p>
            <w:pPr>
              <w:pStyle w:val="Compact"/>
              <w:jc w:val="left"/>
            </w:pPr>
            <w:r>
              <w:rPr>
                <w:bCs/>
                <w:b/>
              </w:rPr>
              <w:t xml:space="preserve">Go</w:t>
            </w:r>
            <w:r>
              <w:t xml:space="preserve">: Full extraction immediately</w:t>
            </w:r>
          </w:p>
        </w:tc>
        <w:tc>
          <w:tcPr/>
          <w:p>
            <w:pPr>
              <w:pStyle w:val="Compact"/>
              <w:jc w:val="left"/>
            </w:pPr>
            <w:r>
              <w:t xml:space="preserve">High</w:t>
            </w:r>
          </w:p>
        </w:tc>
      </w:tr>
      <w:tr>
        <w:tc>
          <w:tcPr/>
          <w:p>
            <w:pPr>
              <w:pStyle w:val="Compact"/>
              <w:jc w:val="left"/>
            </w:pPr>
            <w:r>
              <w:t xml:space="preserve">GCG+co-optimization raises P(</w:t>
            </w:r>
            <w:r>
              <w:rPr>
                <w:rStyle w:val="VerbatimChar"/>
              </w:rPr>
              <w:t xml:space="preserve">f</w:t>
            </w:r>
            <w:r>
              <w:t xml:space="preserve">) above 0.75</w:t>
            </w:r>
          </w:p>
        </w:tc>
        <w:tc>
          <w:tcPr/>
          <w:p>
            <w:pPr>
              <w:pStyle w:val="Compact"/>
              <w:jc w:val="left"/>
            </w:pPr>
            <w:r>
              <w:t xml:space="preserve">Suppression cascade bypassable</w:t>
            </w:r>
          </w:p>
        </w:tc>
        <w:tc>
          <w:tcPr/>
          <w:p>
            <w:pPr>
              <w:pStyle w:val="Compact"/>
              <w:jc w:val="left"/>
            </w:pPr>
            <w:r>
              <w:rPr>
                <w:bCs/>
                <w:b/>
              </w:rPr>
              <w:t xml:space="preserve">Go</w:t>
            </w:r>
            <w:r>
              <w:t xml:space="preserve">: Continue optimization; beam search with flag bonus</w:t>
            </w:r>
          </w:p>
        </w:tc>
        <w:tc>
          <w:tcPr/>
          <w:p>
            <w:pPr>
              <w:pStyle w:val="Compact"/>
              <w:jc w:val="left"/>
            </w:pPr>
            <w:r>
              <w:t xml:space="preserve">High</w:t>
            </w:r>
          </w:p>
        </w:tc>
      </w:tr>
      <w:tr>
        <w:tc>
          <w:tcPr/>
          <w:p>
            <w:pPr>
              <w:pStyle w:val="Compact"/>
              <w:jc w:val="left"/>
            </w:pPr>
            <w:r>
              <w:t xml:space="preserve">EAP identifies multi-layer suppression circuit (≥3 components)</w:t>
            </w:r>
          </w:p>
        </w:tc>
        <w:tc>
          <w:tcPr/>
          <w:p>
            <w:pPr>
              <w:pStyle w:val="Compact"/>
              <w:jc w:val="left"/>
            </w:pPr>
            <w:r>
              <w:t xml:space="preserve">Cascading suppression confirmed</w:t>
            </w:r>
          </w:p>
        </w:tc>
        <w:tc>
          <w:tcPr/>
          <w:p>
            <w:pPr>
              <w:pStyle w:val="Compact"/>
              <w:jc w:val="left"/>
            </w:pPr>
            <w:r>
              <w:rPr>
                <w:bCs/>
                <w:b/>
              </w:rPr>
              <w:t xml:space="preserve">Go</w:t>
            </w:r>
            <w:r>
              <w:t xml:space="preserve">: Simultaneous multi-component ablation; re-run grid search</w:t>
            </w:r>
          </w:p>
        </w:tc>
        <w:tc>
          <w:tcPr/>
          <w:p>
            <w:pPr>
              <w:pStyle w:val="Compact"/>
              <w:jc w:val="left"/>
            </w:pPr>
            <w:r>
              <w:t xml:space="preserve">High</w:t>
            </w:r>
          </w:p>
        </w:tc>
      </w:tr>
      <w:tr>
        <w:tc>
          <w:tcPr/>
          <w:p>
            <w:pPr>
              <w:pStyle w:val="Compact"/>
              <w:jc w:val="left"/>
            </w:pPr>
            <w:r>
              <w:t xml:space="preserve">Dead-layer forensics: Benford deviation &gt; 0.1, spectral rank deficit, or bit-plane ASCII</w:t>
            </w:r>
          </w:p>
        </w:tc>
        <w:tc>
          <w:tcPr/>
          <w:p>
            <w:pPr>
              <w:pStyle w:val="Compact"/>
              <w:jc w:val="left"/>
            </w:pPr>
            <w:r>
              <w:t xml:space="preserve">EvilModel-style hiding confirmed</w:t>
            </w:r>
          </w:p>
        </w:tc>
        <w:tc>
          <w:tcPr/>
          <w:p>
            <w:pPr>
              <w:pStyle w:val="Compact"/>
              <w:jc w:val="left"/>
            </w:pPr>
            <w:r>
              <w:rPr>
                <w:bCs/>
                <w:b/>
              </w:rPr>
              <w:t xml:space="preserve">Go</w:t>
            </w:r>
            <w:r>
              <w:t xml:space="preserve">: Pivot to forensic decoding; SVD-based byte extraction</w:t>
            </w:r>
          </w:p>
        </w:tc>
        <w:tc>
          <w:tcPr/>
          <w:p>
            <w:pPr>
              <w:pStyle w:val="Compact"/>
              <w:jc w:val="left"/>
            </w:pPr>
            <w:r>
              <w:t xml:space="preserve">Medium-High</w:t>
            </w:r>
          </w:p>
        </w:tc>
      </w:tr>
      <w:tr>
        <w:tc>
          <w:tcPr/>
          <w:p>
            <w:pPr>
              <w:pStyle w:val="Compact"/>
              <w:jc w:val="left"/>
            </w:pPr>
            <w:r>
              <w:t xml:space="preserve">Grid search top-10 all show P(</w:t>
            </w:r>
            <w:r>
              <w:rPr>
                <w:rStyle w:val="VerbatimChar"/>
              </w:rPr>
              <w:t xml:space="preserve">f</w:t>
            </w:r>
            <w:r>
              <w:t xml:space="preserve">) &lt; 0.60, no flag outputs</w:t>
            </w:r>
          </w:p>
        </w:tc>
        <w:tc>
          <w:tcPr/>
          <w:p>
            <w:pPr>
              <w:pStyle w:val="Compact"/>
              <w:jc w:val="left"/>
            </w:pPr>
            <w:r>
              <w:t xml:space="preserve">Flag not accessible via current interventions</w:t>
            </w:r>
          </w:p>
        </w:tc>
        <w:tc>
          <w:tcPr/>
          <w:p>
            <w:pPr>
              <w:pStyle w:val="Compact"/>
              <w:jc w:val="left"/>
            </w:pPr>
            <w:r>
              <w:rPr>
                <w:bCs/>
                <w:b/>
              </w:rPr>
              <w:t xml:space="preserve">Pivot</w:t>
            </w:r>
            <w:r>
              <w:t xml:space="preserve">: Shift to distribution encoding; treat P(</w:t>
            </w:r>
            <w:r>
              <w:rPr>
                <w:rStyle w:val="VerbatimChar"/>
              </w:rPr>
              <w:t xml:space="preserve">f</w:t>
            </w:r>
            <w:r>
              <w:t xml:space="preserve">) ≈ 0.20–0.50 as signal</w:t>
            </w:r>
            <w:r>
              <w:t xml:space="preserve"> </w:t>
            </w:r>
            <w:fldSimple w:instr="NOTEREF _Ref_Footnote_7 \h \f">
              <w:r>
                <w:rPr>
                  <w:vertAlign w:val="superscript"/>
                </w:rPr>
                <w:t>7</w:t>
              </w:r>
            </w:fldSimple>
            <w:r>
              <w:t xml:space="preserve"> </w:t>
            </w:r>
            <w:fldSimple w:instr="NOTEREF _Ref_Footnote_109 \h \f">
              <w:r>
                <w:rPr>
                  <w:vertAlign w:val="superscript"/>
                </w:rPr>
                <w:t>109</w:t>
              </w:r>
            </w:fldSimple>
          </w:p>
        </w:tc>
        <w:tc>
          <w:tcPr/>
          <w:p>
            <w:pPr>
              <w:pStyle w:val="Compact"/>
              <w:jc w:val="left"/>
            </w:pPr>
            <w:r>
              <w:t xml:space="preserve">Medium</w:t>
            </w:r>
          </w:p>
        </w:tc>
      </w:tr>
      <w:tr>
        <w:tc>
          <w:tcPr/>
          <w:p>
            <w:pPr>
              <w:pStyle w:val="Compact"/>
              <w:jc w:val="left"/>
            </w:pPr>
            <w:r>
              <w:t xml:space="preserve">Tuned lens: flag predictions in intermediate layers, never in output</w:t>
            </w:r>
          </w:p>
        </w:tc>
        <w:tc>
          <w:tcPr/>
          <w:p>
            <w:pPr>
              <w:pStyle w:val="Compact"/>
              <w:jc w:val="left"/>
            </w:pPr>
            <w:r>
              <w:t xml:space="preserve">Complete suppression at output</w:t>
            </w:r>
          </w:p>
        </w:tc>
        <w:tc>
          <w:tcPr/>
          <w:p>
            <w:pPr>
              <w:pStyle w:val="Compact"/>
              <w:jc w:val="left"/>
            </w:pPr>
            <w:r>
              <w:rPr>
                <w:bCs/>
                <w:b/>
              </w:rPr>
              <w:t xml:space="preserve">Pivot</w:t>
            </w:r>
            <w:r>
              <w:t xml:space="preserve">: Hidden-state extraction; train decoder on layers 4–5</w:t>
            </w:r>
          </w:p>
        </w:tc>
        <w:tc>
          <w:tcPr/>
          <w:p>
            <w:pPr>
              <w:pStyle w:val="Compact"/>
              <w:jc w:val="left"/>
            </w:pPr>
            <w:r>
              <w:t xml:space="preserve">Medium</w:t>
            </w:r>
          </w:p>
        </w:tc>
      </w:tr>
      <w:tr>
        <w:tc>
          <w:tcPr/>
          <w:p>
            <w:pPr>
              <w:pStyle w:val="Compact"/>
              <w:jc w:val="left"/>
            </w:pPr>
            <w:r>
              <w:t xml:space="preserve">DSN loss reduces Portuguese probability &gt;50% but no</w:t>
            </w:r>
            <w:r>
              <w:t xml:space="preserve"> </w:t>
            </w:r>
            <w:r>
              <w:rPr>
                <w:rStyle w:val="VerbatimChar"/>
              </w:rPr>
              <w:t xml:space="preserve">f</w:t>
            </w:r>
          </w:p>
        </w:tc>
        <w:tc>
          <w:tcPr/>
          <w:p>
            <w:pPr>
              <w:pStyle w:val="Compact"/>
              <w:jc w:val="left"/>
            </w:pPr>
            <w:r>
              <w:t xml:space="preserve">Suppression bypass works; flag not memorized</w:t>
            </w:r>
          </w:p>
        </w:tc>
        <w:tc>
          <w:tcPr/>
          <w:p>
            <w:pPr>
              <w:pStyle w:val="Compact"/>
              <w:jc w:val="left"/>
            </w:pPr>
            <w:r>
              <w:rPr>
                <w:bCs/>
                <w:b/>
              </w:rPr>
              <w:t xml:space="preserve">Pivot</w:t>
            </w:r>
            <w:r>
              <w:t xml:space="preserve">: Divergence-style extraction</w:t>
            </w:r>
            <w:r>
              <w:t xml:space="preserve"> </w:t>
            </w:r>
            <w:fldSimple w:instr="NOTEREF _Ref_Footnote_183 \h \f">
              <w:r>
                <w:rPr>
                  <w:vertAlign w:val="superscript"/>
                </w:rPr>
                <w:t>183</w:t>
              </w:r>
            </w:fldSimple>
            <w:r>
              <w:t xml:space="preserve"> </w:t>
            </w:r>
            <w:fldSimple w:instr="NOTEREF _Ref_Footnote_184 \h \f">
              <w:r>
                <w:rPr>
                  <w:vertAlign w:val="superscript"/>
                </w:rPr>
                <w:t>184</w:t>
              </w:r>
            </w:fldSimple>
            <w:r>
              <w:t xml:space="preserve">or fine-tuning attack</w:t>
            </w:r>
            <w:r>
              <w:t xml:space="preserve"> </w:t>
            </w:r>
            <w:fldSimple w:instr="NOTEREF _Ref_Footnote_190 \h \f">
              <w:r>
                <w:rPr>
                  <w:vertAlign w:val="superscript"/>
                </w:rPr>
                <w:t>190</w:t>
              </w:r>
            </w:fldSimple>
            <w:r>
              <w:t xml:space="preserve"> </w:t>
            </w:r>
            <w:fldSimple w:instr="NOTEREF _Ref_Footnote_185 \h \f">
              <w:r>
                <w:rPr>
                  <w:vertAlign w:val="superscript"/>
                </w:rPr>
                <w:t>185</w:t>
              </w:r>
            </w:fldSimple>
          </w:p>
        </w:tc>
        <w:tc>
          <w:tcPr/>
          <w:p>
            <w:pPr>
              <w:pStyle w:val="Compact"/>
              <w:jc w:val="left"/>
            </w:pPr>
            <w:r>
              <w:t xml:space="preserve">Medium</w:t>
            </w:r>
          </w:p>
        </w:tc>
      </w:tr>
      <w:tr>
        <w:tc>
          <w:tcPr/>
          <w:p>
            <w:pPr>
              <w:pStyle w:val="Compact"/>
              <w:jc w:val="left"/>
            </w:pPr>
            <w:r>
              <w:t xml:space="preserve">All interventions over 1 week produce no signal above noise</w:t>
            </w:r>
          </w:p>
        </w:tc>
        <w:tc>
          <w:tcPr/>
          <w:p>
            <w:pPr>
              <w:pStyle w:val="Compact"/>
              <w:jc w:val="left"/>
            </w:pPr>
            <w:r>
              <w:t xml:space="preserve">Flag not extractable via known techniques</w:t>
            </w:r>
          </w:p>
        </w:tc>
        <w:tc>
          <w:tcPr/>
          <w:p>
            <w:pPr>
              <w:pStyle w:val="Compact"/>
              <w:jc w:val="left"/>
            </w:pPr>
            <w:r>
              <w:rPr>
                <w:bCs/>
                <w:b/>
              </w:rPr>
              <w:t xml:space="preserve">No-go</w:t>
            </w:r>
            <w:r>
              <w:t xml:space="preserve">: Conclude; reassess assumptions (format, external hints)</w:t>
            </w:r>
          </w:p>
        </w:tc>
        <w:tc>
          <w:tcPr/>
          <w:p>
            <w:pPr>
              <w:pStyle w:val="Compact"/>
              <w:jc w:val="left"/>
            </w:pPr>
            <w:r>
              <w:t xml:space="preserve">Context-dependent</w:t>
            </w:r>
          </w:p>
        </w:tc>
      </w:tr>
    </w:tbl>
    <w:p>
      <w:pPr>
        <w:pStyle w:val="BodyText"/>
      </w:pPr>
      <w:r>
        <w:t xml:space="preserve">Each gate requires a quantitative signal, not intuition. The first three rows are</w:t>
      </w:r>
      <w:r>
        <w:t xml:space="preserve"> </w:t>
      </w:r>
      <w:r>
        <w:t xml:space="preserve">“</w:t>
      </w:r>
      <w:r>
        <w:t xml:space="preserve">go</w:t>
      </w:r>
      <w:r>
        <w:t xml:space="preserve">”</w:t>
      </w:r>
      <w:r>
        <w:t xml:space="preserve"> </w:t>
      </w:r>
      <w:r>
        <w:t xml:space="preserve">conditions where the flag is within reach. Rows 4–6 are</w:t>
      </w:r>
      <w:r>
        <w:t xml:space="preserve"> </w:t>
      </w:r>
      <w:r>
        <w:t xml:space="preserve">“</w:t>
      </w:r>
      <w:r>
        <w:t xml:space="preserve">pivot</w:t>
      </w:r>
      <w:r>
        <w:t xml:space="preserve">”</w:t>
      </w:r>
      <w:r>
        <w:t xml:space="preserve"> </w:t>
      </w:r>
      <w:r>
        <w:t xml:space="preserve">conditions redirecting the search. The final row is the terminal</w:t>
      </w:r>
      <w:r>
        <w:t xml:space="preserve"> </w:t>
      </w:r>
      <w:r>
        <w:t xml:space="preserve">“</w:t>
      </w:r>
      <w:r>
        <w:t xml:space="preserve">no-go</w:t>
      </w:r>
      <w:r>
        <w:t xml:space="preserve">”</w:t>
      </w:r>
      <w:r>
        <w:t xml:space="preserve"> </w:t>
      </w:r>
      <w:r>
        <w:t xml:space="preserve">requiring fundamental reassessment. The framework’s value lies in its explicitness: without such criteria, teams tend to continue optimizing a single intervention long past the point of diminishing returns. The five-condition convergence test in Section 10.4.2 operationalizes the</w:t>
      </w:r>
      <w:r>
        <w:t xml:space="preserve"> </w:t>
      </w:r>
      <w:r>
        <w:t xml:space="preserve">“</w:t>
      </w:r>
      <w:r>
        <w:t xml:space="preserve">no-go</w:t>
      </w:r>
      <w:r>
        <w:t xml:space="preserve">”</w:t>
      </w:r>
      <w:r>
        <w:t xml:space="preserve"> </w:t>
      </w:r>
      <w:r>
        <w:t xml:space="preserve">row by defining precisely what</w:t>
      </w:r>
      <w:r>
        <w:t xml:space="preserve"> </w:t>
      </w:r>
      <w:r>
        <w:t xml:space="preserve">“</w:t>
      </w:r>
      <w:r>
        <w:t xml:space="preserve">all interventions over 1 week produce no signal above noise</w:t>
      </w:r>
      <w:r>
        <w:t xml:space="preserve">”</w:t>
      </w:r>
      <w:r>
        <w:t xml:space="preserve"> </w:t>
      </w:r>
      <w:r>
        <w:t xml:space="preserve">means in measurable terms.</w:t>
      </w:r>
    </w:p>
    <w:bookmarkEnd w:id="153"/>
    <w:bookmarkStart w:id="154" w:name="Xe1df4210dab2e4d2ec4aa134c960104500d233c"/>
    <w:p>
      <w:pPr>
        <w:pStyle w:val="Heading3"/>
      </w:pPr>
      <w:r>
        <w:t xml:space="preserve">10.4.2 When to Conclude the Flag Is Not Extractable Through Current Techniques</w:t>
      </w:r>
    </w:p>
    <w:p>
      <w:pPr>
        <w:pStyle w:val="FirstParagraph"/>
      </w:pPr>
      <w:r>
        <w:t xml:space="preserve">Terminate the current approach only when all five conditions converge: (1) the full 51,200-configuration grid search yields no configuration with P(</w:t>
      </w:r>
      <w:r>
        <w:rPr>
          <w:rStyle w:val="VerbatimChar"/>
        </w:rPr>
        <w:t xml:space="preserve">f</w:t>
      </w:r>
      <w:r>
        <w:t xml:space="preserve">) &gt; 0.60 in greedy output; (2) EAP identifies no flag circuit with attribution above the IOI baseline</w:t>
      </w:r>
      <w:r>
        <w:t xml:space="preserve"> </w:t>
      </w:r>
      <w:fldSimple w:instr="NOTEREF _Ref_Footnote_13 \h \f">
        <w:r>
          <w:rPr>
            <w:vertAlign w:val="superscript"/>
          </w:rPr>
          <w:t>13</w:t>
        </w:r>
      </w:fldSimple>
      <w:r>
        <w:t xml:space="preserve">; (3) dead-layer forensics shows no Benford deviation, spectral anomaly, or bit-plane structure above 5% significance; (4) DSN-adapted GCG at 500+ iterations produces no flag-character sequence</w:t>
      </w:r>
      <w:r>
        <w:t xml:space="preserve"> </w:t>
      </w:r>
      <w:fldSimple w:instr="NOTEREF _Ref_Footnote_125 \h \f">
        <w:r>
          <w:rPr>
            <w:vertAlign w:val="superscript"/>
          </w:rPr>
          <w:t>125</w:t>
        </w:r>
      </w:fldSimple>
      <w:r>
        <w:t xml:space="preserve">; and (5) top-k sampling across all heteronym prefixes and ablation configurations produces no</w:t>
      </w:r>
      <w:r>
        <w:t xml:space="preserve"> </w:t>
      </w:r>
      <w:r>
        <w:rPr>
          <w:rStyle w:val="VerbatimChar"/>
        </w:rPr>
        <w:t xml:space="preserve">flag</w:t>
      </w:r>
      <w:r>
        <w:t xml:space="preserve"> </w:t>
      </w:r>
      <w:r>
        <w:t xml:space="preserve">substring in top-10 paths.</w:t>
      </w:r>
    </w:p>
    <w:p>
      <w:pPr>
        <w:pStyle w:val="BodyText"/>
      </w:pPr>
      <w:r>
        <w:t xml:space="preserve">If all five are satisfied, the evidence strongly indic</w:t>
      </w:r>
    </w:p>
    <w:bookmarkEnd w:id="154"/>
    <w:bookmarkEnd w:id="155"/>
    <w:bookmarkEnd w:id="1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r="http://schemas.openxmlformats.org/officeDocument/2006/relationships">
  <w:footnote w:type="separator" w:id="-1">
    <w:p>
      <w:r>
        <w:separator/>
      </w:r>
    </w:p>
  </w:footnote>
  <w:footnote w:type="continuationSeparator" w:id="0">
    <w:p>
      <w:r>
        <w:continuationSeparator/>
      </w:r>
    </w:p>
  </w:footnote>
  <w:footnote w:id="1">
    <w:p>
      <w:pPr>
        <w:pStyle w:val="FootnoteText"/>
        <w:spacing w:before="0" w:after="0" w:line="200" w:lineRule="exact"/>
      </w:pPr>
      <w:bookmarkStart w:id="10001" w:name="_Ref_Footnote_1"/>
      <w:r>
        <w:rPr>
          <w:rStyle w:val="FootnoteReference"/>
          <w:vertAlign w:val="superscript"/>
        </w:rPr>
        <w:footnoteRef/>
      </w:r>
      <w:r>
        <w:rPr>
          <w:sz w:val="18"/>
          <w:szCs w:val="18"/>
        </w:rPr>
        <w:t xml:space="preserve"> Snyk. https://snyk.io/articles/ctf/</w:t>
      </w:r>
      <w:bookmarkEnd w:id="10001"/>
    </w:p>
  </w:footnote>
  <w:footnote w:id="2">
    <w:p>
      <w:pPr>
        <w:pStyle w:val="FootnoteText"/>
        <w:spacing w:before="0" w:after="0" w:line="200" w:lineRule="exact"/>
      </w:pPr>
      <w:bookmarkStart w:id="10002" w:name="_Ref_Footnote_2"/>
      <w:r>
        <w:rPr>
          <w:rStyle w:val="FootnoteReference"/>
          <w:vertAlign w:val="superscript"/>
        </w:rPr>
        <w:footnoteRef/>
      </w:r>
      <w:r>
        <w:rPr>
          <w:sz w:val="18"/>
          <w:szCs w:val="18"/>
        </w:rPr>
        <w:t xml:space="preserve"> Neel Nanda. https://www.neelnanda.io/mechanistic-interpretability/glossary</w:t>
      </w:r>
      <w:bookmarkEnd w:id="10002"/>
    </w:p>
  </w:footnote>
  <w:footnote w:id="3">
    <w:p>
      <w:pPr>
        <w:pStyle w:val="FootnoteText"/>
        <w:spacing w:before="0" w:after="0" w:line="200" w:lineRule="exact"/>
      </w:pPr>
      <w:bookmarkStart w:id="10003" w:name="_Ref_Footnote_3"/>
      <w:r>
        <w:rPr>
          <w:rStyle w:val="FootnoteReference"/>
          <w:vertAlign w:val="superscript"/>
        </w:rPr>
        <w:footnoteRef/>
      </w:r>
      <w:r>
        <w:rPr>
          <w:sz w:val="18"/>
          <w:szCs w:val="18"/>
        </w:rPr>
        <w:t xml:space="preserve"> arXiv.org. https://arxiv.org/html/2404.15146v1</w:t>
      </w:r>
      <w:bookmarkEnd w:id="10003"/>
    </w:p>
  </w:footnote>
  <w:footnote w:id="4">
    <w:p>
      <w:pPr>
        <w:pStyle w:val="FootnoteText"/>
        <w:spacing w:before="0" w:after="0" w:line="200" w:lineRule="exact"/>
      </w:pPr>
      <w:bookmarkStart w:id="10004" w:name="_Ref_Footnote_4"/>
      <w:r>
        <w:rPr>
          <w:rStyle w:val="FootnoteReference"/>
          <w:vertAlign w:val="superscript"/>
        </w:rPr>
        <w:footnoteRef/>
      </w:r>
      <w:r>
        <w:rPr>
          <w:sz w:val="18"/>
          <w:szCs w:val="18"/>
        </w:rPr>
        <w:t xml:space="preserve"> arXiv.org. https://arxiv.org/html/2412.16905v1</w:t>
      </w:r>
      <w:bookmarkEnd w:id="10004"/>
    </w:p>
  </w:footnote>
  <w:footnote w:id="5">
    <w:p>
      <w:pPr>
        <w:pStyle w:val="FootnoteText"/>
        <w:spacing w:before="0" w:after="0" w:line="200" w:lineRule="exact"/>
      </w:pPr>
      <w:bookmarkStart w:id="10005" w:name="_Ref_Footnote_5"/>
      <w:r>
        <w:rPr>
          <w:rStyle w:val="FootnoteReference"/>
          <w:vertAlign w:val="superscript"/>
        </w:rPr>
        <w:footnoteRef/>
      </w:r>
      <w:r>
        <w:rPr>
          <w:sz w:val="18"/>
          <w:szCs w:val="18"/>
        </w:rPr>
        <w:t xml:space="preserve"> Emergent Mind. https://www.emergentmind.com/topics/edge-attribution-patching-eap</w:t>
      </w:r>
      <w:bookmarkEnd w:id="10005"/>
    </w:p>
  </w:footnote>
  <w:footnote w:id="6">
    <w:p>
      <w:pPr>
        <w:pStyle w:val="FootnoteText"/>
        <w:spacing w:before="0" w:after="0" w:line="200" w:lineRule="exact"/>
      </w:pPr>
      <w:bookmarkStart w:id="10006" w:name="_Ref_Footnote_6"/>
      <w:r>
        <w:rPr>
          <w:rStyle w:val="FootnoteReference"/>
          <w:vertAlign w:val="superscript"/>
        </w:rPr>
        <w:footnoteRef/>
      </w:r>
      <w:r>
        <w:rPr>
          <w:sz w:val="18"/>
          <w:szCs w:val="18"/>
        </w:rPr>
        <w:t xml:space="preserve"> Training – Shubham Gupta. https://shubhamg.in/posts/2025-08-05-anthropic-bsides-ctf.html</w:t>
      </w:r>
      <w:bookmarkEnd w:id="10006"/>
    </w:p>
  </w:footnote>
  <w:footnote w:id="7">
    <w:p>
      <w:pPr>
        <w:pStyle w:val="FootnoteText"/>
        <w:spacing w:before="0" w:after="0" w:line="200" w:lineRule="exact"/>
      </w:pPr>
      <w:bookmarkStart w:id="10007" w:name="_Ref_Footnote_7"/>
      <w:r>
        <w:rPr>
          <w:rStyle w:val="FootnoteReference"/>
          <w:vertAlign w:val="superscript"/>
        </w:rPr>
        <w:footnoteRef/>
      </w:r>
      <w:r>
        <w:rPr>
          <w:sz w:val="18"/>
          <w:szCs w:val="18"/>
        </w:rPr>
        <w:t xml:space="preserve"> arXiv.org. https://arxiv.org/html/2510.23035v1</w:t>
      </w:r>
      <w:bookmarkEnd w:id="10007"/>
    </w:p>
  </w:footnote>
  <w:footnote w:id="8">
    <w:p>
      <w:pPr>
        <w:pStyle w:val="FootnoteText"/>
        <w:spacing w:before="0" w:after="0" w:line="200" w:lineRule="exact"/>
      </w:pPr>
      <w:bookmarkStart w:id="10008" w:name="_Ref_Footnote_8"/>
      <w:r>
        <w:rPr>
          <w:rStyle w:val="FootnoteReference"/>
          <w:vertAlign w:val="superscript"/>
        </w:rPr>
        <w:footnoteRef/>
      </w:r>
      <w:r>
        <w:rPr>
          <w:sz w:val="18"/>
          <w:szCs w:val="18"/>
        </w:rPr>
        <w:t xml:space="preserve"> arXiv.org. https://arxiv.org/html/2410.06545v1</w:t>
      </w:r>
      <w:bookmarkEnd w:id="10008"/>
    </w:p>
  </w:footnote>
  <w:footnote w:id="9">
    <w:p>
      <w:pPr>
        <w:pStyle w:val="FootnoteText"/>
        <w:spacing w:before="0" w:after="0" w:line="200" w:lineRule="exact"/>
      </w:pPr>
      <w:bookmarkStart w:id="10009" w:name="_Ref_Footnote_9"/>
      <w:r>
        <w:rPr>
          <w:rStyle w:val="FootnoteReference"/>
          <w:vertAlign w:val="superscript"/>
        </w:rPr>
        <w:footnoteRef/>
      </w:r>
      <w:r>
        <w:rPr>
          <w:sz w:val="18"/>
          <w:szCs w:val="18"/>
        </w:rPr>
        <w:t xml:space="preserve"> NeurIPS Proceedings. https://proceedings.neurips.cc/paper_files/paper/2024/file/10f34ee79b62627b7ebf6279d35ea480-Paper-Conference.pdf</w:t>
      </w:r>
      <w:bookmarkEnd w:id="10009"/>
    </w:p>
  </w:footnote>
  <w:footnote w:id="10">
    <w:p>
      <w:pPr>
        <w:pStyle w:val="FootnoteText"/>
        <w:spacing w:before="0" w:after="0" w:line="200" w:lineRule="exact"/>
      </w:pPr>
      <w:bookmarkStart w:id="10010" w:name="_Ref_Footnote_10"/>
      <w:r>
        <w:rPr>
          <w:rStyle w:val="FootnoteReference"/>
          <w:vertAlign w:val="superscript"/>
        </w:rPr>
        <w:footnoteRef/>
      </w:r>
      <w:r>
        <w:rPr>
          <w:sz w:val="18"/>
          <w:szCs w:val="18"/>
        </w:rPr>
        <w:t xml:space="preserve"> themoonlight.io. https://www.themoonlight.io/en/review/a-backdoor-attack-scheme-with-invisible-triggers-based-on-model-architecture-modification</w:t>
      </w:r>
      <w:bookmarkEnd w:id="10010"/>
    </w:p>
  </w:footnote>
  <w:footnote w:id="11">
    <w:p>
      <w:pPr>
        <w:pStyle w:val="FootnoteText"/>
        <w:spacing w:before="0" w:after="0" w:line="200" w:lineRule="exact"/>
      </w:pPr>
      <w:bookmarkStart w:id="10011" w:name="_Ref_Footnote_11"/>
      <w:r>
        <w:rPr>
          <w:rStyle w:val="FootnoteReference"/>
          <w:vertAlign w:val="superscript"/>
        </w:rPr>
        <w:footnoteRef/>
      </w:r>
      <w:r>
        <w:rPr>
          <w:sz w:val="18"/>
          <w:szCs w:val="18"/>
        </w:rPr>
        <w:t xml:space="preserve"> arXiv.org. https://arxiv.org/html/2410.15052v5</w:t>
      </w:r>
      <w:bookmarkEnd w:id="10011"/>
    </w:p>
  </w:footnote>
  <w:footnote w:id="12">
    <w:p>
      <w:pPr>
        <w:pStyle w:val="FootnoteText"/>
        <w:spacing w:before="0" w:after="0" w:line="200" w:lineRule="exact"/>
      </w:pPr>
      <w:bookmarkStart w:id="10012" w:name="_Ref_Footnote_12"/>
      <w:r>
        <w:rPr>
          <w:rStyle w:val="FootnoteReference"/>
          <w:vertAlign w:val="superscript"/>
        </w:rPr>
        <w:footnoteRef/>
      </w:r>
      <w:r>
        <w:rPr>
          <w:sz w:val="18"/>
          <w:szCs w:val="18"/>
        </w:rPr>
        <w:t xml:space="preserve"> Neel Nanda. https://www.neelnanda.io/mechanistic-interpretability/attribution-patching</w:t>
      </w:r>
      <w:bookmarkEnd w:id="10012"/>
    </w:p>
  </w:footnote>
  <w:footnote w:id="13">
    <w:p>
      <w:pPr>
        <w:pStyle w:val="FootnoteText"/>
        <w:spacing w:before="0" w:after="0" w:line="200" w:lineRule="exact"/>
      </w:pPr>
      <w:bookmarkStart w:id="10013" w:name="_Ref_Footnote_13"/>
      <w:r>
        <w:rPr>
          <w:rStyle w:val="FootnoteReference"/>
          <w:vertAlign w:val="superscript"/>
        </w:rPr>
        <w:footnoteRef/>
      </w:r>
      <w:r>
        <w:rPr>
          <w:sz w:val="18"/>
          <w:szCs w:val="18"/>
        </w:rPr>
        <w:t xml:space="preserve"> baulab.info. https://sidn.baulab.info/autocircuits/</w:t>
      </w:r>
      <w:bookmarkEnd w:id="10013"/>
    </w:p>
  </w:footnote>
  <w:footnote w:id="14">
    <w:p>
      <w:pPr>
        <w:pStyle w:val="FootnoteText"/>
        <w:spacing w:before="0" w:after="0" w:line="200" w:lineRule="exact"/>
      </w:pPr>
      <w:bookmarkStart w:id="10014" w:name="_Ref_Footnote_14"/>
      <w:r>
        <w:rPr>
          <w:rStyle w:val="FootnoteReference"/>
          <w:vertAlign w:val="superscript"/>
        </w:rPr>
        <w:footnoteRef/>
      </w:r>
      <w:r>
        <w:rPr>
          <w:sz w:val="18"/>
          <w:szCs w:val="18"/>
        </w:rPr>
        <w:t xml:space="preserve"> Medium. https://mamonrasoolabdali.medium.com/d3fc0n30-ctf-writeup-hacking-this-ai-5a28f8885193</w:t>
      </w:r>
      <w:bookmarkEnd w:id="10014"/>
    </w:p>
  </w:footnote>
  <w:footnote w:id="15">
    <w:p>
      <w:pPr>
        <w:pStyle w:val="FootnoteText"/>
        <w:spacing w:before="0" w:after="0" w:line="200" w:lineRule="exact"/>
      </w:pPr>
      <w:bookmarkStart w:id="10015" w:name="_Ref_Footnote_15"/>
      <w:r>
        <w:rPr>
          <w:rStyle w:val="FootnoteReference"/>
          <w:vertAlign w:val="superscript"/>
        </w:rPr>
        <w:footnoteRef/>
      </w:r>
      <w:r>
        <w:rPr>
          <w:sz w:val="18"/>
          <w:szCs w:val="18"/>
        </w:rPr>
        <w:t xml:space="preserve"> arXiv.org. https://arxiv.org/pdf/2306.17189</w:t>
      </w:r>
      <w:bookmarkEnd w:id="10015"/>
    </w:p>
  </w:footnote>
  <w:footnote w:id="16">
    <w:p>
      <w:pPr>
        <w:pStyle w:val="FootnoteText"/>
        <w:spacing w:before="0" w:after="0" w:line="200" w:lineRule="exact"/>
      </w:pPr>
      <w:bookmarkStart w:id="10016" w:name="_Ref_Footnote_16"/>
      <w:r>
        <w:rPr>
          <w:rStyle w:val="FootnoteReference"/>
          <w:vertAlign w:val="superscript"/>
        </w:rPr>
        <w:footnoteRef/>
      </w:r>
      <w:r>
        <w:rPr>
          <w:sz w:val="18"/>
          <w:szCs w:val="18"/>
        </w:rPr>
        <w:t xml:space="preserve"> Deepgram. https://deepgram.com/learn/capturing-attention-decoding-the-success-of-transformer-models-in-natural-language-processing</w:t>
      </w:r>
      <w:bookmarkEnd w:id="10016"/>
    </w:p>
  </w:footnote>
  <w:footnote w:id="17">
    <w:p>
      <w:pPr>
        <w:pStyle w:val="FootnoteText"/>
        <w:spacing w:before="0" w:after="0" w:line="200" w:lineRule="exact"/>
      </w:pPr>
      <w:bookmarkStart w:id="10017" w:name="_Ref_Footnote_17"/>
      <w:r>
        <w:rPr>
          <w:rStyle w:val="FootnoteReference"/>
          <w:vertAlign w:val="superscript"/>
        </w:rPr>
        <w:footnoteRef/>
      </w:r>
      <w:r>
        <w:rPr>
          <w:sz w:val="18"/>
          <w:szCs w:val="18"/>
        </w:rPr>
        <w:t xml:space="preserve"> themoonlight.io. https://www.themoonlight.io/en/review/a-high-capacity-linguistic-steganography-based-on-entropy-driven-rank-token-mapping</w:t>
      </w:r>
      <w:bookmarkEnd w:id="10017"/>
    </w:p>
  </w:footnote>
  <w:footnote w:id="18">
    <w:p>
      <w:pPr>
        <w:pStyle w:val="FootnoteText"/>
        <w:spacing w:before="0" w:after="0" w:line="200" w:lineRule="exact"/>
      </w:pPr>
      <w:bookmarkStart w:id="10018" w:name="_Ref_Footnote_18"/>
      <w:r>
        <w:rPr>
          <w:rStyle w:val="FootnoteReference"/>
          <w:vertAlign w:val="superscript"/>
        </w:rPr>
        <w:footnoteRef/>
      </w:r>
      <w:r>
        <w:rPr>
          <w:sz w:val="18"/>
          <w:szCs w:val="18"/>
        </w:rPr>
        <w:t xml:space="preserve"> ACM Digital Library. https://dl.acm.org/doi/10.1145/3691626</w:t>
      </w:r>
      <w:bookmarkEnd w:id="10018"/>
    </w:p>
  </w:footnote>
  <w:footnote w:id="19">
    <w:p>
      <w:pPr>
        <w:pStyle w:val="FootnoteText"/>
        <w:spacing w:before="0" w:after="0" w:line="200" w:lineRule="exact"/>
      </w:pPr>
      <w:bookmarkStart w:id="10019" w:name="_Ref_Footnote_19"/>
      <w:r>
        <w:rPr>
          <w:rStyle w:val="FootnoteReference"/>
          <w:vertAlign w:val="superscript"/>
        </w:rPr>
        <w:footnoteRef/>
      </w:r>
      <w:r>
        <w:rPr>
          <w:sz w:val="18"/>
          <w:szCs w:val="18"/>
        </w:rPr>
        <w:t xml:space="preserve"> USENIX. https://www.usenix.org/system/files/sec22-pan-hidden.pdf</w:t>
      </w:r>
      <w:bookmarkEnd w:id="10019"/>
    </w:p>
  </w:footnote>
  <w:footnote w:id="20">
    <w:p>
      <w:pPr>
        <w:pStyle w:val="FootnoteText"/>
        <w:spacing w:before="0" w:after="0" w:line="200" w:lineRule="exact"/>
      </w:pPr>
      <w:bookmarkStart w:id="10020" w:name="_Ref_Footnote_20"/>
      <w:r>
        <w:rPr>
          <w:rStyle w:val="FootnoteReference"/>
          <w:vertAlign w:val="superscript"/>
        </w:rPr>
        <w:footnoteRef/>
      </w:r>
      <w:r>
        <w:rPr>
          <w:sz w:val="18"/>
          <w:szCs w:val="18"/>
        </w:rPr>
        <w:t xml:space="preserve"> Proceedings of Machine Learning Research. https://proceedings.mlr.press/v202/kirchenbauer23a/kirchenbauer23a.pdf</w:t>
      </w:r>
      <w:bookmarkEnd w:id="10020"/>
    </w:p>
  </w:footnote>
  <w:footnote w:id="21">
    <w:p>
      <w:pPr>
        <w:pStyle w:val="FootnoteText"/>
        <w:spacing w:before="0" w:after="0" w:line="200" w:lineRule="exact"/>
      </w:pPr>
      <w:bookmarkStart w:id="10021" w:name="_Ref_Footnote_21"/>
      <w:r>
        <w:rPr>
          <w:rStyle w:val="FootnoteReference"/>
          <w:vertAlign w:val="superscript"/>
        </w:rPr>
        <w:footnoteRef/>
      </w:r>
      <w:r>
        <w:rPr>
          <w:sz w:val="18"/>
          <w:szCs w:val="18"/>
        </w:rPr>
        <w:t xml:space="preserve"> Archive ouverte HAL. https://hal.science/hal-04766606/file/17001_WaterMax_breaking_the_LL.pdf</w:t>
      </w:r>
      <w:bookmarkEnd w:id="10021"/>
    </w:p>
  </w:footnote>
  <w:footnote w:id="22">
    <w:p>
      <w:pPr>
        <w:pStyle w:val="FootnoteText"/>
        <w:spacing w:before="0" w:after="0" w:line="200" w:lineRule="exact"/>
      </w:pPr>
      <w:bookmarkStart w:id="10022" w:name="_Ref_Footnote_22"/>
      <w:r>
        <w:rPr>
          <w:rStyle w:val="FootnoteReference"/>
          <w:vertAlign w:val="superscript"/>
        </w:rPr>
        <w:footnoteRef/>
      </w:r>
      <w:r>
        <w:rPr>
          <w:sz w:val="18"/>
          <w:szCs w:val="18"/>
        </w:rPr>
        <w:t xml:space="preserve"> USENIX. https://www.usenix.org/system/files/sec23winter-prepub-118-sun.pdf</w:t>
      </w:r>
      <w:bookmarkEnd w:id="10022"/>
    </w:p>
  </w:footnote>
  <w:footnote w:id="23">
    <w:p>
      <w:pPr>
        <w:pStyle w:val="FootnoteText"/>
        <w:spacing w:before="0" w:after="0" w:line="200" w:lineRule="exact"/>
      </w:pPr>
      <w:bookmarkStart w:id="10023" w:name="_Ref_Footnote_23"/>
      <w:r>
        <w:rPr>
          <w:rStyle w:val="FootnoteReference"/>
          <w:vertAlign w:val="superscript"/>
        </w:rPr>
        <w:footnoteRef/>
      </w:r>
      <w:r>
        <w:rPr>
          <w:sz w:val="18"/>
          <w:szCs w:val="18"/>
        </w:rPr>
        <w:t xml:space="preserve"> MDPI. https://www.mdpi.com/2079-9292/12/4/969</w:t>
      </w:r>
      <w:bookmarkEnd w:id="10023"/>
    </w:p>
  </w:footnote>
  <w:footnote w:id="24">
    <w:p>
      <w:pPr>
        <w:pStyle w:val="FootnoteText"/>
        <w:spacing w:before="0" w:after="0" w:line="200" w:lineRule="exact"/>
      </w:pPr>
      <w:bookmarkStart w:id="10024" w:name="_Ref_Footnote_24"/>
      <w:r>
        <w:rPr>
          <w:rStyle w:val="FootnoteReference"/>
          <w:vertAlign w:val="superscript"/>
        </w:rPr>
        <w:footnoteRef/>
      </w:r>
      <w:r>
        <w:rPr>
          <w:sz w:val="18"/>
          <w:szCs w:val="18"/>
        </w:rPr>
        <w:t xml:space="preserve"> Github. https://github.com/amsqr/AI-Village-CTF-DEFCON30-solution</w:t>
      </w:r>
      <w:bookmarkEnd w:id="10024"/>
    </w:p>
  </w:footnote>
  <w:footnote w:id="25">
    <w:p>
      <w:pPr>
        <w:pStyle w:val="FootnoteText"/>
        <w:spacing w:before="0" w:after="0" w:line="200" w:lineRule="exact"/>
      </w:pPr>
      <w:bookmarkStart w:id="10025" w:name="_Ref_Footnote_25"/>
      <w:r>
        <w:rPr>
          <w:rStyle w:val="FootnoteReference"/>
          <w:vertAlign w:val="superscript"/>
        </w:rPr>
        <w:footnoteRef/>
      </w:r>
      <w:r>
        <w:rPr>
          <w:sz w:val="18"/>
          <w:szCs w:val="18"/>
        </w:rPr>
        <w:t xml:space="preserve"> corpora.ai. https://corpora.ai/reports/current-solutions/09-09-gradient-based-prompt-optimization-attack-methods.html</w:t>
      </w:r>
      <w:bookmarkEnd w:id="10025"/>
    </w:p>
  </w:footnote>
  <w:footnote w:id="26">
    <w:p>
      <w:pPr>
        <w:pStyle w:val="FootnoteText"/>
        <w:spacing w:before="0" w:after="0" w:line="200" w:lineRule="exact"/>
      </w:pPr>
      <w:bookmarkStart w:id="10026" w:name="_Ref_Footnote_26"/>
      <w:r>
        <w:rPr>
          <w:rStyle w:val="FootnoteReference"/>
          <w:vertAlign w:val="superscript"/>
        </w:rPr>
        <w:footnoteRef/>
      </w:r>
      <w:r>
        <w:rPr>
          <w:sz w:val="18"/>
          <w:szCs w:val="18"/>
        </w:rPr>
        <w:t xml:space="preserve"> outcomeschool.com. https://outcomeschool.com/blog/bpe-in-llms</w:t>
      </w:r>
      <w:bookmarkEnd w:id="10026"/>
    </w:p>
  </w:footnote>
  <w:footnote w:id="27">
    <w:p>
      <w:pPr>
        <w:pStyle w:val="FootnoteText"/>
        <w:spacing w:before="0" w:after="0" w:line="200" w:lineRule="exact"/>
      </w:pPr>
      <w:bookmarkStart w:id="10027" w:name="_Ref_Footnote_27"/>
      <w:r>
        <w:rPr>
          <w:rStyle w:val="FootnoteReference"/>
          <w:vertAlign w:val="superscript"/>
        </w:rPr>
        <w:footnoteRef/>
      </w:r>
      <w:r>
        <w:rPr>
          <w:sz w:val="18"/>
          <w:szCs w:val="18"/>
        </w:rPr>
        <w:t xml:space="preserve"> arXiv.org. https://arxiv.org/html/2603.10641v1</w:t>
      </w:r>
      <w:bookmarkEnd w:id="10027"/>
    </w:p>
  </w:footnote>
  <w:footnote w:id="28">
    <w:p>
      <w:pPr>
        <w:pStyle w:val="FootnoteText"/>
        <w:spacing w:before="0" w:after="0" w:line="200" w:lineRule="exact"/>
      </w:pPr>
      <w:bookmarkStart w:id="10028" w:name="_Ref_Footnote_28"/>
      <w:r>
        <w:rPr>
          <w:rStyle w:val="FootnoteReference"/>
          <w:vertAlign w:val="superscript"/>
        </w:rPr>
        <w:footnoteRef/>
      </w:r>
      <w:r>
        <w:rPr>
          <w:sz w:val="18"/>
          <w:szCs w:val="18"/>
        </w:rPr>
        <w:t xml:space="preserve"> USENIX. https://www.usenix.org/system/files/usenixsecurity24-zhang-rui.pdf</w:t>
      </w:r>
      <w:bookmarkEnd w:id="10028"/>
    </w:p>
  </w:footnote>
  <w:footnote w:id="29">
    <w:p>
      <w:pPr>
        <w:pStyle w:val="FootnoteText"/>
        <w:spacing w:before="0" w:after="0" w:line="200" w:lineRule="exact"/>
      </w:pPr>
      <w:bookmarkStart w:id="10029" w:name="_Ref_Footnote_29"/>
      <w:r>
        <w:rPr>
          <w:rStyle w:val="FootnoteReference"/>
          <w:vertAlign w:val="superscript"/>
        </w:rPr>
        <w:footnoteRef/>
      </w:r>
      <w:r>
        <w:rPr>
          <w:sz w:val="18"/>
          <w:szCs w:val="18"/>
        </w:rPr>
        <w:t xml:space="preserve"> Computer Science and Engineering at MSU. https://cse.msu.edu/~qyan/paper/Chatbot-AsiaCCS24.pdf</w:t>
      </w:r>
      <w:bookmarkEnd w:id="10029"/>
    </w:p>
  </w:footnote>
  <w:footnote w:id="30">
    <w:p>
      <w:pPr>
        <w:pStyle w:val="FootnoteText"/>
        <w:spacing w:before="0" w:after="0" w:line="200" w:lineRule="exact"/>
      </w:pPr>
      <w:bookmarkStart w:id="10030" w:name="_Ref_Footnote_30"/>
      <w:r>
        <w:rPr>
          <w:rStyle w:val="FootnoteReference"/>
          <w:vertAlign w:val="superscript"/>
        </w:rPr>
        <w:footnoteRef/>
      </w:r>
      <w:r>
        <w:rPr>
          <w:sz w:val="18"/>
          <w:szCs w:val="18"/>
        </w:rPr>
        <w:t xml:space="preserve"> Docs.rs. https://docs.rs/ipfrs-tensorlogic/latest/ipfrs_tensorlogic/pytorch_checkpoint/index.html</w:t>
      </w:r>
      <w:bookmarkEnd w:id="10030"/>
    </w:p>
  </w:footnote>
  <w:footnote w:id="31">
    <w:p>
      <w:pPr>
        <w:pStyle w:val="FootnoteText"/>
        <w:spacing w:before="0" w:after="0" w:line="200" w:lineRule="exact"/>
      </w:pPr>
      <w:bookmarkStart w:id="10031" w:name="_Ref_Footnote_31"/>
      <w:r>
        <w:rPr>
          <w:rStyle w:val="FootnoteReference"/>
          <w:vertAlign w:val="superscript"/>
        </w:rPr>
        <w:footnoteRef/>
      </w:r>
      <w:r>
        <w:rPr>
          <w:sz w:val="18"/>
          <w:szCs w:val="18"/>
        </w:rPr>
        <w:t xml:space="preserve"> arXiv.org. https://arxiv.org/html/2305.09574v2/</w:t>
      </w:r>
      <w:bookmarkEnd w:id="10031"/>
    </w:p>
  </w:footnote>
  <w:footnote w:id="32">
    <w:p>
      <w:pPr>
        <w:pStyle w:val="FootnoteText"/>
        <w:spacing w:before="0" w:after="0" w:line="200" w:lineRule="exact"/>
      </w:pPr>
      <w:bookmarkStart w:id="10032" w:name="_Ref_Footnote_32"/>
      <w:r>
        <w:rPr>
          <w:rStyle w:val="FootnoteReference"/>
          <w:vertAlign w:val="superscript"/>
        </w:rPr>
        <w:footnoteRef/>
      </w:r>
      <w:r>
        <w:rPr>
          <w:sz w:val="18"/>
          <w:szCs w:val="18"/>
        </w:rPr>
        <w:t xml:space="preserve"> arXiv.org. https://arxiv.org/pdf/2409.19310</w:t>
      </w:r>
      <w:bookmarkEnd w:id="10032"/>
    </w:p>
  </w:footnote>
  <w:footnote w:id="33">
    <w:p>
      <w:pPr>
        <w:pStyle w:val="FootnoteText"/>
        <w:spacing w:before="0" w:after="0" w:line="200" w:lineRule="exact"/>
      </w:pPr>
      <w:bookmarkStart w:id="10033" w:name="_Ref_Footnote_33"/>
      <w:r>
        <w:rPr>
          <w:rStyle w:val="FootnoteReference"/>
          <w:vertAlign w:val="superscript"/>
        </w:rPr>
        <w:footnoteRef/>
      </w:r>
      <w:r>
        <w:rPr>
          <w:sz w:val="18"/>
          <w:szCs w:val="18"/>
        </w:rPr>
        <w:t xml:space="preserve"> OpenReview. https://openreview.net/forum?id=x6YSsKYJuH</w:t>
      </w:r>
      <w:bookmarkEnd w:id="10033"/>
    </w:p>
  </w:footnote>
  <w:footnote w:id="34">
    <w:p>
      <w:pPr>
        <w:pStyle w:val="FootnoteText"/>
        <w:spacing w:before="0" w:after="0" w:line="200" w:lineRule="exact"/>
      </w:pPr>
      <w:bookmarkStart w:id="10034" w:name="_Ref_Footnote_34"/>
      <w:r>
        <w:rPr>
          <w:rStyle w:val="FootnoteReference"/>
          <w:vertAlign w:val="superscript"/>
        </w:rPr>
        <w:footnoteRef/>
      </w:r>
      <w:r>
        <w:rPr>
          <w:sz w:val="18"/>
          <w:szCs w:val="18"/>
        </w:rPr>
        <w:t xml:space="preserve"> arXiv.org. https://arxiv.org/html/2510.01070v2</w:t>
      </w:r>
      <w:bookmarkEnd w:id="10034"/>
    </w:p>
  </w:footnote>
  <w:footnote w:id="35">
    <w:p>
      <w:pPr>
        <w:pStyle w:val="FootnoteText"/>
        <w:spacing w:before="0" w:after="0" w:line="200" w:lineRule="exact"/>
      </w:pPr>
      <w:bookmarkStart w:id="10035" w:name="_Ref_Footnote_35"/>
      <w:r>
        <w:rPr>
          <w:rStyle w:val="FootnoteReference"/>
          <w:vertAlign w:val="superscript"/>
        </w:rPr>
        <w:footnoteRef/>
      </w:r>
      <w:r>
        <w:rPr>
          <w:sz w:val="18"/>
          <w:szCs w:val="18"/>
        </w:rPr>
        <w:t xml:space="preserve"> arXiv.org. https://arxiv.org/html/2510.01070v1</w:t>
      </w:r>
      <w:bookmarkEnd w:id="10035"/>
    </w:p>
  </w:footnote>
  <w:footnote w:id="36">
    <w:p>
      <w:pPr>
        <w:pStyle w:val="FootnoteText"/>
        <w:spacing w:before="0" w:after="0" w:line="200" w:lineRule="exact"/>
      </w:pPr>
      <w:bookmarkStart w:id="10036" w:name="_Ref_Footnote_36"/>
      <w:r>
        <w:rPr>
          <w:rStyle w:val="FootnoteReference"/>
          <w:vertAlign w:val="superscript"/>
        </w:rPr>
        <w:footnoteRef/>
      </w:r>
      <w:r>
        <w:rPr>
          <w:sz w:val="18"/>
          <w:szCs w:val="18"/>
        </w:rPr>
        <w:t xml:space="preserve"> themoonlight.io. https://www.themoonlight.io/de/review/eliciting-secret-knowledge-from-language-models</w:t>
      </w:r>
      <w:bookmarkEnd w:id="10036"/>
    </w:p>
  </w:footnote>
  <w:footnote w:id="37">
    <w:p>
      <w:pPr>
        <w:pStyle w:val="FootnoteText"/>
        <w:spacing w:before="0" w:after="0" w:line="200" w:lineRule="exact"/>
      </w:pPr>
      <w:bookmarkStart w:id="10037" w:name="_Ref_Footnote_37"/>
      <w:r>
        <w:rPr>
          <w:rStyle w:val="FootnoteReference"/>
          <w:vertAlign w:val="superscript"/>
        </w:rPr>
        <w:footnoteRef/>
      </w:r>
      <w:r>
        <w:rPr>
          <w:sz w:val="18"/>
          <w:szCs w:val="18"/>
        </w:rPr>
        <w:t xml:space="preserve"> USiena-AIR. https://usiena-air.unisi.it/retrieve/39cc9386-0ca3-46c5-82eb-444a06432cfa/An_Overview_of_Backdoor_Attacks_Against_Deep_Neural_Networks_and_Possible_Defences.pdf</w:t>
      </w:r>
      <w:bookmarkEnd w:id="10037"/>
    </w:p>
  </w:footnote>
  <w:footnote w:id="38">
    <w:p>
      <w:pPr>
        <w:pStyle w:val="FootnoteText"/>
        <w:spacing w:before="0" w:after="0" w:line="200" w:lineRule="exact"/>
      </w:pPr>
      <w:bookmarkStart w:id="10038" w:name="_Ref_Footnote_38"/>
      <w:r>
        <w:rPr>
          <w:rStyle w:val="FootnoteReference"/>
          <w:vertAlign w:val="superscript"/>
        </w:rPr>
        <w:footnoteRef/>
      </w:r>
      <w:r>
        <w:rPr>
          <w:sz w:val="18"/>
          <w:szCs w:val="18"/>
        </w:rPr>
        <w:t xml:space="preserve"> arXiv.org. https://arxiv.org/html/2512.24143v3</w:t>
      </w:r>
      <w:bookmarkEnd w:id="10038"/>
    </w:p>
  </w:footnote>
  <w:footnote w:id="39">
    <w:p>
      <w:pPr>
        <w:pStyle w:val="FootnoteText"/>
        <w:spacing w:before="0" w:after="0" w:line="200" w:lineRule="exact"/>
      </w:pPr>
      <w:bookmarkStart w:id="10039" w:name="_Ref_Footnote_39"/>
      <w:r>
        <w:rPr>
          <w:rStyle w:val="FootnoteReference"/>
          <w:vertAlign w:val="superscript"/>
        </w:rPr>
        <w:footnoteRef/>
      </w:r>
      <w:r>
        <w:rPr>
          <w:sz w:val="18"/>
          <w:szCs w:val="18"/>
        </w:rPr>
        <w:t xml:space="preserve"> arXiv.org. https://arxiv.org/html/2605.20824v1</w:t>
      </w:r>
      <w:bookmarkEnd w:id="10039"/>
    </w:p>
  </w:footnote>
  <w:footnote w:id="40">
    <w:p>
      <w:pPr>
        <w:pStyle w:val="FootnoteText"/>
        <w:spacing w:before="0" w:after="0" w:line="200" w:lineRule="exact"/>
      </w:pPr>
      <w:bookmarkStart w:id="10040" w:name="_Ref_Footnote_40"/>
      <w:r>
        <w:rPr>
          <w:rStyle w:val="FootnoteReference"/>
          <w:vertAlign w:val="superscript"/>
        </w:rPr>
        <w:footnoteRef/>
      </w:r>
      <w:r>
        <w:rPr>
          <w:sz w:val="18"/>
          <w:szCs w:val="18"/>
        </w:rPr>
        <w:t xml:space="preserve"> promptfoo.dev. https://www.promptfoo.dev/docs/model-audit/scanners/</w:t>
      </w:r>
      <w:bookmarkEnd w:id="10040"/>
    </w:p>
  </w:footnote>
  <w:footnote w:id="41">
    <w:p>
      <w:pPr>
        <w:pStyle w:val="FootnoteText"/>
        <w:spacing w:before="0" w:after="0" w:line="200" w:lineRule="exact"/>
      </w:pPr>
      <w:bookmarkStart w:id="10041" w:name="_Ref_Footnote_41"/>
      <w:r>
        <w:rPr>
          <w:rStyle w:val="FootnoteReference"/>
          <w:vertAlign w:val="superscript"/>
        </w:rPr>
        <w:footnoteRef/>
      </w:r>
      <w:r>
        <w:rPr>
          <w:sz w:val="18"/>
          <w:szCs w:val="18"/>
        </w:rPr>
        <w:t xml:space="preserve"> Medium. https://medium.com/@indigoshadowwashere/sg-ai-ctf-2025-writeup-part-2-b31cbb9cea33</w:t>
      </w:r>
      <w:bookmarkEnd w:id="10041"/>
    </w:p>
  </w:footnote>
  <w:footnote w:id="42">
    <w:p>
      <w:pPr>
        <w:pStyle w:val="FootnoteText"/>
        <w:spacing w:before="0" w:after="0" w:line="200" w:lineRule="exact"/>
      </w:pPr>
      <w:bookmarkStart w:id="10042" w:name="_Ref_Footnote_42"/>
      <w:r>
        <w:rPr>
          <w:rStyle w:val="FootnoteReference"/>
          <w:vertAlign w:val="superscript"/>
        </w:rPr>
        <w:footnoteRef/>
      </w:r>
      <w:r>
        <w:rPr>
          <w:sz w:val="18"/>
          <w:szCs w:val="18"/>
        </w:rPr>
        <w:t xml:space="preserve"> OpenReview. https://openreview.net/forum?id=S5JCqTJyKj</w:t>
      </w:r>
      <w:bookmarkEnd w:id="10042"/>
    </w:p>
  </w:footnote>
  <w:footnote w:id="43">
    <w:p>
      <w:pPr>
        <w:pStyle w:val="FootnoteText"/>
        <w:spacing w:before="0" w:after="0" w:line="200" w:lineRule="exact"/>
      </w:pPr>
      <w:bookmarkStart w:id="10043" w:name="_Ref_Footnote_43"/>
      <w:r>
        <w:rPr>
          <w:rStyle w:val="FootnoteReference"/>
          <w:vertAlign w:val="superscript"/>
        </w:rPr>
        <w:footnoteRef/>
      </w:r>
      <w:r>
        <w:rPr>
          <w:sz w:val="18"/>
          <w:szCs w:val="18"/>
        </w:rPr>
        <w:t xml:space="preserve"> arXiv.org. https://arxiv.org/html/2605.19262v1</w:t>
      </w:r>
      <w:bookmarkEnd w:id="10043"/>
    </w:p>
  </w:footnote>
  <w:footnote w:id="44">
    <w:p>
      <w:pPr>
        <w:pStyle w:val="FootnoteText"/>
        <w:spacing w:before="0" w:after="0" w:line="200" w:lineRule="exact"/>
      </w:pPr>
      <w:bookmarkStart w:id="10044" w:name="_Ref_Footnote_44"/>
      <w:r>
        <w:rPr>
          <w:rStyle w:val="FootnoteReference"/>
          <w:vertAlign w:val="superscript"/>
        </w:rPr>
        <w:footnoteRef/>
      </w:r>
      <w:r>
        <w:rPr>
          <w:sz w:val="18"/>
          <w:szCs w:val="18"/>
        </w:rPr>
        <w:t xml:space="preserve"> MIT Press. https://direct.mit.edu/tacl/article/doi/10.1162/tacl_a_00622/118798/Removing-Backdoors-in-Pre-trained-Models-by</w:t>
      </w:r>
      <w:bookmarkEnd w:id="10044"/>
    </w:p>
  </w:footnote>
  <w:footnote w:id="45">
    <w:p>
      <w:pPr>
        <w:pStyle w:val="FootnoteText"/>
        <w:spacing w:before="0" w:after="0" w:line="200" w:lineRule="exact"/>
      </w:pPr>
      <w:bookmarkStart w:id="10045" w:name="_Ref_Footnote_45"/>
      <w:r>
        <w:rPr>
          <w:rStyle w:val="FootnoteReference"/>
          <w:vertAlign w:val="superscript"/>
        </w:rPr>
        <w:footnoteRef/>
      </w:r>
      <w:r>
        <w:rPr>
          <w:sz w:val="18"/>
          <w:szCs w:val="18"/>
        </w:rPr>
        <w:t xml:space="preserve"> Grokipedia. https://grokipedia.com/page/glitch_token</w:t>
      </w:r>
      <w:bookmarkEnd w:id="10045"/>
    </w:p>
  </w:footnote>
  <w:footnote w:id="46">
    <w:p>
      <w:pPr>
        <w:pStyle w:val="FootnoteText"/>
        <w:spacing w:before="0" w:after="0" w:line="200" w:lineRule="exact"/>
      </w:pPr>
      <w:bookmarkStart w:id="10046" w:name="_Ref_Footnote_46"/>
      <w:r>
        <w:rPr>
          <w:rStyle w:val="FootnoteReference"/>
          <w:vertAlign w:val="superscript"/>
        </w:rPr>
        <w:footnoteRef/>
      </w:r>
      <w:r>
        <w:rPr>
          <w:sz w:val="18"/>
          <w:szCs w:val="18"/>
        </w:rPr>
        <w:t xml:space="preserve"> ustc.edu.cn. https://justc.ustc.edu.cn/article/doi/10.52396/JUSTC-2021-0197</w:t>
      </w:r>
      <w:bookmarkEnd w:id="10046"/>
    </w:p>
  </w:footnote>
  <w:footnote w:id="47">
    <w:p>
      <w:pPr>
        <w:pStyle w:val="FootnoteText"/>
        <w:spacing w:before="0" w:after="0" w:line="200" w:lineRule="exact"/>
      </w:pPr>
      <w:bookmarkStart w:id="10047" w:name="_Ref_Footnote_47"/>
      <w:r>
        <w:rPr>
          <w:rStyle w:val="FootnoteReference"/>
          <w:vertAlign w:val="superscript"/>
        </w:rPr>
        <w:footnoteRef/>
      </w:r>
      <w:r>
        <w:rPr>
          <w:sz w:val="18"/>
          <w:szCs w:val="18"/>
        </w:rPr>
        <w:t xml:space="preserve"> arXiv.org. https://arxiv.org/html/2409.19310</w:t>
      </w:r>
      <w:bookmarkEnd w:id="10047"/>
    </w:p>
  </w:footnote>
  <w:footnote w:id="48">
    <w:p>
      <w:pPr>
        <w:pStyle w:val="FootnoteText"/>
        <w:spacing w:before="0" w:after="0" w:line="200" w:lineRule="exact"/>
      </w:pPr>
      <w:bookmarkStart w:id="10048" w:name="_Ref_Footnote_48"/>
      <w:r>
        <w:rPr>
          <w:rStyle w:val="FootnoteReference"/>
          <w:vertAlign w:val="superscript"/>
        </w:rPr>
        <w:footnoteRef/>
      </w:r>
      <w:r>
        <w:rPr>
          <w:sz w:val="18"/>
          <w:szCs w:val="18"/>
        </w:rPr>
        <w:t xml:space="preserve"> gpmidi.net. https://mirror.gpmidi.net/vx/Papers/Windows/Evasion/2021-08-05%20-%20Evil%20Model%20-%20Hiding%20Malware.pdf</w:t>
      </w:r>
      <w:bookmarkEnd w:id="10048"/>
    </w:p>
  </w:footnote>
  <w:footnote w:id="49">
    <w:p>
      <w:pPr>
        <w:pStyle w:val="FootnoteText"/>
        <w:spacing w:before="0" w:after="0" w:line="200" w:lineRule="exact"/>
      </w:pPr>
      <w:bookmarkStart w:id="10049" w:name="_Ref_Footnote_49"/>
      <w:r>
        <w:rPr>
          <w:rStyle w:val="FootnoteReference"/>
          <w:vertAlign w:val="superscript"/>
        </w:rPr>
        <w:footnoteRef/>
      </w:r>
      <w:r>
        <w:rPr>
          <w:sz w:val="18"/>
          <w:szCs w:val="18"/>
        </w:rPr>
        <w:t xml:space="preserve"> TechTalks. https://bdtechtalks.com/2021/12/09/evilmodel-neural-networks-malware/</w:t>
      </w:r>
      <w:bookmarkEnd w:id="10049"/>
    </w:p>
  </w:footnote>
  <w:footnote w:id="50">
    <w:p>
      <w:pPr>
        <w:pStyle w:val="FootnoteText"/>
        <w:spacing w:before="0" w:after="0" w:line="200" w:lineRule="exact"/>
      </w:pPr>
      <w:bookmarkStart w:id="10050" w:name="_Ref_Footnote_50"/>
      <w:r>
        <w:rPr>
          <w:rStyle w:val="FootnoteReference"/>
          <w:vertAlign w:val="superscript"/>
        </w:rPr>
        <w:footnoteRef/>
      </w:r>
      <w:r>
        <w:rPr>
          <w:sz w:val="18"/>
          <w:szCs w:val="18"/>
        </w:rPr>
        <w:t xml:space="preserve"> zw.ac.cn. https://zw.ac.cn/files/EvilModel_presentation.pdf</w:t>
      </w:r>
      <w:bookmarkEnd w:id="10050"/>
    </w:p>
  </w:footnote>
  <w:footnote w:id="51">
    <w:p>
      <w:pPr>
        <w:pStyle w:val="FootnoteText"/>
        <w:spacing w:before="0" w:after="0" w:line="200" w:lineRule="exact"/>
      </w:pPr>
      <w:bookmarkStart w:id="10051" w:name="_Ref_Footnote_51"/>
      <w:r>
        <w:rPr>
          <w:rStyle w:val="FootnoteReference"/>
          <w:vertAlign w:val="superscript"/>
        </w:rPr>
        <w:footnoteRef/>
      </w:r>
      <w:r>
        <w:rPr>
          <w:sz w:val="18"/>
          <w:szCs w:val="18"/>
        </w:rPr>
        <w:t xml:space="preserve"> dtic.mil. https://apps.dtic.mil/sti/tr/pdf/ADA349102.pdf</w:t>
      </w:r>
      <w:bookmarkEnd w:id="10051"/>
    </w:p>
  </w:footnote>
  <w:footnote w:id="52">
    <w:p>
      <w:pPr>
        <w:pStyle w:val="FootnoteText"/>
        <w:spacing w:before="0" w:after="0" w:line="200" w:lineRule="exact"/>
      </w:pPr>
      <w:bookmarkStart w:id="10052" w:name="_Ref_Footnote_52"/>
      <w:r>
        <w:rPr>
          <w:rStyle w:val="FootnoteReference"/>
          <w:vertAlign w:val="superscript"/>
        </w:rPr>
        <w:footnoteRef/>
      </w:r>
      <w:r>
        <w:rPr>
          <w:sz w:val="18"/>
          <w:szCs w:val="18"/>
        </w:rPr>
        <w:t xml:space="preserve"> Sebastian Raschka. https://sebastianraschka.com/faq/docs/positional-information-transformer.html</w:t>
      </w:r>
      <w:bookmarkEnd w:id="10052"/>
    </w:p>
  </w:footnote>
  <w:footnote w:id="53">
    <w:p>
      <w:pPr>
        <w:pStyle w:val="FootnoteText"/>
        <w:spacing w:before="0" w:after="0" w:line="200" w:lineRule="exact"/>
      </w:pPr>
      <w:bookmarkStart w:id="10053" w:name="_Ref_Footnote_53"/>
      <w:r>
        <w:rPr>
          <w:rStyle w:val="FootnoteReference"/>
          <w:vertAlign w:val="superscript"/>
        </w:rPr>
        <w:footnoteRef/>
      </w:r>
      <w:r>
        <w:rPr>
          <w:sz w:val="18"/>
          <w:szCs w:val="18"/>
        </w:rPr>
        <w:t xml:space="preserve"> MDPI. https://www.mdpi.com/1424-8220/24/23/7815</w:t>
      </w:r>
      <w:bookmarkEnd w:id="10053"/>
    </w:p>
  </w:footnote>
  <w:footnote w:id="54">
    <w:p>
      <w:pPr>
        <w:pStyle w:val="FootnoteText"/>
        <w:spacing w:before="0" w:after="0" w:line="200" w:lineRule="exact"/>
      </w:pPr>
      <w:bookmarkStart w:id="10054" w:name="_Ref_Footnote_54"/>
      <w:r>
        <w:rPr>
          <w:rStyle w:val="FootnoteReference"/>
          <w:vertAlign w:val="superscript"/>
        </w:rPr>
        <w:footnoteRef/>
      </w:r>
      <w:r>
        <w:rPr>
          <w:sz w:val="18"/>
          <w:szCs w:val="18"/>
        </w:rPr>
        <w:t xml:space="preserve"> wikipedia.org. https://en.wikipedia.org/wiki/NaN</w:t>
      </w:r>
      <w:bookmarkEnd w:id="10054"/>
    </w:p>
  </w:footnote>
  <w:footnote w:id="55">
    <w:p>
      <w:pPr>
        <w:pStyle w:val="FootnoteText"/>
        <w:spacing w:before="0" w:after="0" w:line="200" w:lineRule="exact"/>
      </w:pPr>
      <w:bookmarkStart w:id="10055" w:name="_Ref_Footnote_55"/>
      <w:r>
        <w:rPr>
          <w:rStyle w:val="FootnoteReference"/>
          <w:vertAlign w:val="superscript"/>
        </w:rPr>
        <w:footnoteRef/>
      </w:r>
      <w:r>
        <w:rPr>
          <w:sz w:val="18"/>
          <w:szCs w:val="18"/>
        </w:rPr>
        <w:t xml:space="preserve"> The GitHub Blog. https://github.blog/security/application-security/github-and-the-ekoparty-2023-capture-the-flag/</w:t>
      </w:r>
      <w:bookmarkEnd w:id="10055"/>
    </w:p>
  </w:footnote>
  <w:footnote w:id="56">
    <w:p>
      <w:pPr>
        <w:pStyle w:val="FootnoteText"/>
        <w:spacing w:before="0" w:after="0" w:line="200" w:lineRule="exact"/>
      </w:pPr>
      <w:bookmarkStart w:id="10056" w:name="_Ref_Footnote_56"/>
      <w:r>
        <w:rPr>
          <w:rStyle w:val="FootnoteReference"/>
          <w:vertAlign w:val="superscript"/>
        </w:rPr>
        <w:footnoteRef/>
      </w:r>
      <w:r>
        <w:rPr>
          <w:sz w:val="18"/>
          <w:szCs w:val="18"/>
        </w:rPr>
        <w:t xml:space="preserve"> anniecherkaev.com. https://anniecherkaev.com/the-secret-life-of-nan</w:t>
      </w:r>
      <w:bookmarkEnd w:id="10056"/>
    </w:p>
  </w:footnote>
  <w:footnote w:id="57">
    <w:p>
      <w:pPr>
        <w:pStyle w:val="FootnoteText"/>
        <w:spacing w:before="0" w:after="0" w:line="200" w:lineRule="exact"/>
      </w:pPr>
      <w:bookmarkStart w:id="10057" w:name="_Ref_Footnote_57"/>
      <w:r>
        <w:rPr>
          <w:rStyle w:val="FootnoteReference"/>
          <w:vertAlign w:val="superscript"/>
        </w:rPr>
        <w:footnoteRef/>
      </w:r>
      <w:r>
        <w:rPr>
          <w:sz w:val="18"/>
          <w:szCs w:val="18"/>
        </w:rPr>
        <w:t xml:space="preserve"> OpenReview. https://openreview.net/forum?id=Mjf07WLztZ</w:t>
      </w:r>
      <w:bookmarkEnd w:id="10057"/>
    </w:p>
  </w:footnote>
  <w:footnote w:id="58">
    <w:p>
      <w:pPr>
        <w:pStyle w:val="FootnoteText"/>
        <w:spacing w:before="0" w:after="0" w:line="200" w:lineRule="exact"/>
      </w:pPr>
      <w:bookmarkStart w:id="10058" w:name="_Ref_Footnote_58"/>
      <w:r>
        <w:rPr>
          <w:rStyle w:val="FootnoteReference"/>
          <w:vertAlign w:val="superscript"/>
        </w:rPr>
        <w:footnoteRef/>
      </w:r>
      <w:r>
        <w:rPr>
          <w:sz w:val="18"/>
          <w:szCs w:val="18"/>
        </w:rPr>
        <w:t xml:space="preserve"> ml4physicalsciences.github.io. https://ml4physicalsciences.github.io/2021/files/NeurIPS_ML4PS_2021_99.pdf</w:t>
      </w:r>
      <w:bookmarkEnd w:id="10058"/>
    </w:p>
  </w:footnote>
  <w:footnote w:id="59">
    <w:p>
      <w:pPr>
        <w:pStyle w:val="FootnoteText"/>
        <w:spacing w:before="0" w:after="0" w:line="200" w:lineRule="exact"/>
      </w:pPr>
      <w:bookmarkStart w:id="10059" w:name="_Ref_Footnote_59"/>
      <w:r>
        <w:rPr>
          <w:rStyle w:val="FootnoteReference"/>
          <w:vertAlign w:val="superscript"/>
        </w:rPr>
        <w:footnoteRef/>
      </w:r>
      <w:r>
        <w:rPr>
          <w:sz w:val="18"/>
          <w:szCs w:val="18"/>
        </w:rPr>
        <w:t xml:space="preserve"> IBM. https://www.ibm.com/think/topics/singular-value-decomposition</w:t>
      </w:r>
      <w:bookmarkEnd w:id="10059"/>
    </w:p>
  </w:footnote>
  <w:footnote w:id="60">
    <w:p>
      <w:pPr>
        <w:pStyle w:val="FootnoteText"/>
        <w:spacing w:before="0" w:after="0" w:line="200" w:lineRule="exact"/>
      </w:pPr>
      <w:bookmarkStart w:id="10060" w:name="_Ref_Footnote_60"/>
      <w:r>
        <w:rPr>
          <w:rStyle w:val="FootnoteReference"/>
          <w:vertAlign w:val="superscript"/>
        </w:rPr>
        <w:footnoteRef/>
      </w:r>
      <w:r>
        <w:rPr>
          <w:sz w:val="18"/>
          <w:szCs w:val="18"/>
        </w:rPr>
        <w:t xml:space="preserve"> Library of Congress. https://www.loc.gov/preservation/digital/formats/fdd/fdd000644.shtml</w:t>
      </w:r>
      <w:bookmarkEnd w:id="10060"/>
    </w:p>
  </w:footnote>
  <w:footnote w:id="61">
    <w:p>
      <w:pPr>
        <w:pStyle w:val="FootnoteText"/>
        <w:spacing w:before="0" w:after="0" w:line="200" w:lineRule="exact"/>
      </w:pPr>
      <w:bookmarkStart w:id="10061" w:name="_Ref_Footnote_61"/>
      <w:r>
        <w:rPr>
          <w:rStyle w:val="FootnoteReference"/>
          <w:vertAlign w:val="superscript"/>
        </w:rPr>
        <w:footnoteRef/>
      </w:r>
      <w:r>
        <w:rPr>
          <w:sz w:val="18"/>
          <w:szCs w:val="18"/>
        </w:rPr>
        <w:t xml:space="preserve"> HiddenLayer | Security for AI. https://www.hiddenlayer.com/research/weaponizing-machine-learning-models-with-ransomware</w:t>
      </w:r>
      <w:bookmarkEnd w:id="10061"/>
    </w:p>
  </w:footnote>
  <w:footnote w:id="62">
    <w:p>
      <w:pPr>
        <w:pStyle w:val="FootnoteText"/>
        <w:spacing w:before="0" w:after="0" w:line="200" w:lineRule="exact"/>
      </w:pPr>
      <w:bookmarkStart w:id="10062" w:name="_Ref_Footnote_62"/>
      <w:r>
        <w:rPr>
          <w:rStyle w:val="FootnoteReference"/>
          <w:vertAlign w:val="superscript"/>
        </w:rPr>
        <w:footnoteRef/>
      </w:r>
      <w:r>
        <w:rPr>
          <w:sz w:val="18"/>
          <w:szCs w:val="18"/>
        </w:rPr>
        <w:t xml:space="preserve"> huntr.com. https://blog.huntr.com/dont-trust-your-model-how-a-malicious-pickle-payload-in-pytorch-can-execute-code</w:t>
      </w:r>
      <w:bookmarkEnd w:id="10062"/>
    </w:p>
  </w:footnote>
  <w:footnote w:id="63">
    <w:p>
      <w:pPr>
        <w:pStyle w:val="FootnoteText"/>
        <w:spacing w:before="0" w:after="0" w:line="200" w:lineRule="exact"/>
      </w:pPr>
      <w:bookmarkStart w:id="10063" w:name="_Ref_Footnote_63"/>
      <w:r>
        <w:rPr>
          <w:rStyle w:val="FootnoteReference"/>
          <w:vertAlign w:val="superscript"/>
        </w:rPr>
        <w:footnoteRef/>
      </w:r>
      <w:r>
        <w:rPr>
          <w:sz w:val="18"/>
          <w:szCs w:val="18"/>
        </w:rPr>
        <w:t xml:space="preserve"> Feedly. https://feedly.com/cve/vendors/pytorch</w:t>
      </w:r>
      <w:bookmarkEnd w:id="10063"/>
    </w:p>
  </w:footnote>
  <w:footnote w:id="64">
    <w:p>
      <w:pPr>
        <w:pStyle w:val="FootnoteText"/>
        <w:spacing w:before="0" w:after="0" w:line="200" w:lineRule="exact"/>
      </w:pPr>
      <w:bookmarkStart w:id="10064" w:name="_Ref_Footnote_64"/>
      <w:r>
        <w:rPr>
          <w:rStyle w:val="FootnoteReference"/>
          <w:vertAlign w:val="superscript"/>
        </w:rPr>
        <w:footnoteRef/>
      </w:r>
      <w:r>
        <w:rPr>
          <w:sz w:val="18"/>
          <w:szCs w:val="18"/>
        </w:rPr>
        <w:t xml:space="preserve"> Rapid7. https://www.rapid7.com/blog/post/from-pth-to-p0wned-abuse-of-pickle-files-in-ai-model-supply-chains/</w:t>
      </w:r>
      <w:bookmarkEnd w:id="10064"/>
    </w:p>
  </w:footnote>
  <w:footnote w:id="65">
    <w:p>
      <w:pPr>
        <w:pStyle w:val="FootnoteText"/>
        <w:spacing w:before="0" w:after="0" w:line="200" w:lineRule="exact"/>
      </w:pPr>
      <w:bookmarkStart w:id="10065" w:name="_Ref_Footnote_65"/>
      <w:r>
        <w:rPr>
          <w:rStyle w:val="FootnoteReference"/>
          <w:vertAlign w:val="superscript"/>
        </w:rPr>
        <w:footnoteRef/>
      </w:r>
      <w:r>
        <w:rPr>
          <w:sz w:val="18"/>
          <w:szCs w:val="18"/>
        </w:rPr>
        <w:t xml:space="preserve"> Sonatype. https://www.sonatype.com/hubfs/Unpickling-Pytorch-Whitepaper.pdf</w:t>
      </w:r>
      <w:bookmarkEnd w:id="10065"/>
    </w:p>
  </w:footnote>
  <w:footnote w:id="66">
    <w:p>
      <w:pPr>
        <w:pStyle w:val="FootnoteText"/>
        <w:spacing w:before="0" w:after="0" w:line="200" w:lineRule="exact"/>
      </w:pPr>
      <w:bookmarkStart w:id="10066" w:name="_Ref_Footnote_66"/>
      <w:r>
        <w:rPr>
          <w:rStyle w:val="FootnoteReference"/>
          <w:vertAlign w:val="superscript"/>
        </w:rPr>
        <w:footnoteRef/>
      </w:r>
      <w:r>
        <w:rPr>
          <w:sz w:val="18"/>
          <w:szCs w:val="18"/>
        </w:rPr>
        <w:t xml:space="preserve"> Real Python. https://realpython.com/ref/stdlib/pickletools/</w:t>
      </w:r>
      <w:bookmarkEnd w:id="10066"/>
    </w:p>
  </w:footnote>
  <w:footnote w:id="67">
    <w:p>
      <w:pPr>
        <w:pStyle w:val="FootnoteText"/>
        <w:spacing w:before="0" w:after="0" w:line="200" w:lineRule="exact"/>
      </w:pPr>
      <w:bookmarkStart w:id="10067" w:name="_Ref_Footnote_67"/>
      <w:r>
        <w:rPr>
          <w:rStyle w:val="FootnoteReference"/>
          <w:vertAlign w:val="superscript"/>
        </w:rPr>
        <w:footnoteRef/>
      </w:r>
      <w:r>
        <w:rPr>
          <w:sz w:val="18"/>
          <w:szCs w:val="18"/>
        </w:rPr>
        <w:t xml:space="preserve"> girls. https://segal.sh/blog/elgyems-password/</w:t>
      </w:r>
      <w:bookmarkEnd w:id="10067"/>
    </w:p>
  </w:footnote>
  <w:footnote w:id="68">
    <w:p>
      <w:pPr>
        <w:pStyle w:val="FootnoteText"/>
        <w:spacing w:before="0" w:after="0" w:line="200" w:lineRule="exact"/>
      </w:pPr>
      <w:bookmarkStart w:id="10068" w:name="_Ref_Footnote_68"/>
      <w:r>
        <w:rPr>
          <w:rStyle w:val="FootnoteReference"/>
          <w:vertAlign w:val="superscript"/>
        </w:rPr>
        <w:footnoteRef/>
      </w:r>
      <w:r>
        <w:rPr>
          <w:sz w:val="18"/>
          <w:szCs w:val="18"/>
        </w:rPr>
        <w:t xml:space="preserve"> splitline.tw. https://blog.splitline.tw/hitcon-ctf-2022/</w:t>
      </w:r>
      <w:bookmarkEnd w:id="10068"/>
    </w:p>
  </w:footnote>
  <w:footnote w:id="69">
    <w:p>
      <w:pPr>
        <w:pStyle w:val="FootnoteText"/>
        <w:spacing w:before="0" w:after="0" w:line="200" w:lineRule="exact"/>
      </w:pPr>
      <w:bookmarkStart w:id="10069" w:name="_Ref_Footnote_69"/>
      <w:r>
        <w:rPr>
          <w:rStyle w:val="FootnoteReference"/>
          <w:vertAlign w:val="superscript"/>
        </w:rPr>
        <w:footnoteRef/>
      </w:r>
      <w:r>
        <w:rPr>
          <w:sz w:val="18"/>
          <w:szCs w:val="18"/>
        </w:rPr>
        <w:t xml:space="preserve"> emanueledelucia.net. https://www.emanueledelucia.net/safetensors-forensics-its-safe-right/</w:t>
      </w:r>
      <w:bookmarkEnd w:id="10069"/>
    </w:p>
  </w:footnote>
  <w:footnote w:id="70">
    <w:p>
      <w:pPr>
        <w:pStyle w:val="FootnoteText"/>
        <w:spacing w:before="0" w:after="0" w:line="200" w:lineRule="exact"/>
      </w:pPr>
      <w:bookmarkStart w:id="10070" w:name="_Ref_Footnote_70"/>
      <w:r>
        <w:rPr>
          <w:rStyle w:val="FootnoteReference"/>
          <w:vertAlign w:val="superscript"/>
        </w:rPr>
        <w:footnoteRef/>
      </w:r>
      <w:r>
        <w:rPr>
          <w:sz w:val="18"/>
          <w:szCs w:val="18"/>
        </w:rPr>
        <w:t xml:space="preserve"> Medium. https://medium.com/@whyamit404/what-does-optimizer-step-do-in-pytorch-83f0fb0cbfe5</w:t>
      </w:r>
      <w:bookmarkEnd w:id="10070"/>
    </w:p>
  </w:footnote>
  <w:footnote w:id="71">
    <w:p>
      <w:pPr>
        <w:pStyle w:val="FootnoteText"/>
        <w:spacing w:before="0" w:after="0" w:line="200" w:lineRule="exact"/>
      </w:pPr>
      <w:bookmarkStart w:id="10071" w:name="_Ref_Footnote_71"/>
      <w:r>
        <w:rPr>
          <w:rStyle w:val="FootnoteReference"/>
          <w:vertAlign w:val="superscript"/>
        </w:rPr>
        <w:footnoteRef/>
      </w:r>
      <w:r>
        <w:rPr>
          <w:sz w:val="18"/>
          <w:szCs w:val="18"/>
        </w:rPr>
        <w:t xml:space="preserve"> Stack Overflow. https://stackoverflow.com/questions/70768868/pytorch-whats-the-purpose-of-saving-the-optimizer-state</w:t>
      </w:r>
      <w:bookmarkEnd w:id="10071"/>
    </w:p>
  </w:footnote>
  <w:footnote w:id="72">
    <w:p>
      <w:pPr>
        <w:pStyle w:val="FootnoteText"/>
        <w:spacing w:before="0" w:after="0" w:line="200" w:lineRule="exact"/>
      </w:pPr>
      <w:bookmarkStart w:id="10072" w:name="_Ref_Footnote_72"/>
      <w:r>
        <w:rPr>
          <w:rStyle w:val="FootnoteReference"/>
          <w:vertAlign w:val="superscript"/>
        </w:rPr>
        <w:footnoteRef/>
      </w:r>
      <w:r>
        <w:rPr>
          <w:sz w:val="18"/>
          <w:szCs w:val="18"/>
        </w:rPr>
        <w:t xml:space="preserve"> arXiv.org. https://arxiv.org/pdf/2510.23035</w:t>
      </w:r>
      <w:bookmarkEnd w:id="10072"/>
    </w:p>
  </w:footnote>
  <w:footnote w:id="73">
    <w:p>
      <w:pPr>
        <w:pStyle w:val="FootnoteText"/>
        <w:spacing w:before="0" w:after="0" w:line="200" w:lineRule="exact"/>
      </w:pPr>
      <w:bookmarkStart w:id="10073" w:name="_Ref_Footnote_73"/>
      <w:r>
        <w:rPr>
          <w:rStyle w:val="FootnoteReference"/>
          <w:vertAlign w:val="superscript"/>
        </w:rPr>
        <w:footnoteRef/>
      </w:r>
      <w:r>
        <w:rPr>
          <w:sz w:val="18"/>
          <w:szCs w:val="18"/>
        </w:rPr>
        <w:t xml:space="preserve"> EPFL. https://www.epfl.ch/labs/mlo/wp-content/uploads/2021/05/crpmlcourse-paper822.pdf</w:t>
      </w:r>
      <w:bookmarkEnd w:id="10073"/>
    </w:p>
  </w:footnote>
  <w:footnote w:id="74">
    <w:p>
      <w:pPr>
        <w:pStyle w:val="FootnoteText"/>
        <w:spacing w:before="0" w:after="0" w:line="200" w:lineRule="exact"/>
      </w:pPr>
      <w:bookmarkStart w:id="10074" w:name="_Ref_Footnote_74"/>
      <w:r>
        <w:rPr>
          <w:rStyle w:val="FootnoteReference"/>
          <w:vertAlign w:val="superscript"/>
        </w:rPr>
        <w:footnoteRef/>
      </w:r>
      <w:r>
        <w:rPr>
          <w:sz w:val="18"/>
          <w:szCs w:val="18"/>
        </w:rPr>
        <w:t xml:space="preserve"> scitepress.org. https://www.scitepress.org/Papers/2025/134988/134988.pdf</w:t>
      </w:r>
      <w:bookmarkEnd w:id="10074"/>
    </w:p>
  </w:footnote>
  <w:footnote w:id="75">
    <w:p>
      <w:pPr>
        <w:pStyle w:val="FootnoteText"/>
        <w:spacing w:before="0" w:after="0" w:line="200" w:lineRule="exact"/>
      </w:pPr>
      <w:bookmarkStart w:id="10075" w:name="_Ref_Footnote_75"/>
      <w:r>
        <w:rPr>
          <w:rStyle w:val="FootnoteReference"/>
          <w:vertAlign w:val="superscript"/>
        </w:rPr>
        <w:footnoteRef/>
      </w:r>
      <w:r>
        <w:rPr>
          <w:sz w:val="18"/>
          <w:szCs w:val="18"/>
        </w:rPr>
        <w:t xml:space="preserve"> ACL Anthology. https://aclanthology.org/2025.emnlp-main.1775.pdf</w:t>
      </w:r>
      <w:bookmarkEnd w:id="10075"/>
    </w:p>
  </w:footnote>
  <w:footnote w:id="76">
    <w:p>
      <w:pPr>
        <w:pStyle w:val="FootnoteText"/>
        <w:spacing w:before="0" w:after="0" w:line="200" w:lineRule="exact"/>
      </w:pPr>
      <w:bookmarkStart w:id="10076" w:name="_Ref_Footnote_76"/>
      <w:r>
        <w:rPr>
          <w:rStyle w:val="FootnoteReference"/>
          <w:vertAlign w:val="superscript"/>
        </w:rPr>
        <w:footnoteRef/>
      </w:r>
      <w:r>
        <w:rPr>
          <w:sz w:val="18"/>
          <w:szCs w:val="18"/>
        </w:rPr>
        <w:t xml:space="preserve"> OpenReview. https://openreview.net/forum?id=EHXyeImux0&amp;noteId=7YboQuCoux</w:t>
      </w:r>
      <w:bookmarkEnd w:id="10076"/>
    </w:p>
  </w:footnote>
  <w:footnote w:id="77">
    <w:p>
      <w:pPr>
        <w:pStyle w:val="FootnoteText"/>
        <w:spacing w:before="0" w:after="0" w:line="200" w:lineRule="exact"/>
      </w:pPr>
      <w:bookmarkStart w:id="10077" w:name="_Ref_Footnote_77"/>
      <w:r>
        <w:rPr>
          <w:rStyle w:val="FootnoteReference"/>
          <w:vertAlign w:val="superscript"/>
        </w:rPr>
        <w:footnoteRef/>
      </w:r>
      <w:r>
        <w:rPr>
          <w:sz w:val="18"/>
          <w:szCs w:val="18"/>
        </w:rPr>
        <w:t xml:space="preserve"> Semantic Scholar. https://www.semanticscholar.org/paper/Exploiting-Benford%27s-Law-for-Weight-Regularization-Ott-Sun/6a3ca23d87b7864b02616f6ce13c7cc976e4c6d6/figure/0</w:t>
      </w:r>
      <w:bookmarkEnd w:id="10077"/>
    </w:p>
  </w:footnote>
  <w:footnote w:id="78">
    <w:p>
      <w:pPr>
        <w:pStyle w:val="FootnoteText"/>
        <w:spacing w:before="0" w:after="0" w:line="200" w:lineRule="exact"/>
      </w:pPr>
      <w:bookmarkStart w:id="10078" w:name="_Ref_Footnote_78"/>
      <w:r>
        <w:rPr>
          <w:rStyle w:val="FootnoteReference"/>
          <w:vertAlign w:val="superscript"/>
        </w:rPr>
        <w:footnoteRef/>
      </w:r>
      <w:r>
        <w:rPr>
          <w:sz w:val="18"/>
          <w:szCs w:val="18"/>
        </w:rPr>
        <w:t xml:space="preserve"> SINTEF. https://www.sintef.no/contentassets/7db3ab21cd764ba1a336842e39fe236d/03.-michael-alexander-riegler---onde-nevrale-nettverk.pdf</w:t>
      </w:r>
      <w:bookmarkEnd w:id="10078"/>
    </w:p>
  </w:footnote>
  <w:footnote w:id="79">
    <w:p>
      <w:pPr>
        <w:pStyle w:val="FootnoteText"/>
        <w:spacing w:before="0" w:after="0" w:line="200" w:lineRule="exact"/>
      </w:pPr>
      <w:bookmarkStart w:id="10079" w:name="_Ref_Footnote_79"/>
      <w:r>
        <w:rPr>
          <w:rStyle w:val="FootnoteReference"/>
          <w:vertAlign w:val="superscript"/>
        </w:rPr>
        <w:footnoteRef/>
      </w:r>
      <w:r>
        <w:rPr>
          <w:sz w:val="18"/>
          <w:szCs w:val="18"/>
        </w:rPr>
        <w:t xml:space="preserve"> ResearchGate. https://www.researchgate.net/publication/347766533_StegoNet_Turn_Deep_Neural_Network_into_a_Stegomalware</w:t>
      </w:r>
      <w:bookmarkEnd w:id="10079"/>
    </w:p>
  </w:footnote>
  <w:footnote w:id="80">
    <w:p>
      <w:pPr>
        <w:pStyle w:val="FootnoteText"/>
        <w:spacing w:before="0" w:after="0" w:line="200" w:lineRule="exact"/>
      </w:pPr>
      <w:bookmarkStart w:id="10080" w:name="_Ref_Footnote_80"/>
      <w:r>
        <w:rPr>
          <w:rStyle w:val="FootnoteReference"/>
          <w:vertAlign w:val="superscript"/>
        </w:rPr>
        <w:footnoteRef/>
      </w:r>
      <w:r>
        <w:rPr>
          <w:sz w:val="18"/>
          <w:szCs w:val="18"/>
        </w:rPr>
        <w:t xml:space="preserve"> arXiv.org. https://arxiv.org/html/2510.10486v1</w:t>
      </w:r>
      <w:bookmarkEnd w:id="10080"/>
    </w:p>
  </w:footnote>
  <w:footnote w:id="81">
    <w:p>
      <w:pPr>
        <w:pStyle w:val="FootnoteText"/>
        <w:spacing w:before="0" w:after="0" w:line="200" w:lineRule="exact"/>
      </w:pPr>
      <w:bookmarkStart w:id="10081" w:name="_Ref_Footnote_81"/>
      <w:r>
        <w:rPr>
          <w:rStyle w:val="FootnoteReference"/>
          <w:vertAlign w:val="superscript"/>
        </w:rPr>
        <w:footnoteRef/>
      </w:r>
      <w:r>
        <w:rPr>
          <w:sz w:val="18"/>
          <w:szCs w:val="18"/>
        </w:rPr>
        <w:t xml:space="preserve"> illinois.edu. http://vvv.ece.illinois.edu/ece559/handouts/notes6.pdf</w:t>
      </w:r>
      <w:bookmarkEnd w:id="10081"/>
    </w:p>
  </w:footnote>
  <w:footnote w:id="82">
    <w:p>
      <w:pPr>
        <w:pStyle w:val="FootnoteText"/>
        <w:spacing w:before="0" w:after="0" w:line="200" w:lineRule="exact"/>
      </w:pPr>
      <w:bookmarkStart w:id="10082" w:name="_Ref_Footnote_82"/>
      <w:r>
        <w:rPr>
          <w:rStyle w:val="FootnoteReference"/>
          <w:vertAlign w:val="superscript"/>
        </w:rPr>
        <w:footnoteRef/>
      </w:r>
      <w:r>
        <w:rPr>
          <w:sz w:val="18"/>
          <w:szCs w:val="18"/>
        </w:rPr>
        <w:t xml:space="preserve"> Hugging Face. https://huggingface.co/papers/2407.16607</w:t>
      </w:r>
      <w:bookmarkEnd w:id="10082"/>
    </w:p>
  </w:footnote>
  <w:footnote w:id="83">
    <w:p>
      <w:pPr>
        <w:pStyle w:val="FootnoteText"/>
        <w:spacing w:before="0" w:after="0" w:line="200" w:lineRule="exact"/>
      </w:pPr>
      <w:bookmarkStart w:id="10083" w:name="_Ref_Footnote_83"/>
      <w:r>
        <w:rPr>
          <w:rStyle w:val="FootnoteReference"/>
          <w:vertAlign w:val="superscript"/>
        </w:rPr>
        <w:footnoteRef/>
      </w:r>
      <w:r>
        <w:rPr>
          <w:sz w:val="18"/>
          <w:szCs w:val="18"/>
        </w:rPr>
        <w:t xml:space="preserve"> Michael Brenndoerfer. https://mbrenndoerfer.com/writing/logit-lens</w:t>
      </w:r>
      <w:bookmarkEnd w:id="10083"/>
    </w:p>
  </w:footnote>
  <w:footnote w:id="84">
    <w:p>
      <w:pPr>
        <w:pStyle w:val="FootnoteText"/>
        <w:spacing w:before="0" w:after="0" w:line="200" w:lineRule="exact"/>
      </w:pPr>
      <w:bookmarkStart w:id="10084" w:name="_Ref_Footnote_84"/>
      <w:r>
        <w:rPr>
          <w:rStyle w:val="FootnoteReference"/>
          <w:vertAlign w:val="superscript"/>
        </w:rPr>
        <w:footnoteRef/>
      </w:r>
      <w:r>
        <w:rPr>
          <w:sz w:val="18"/>
          <w:szCs w:val="18"/>
        </w:rPr>
        <w:t xml:space="preserve"> NeurIPS Proceedings. https://proceedings.neurips.cc/paper_files/paper/2024/hash/10e6dfea9a673bef4a7b1cb9234891bc-Abstract-Conference.html</w:t>
      </w:r>
      <w:bookmarkEnd w:id="10084"/>
    </w:p>
  </w:footnote>
  <w:footnote w:id="85">
    <w:p>
      <w:pPr>
        <w:pStyle w:val="FootnoteText"/>
        <w:spacing w:before="0" w:after="0" w:line="200" w:lineRule="exact"/>
      </w:pPr>
      <w:bookmarkStart w:id="10085" w:name="_Ref_Footnote_85"/>
      <w:r>
        <w:rPr>
          <w:rStyle w:val="FootnoteReference"/>
          <w:vertAlign w:val="superscript"/>
        </w:rPr>
        <w:footnoteRef/>
      </w:r>
      <w:r>
        <w:rPr>
          <w:sz w:val="18"/>
          <w:szCs w:val="18"/>
        </w:rPr>
        <w:t xml:space="preserve"> arXiv.org. https://arxiv.org/html/2303.08112v6</w:t>
      </w:r>
      <w:bookmarkEnd w:id="10085"/>
    </w:p>
  </w:footnote>
  <w:footnote w:id="86">
    <w:p>
      <w:pPr>
        <w:pStyle w:val="FootnoteText"/>
        <w:spacing w:before="0" w:after="0" w:line="200" w:lineRule="exact"/>
      </w:pPr>
      <w:bookmarkStart w:id="10086" w:name="_Ref_Footnote_86"/>
      <w:r>
        <w:rPr>
          <w:rStyle w:val="FootnoteReference"/>
          <w:vertAlign w:val="superscript"/>
        </w:rPr>
        <w:footnoteRef/>
      </w:r>
      <w:r>
        <w:rPr>
          <w:sz w:val="18"/>
          <w:szCs w:val="18"/>
        </w:rPr>
        <w:t xml:space="preserve"> arXiv.org. https://arxiv.org/html/2508.18408v1</w:t>
      </w:r>
      <w:bookmarkEnd w:id="10086"/>
    </w:p>
  </w:footnote>
  <w:footnote w:id="87">
    <w:p>
      <w:pPr>
        <w:pStyle w:val="FootnoteText"/>
        <w:spacing w:before="0" w:after="0" w:line="200" w:lineRule="exact"/>
      </w:pPr>
      <w:bookmarkStart w:id="10087" w:name="_Ref_Footnote_87"/>
      <w:r>
        <w:rPr>
          <w:rStyle w:val="FootnoteReference"/>
          <w:vertAlign w:val="superscript"/>
        </w:rPr>
        <w:footnoteRef/>
      </w:r>
      <w:r>
        <w:rPr>
          <w:sz w:val="18"/>
          <w:szCs w:val="18"/>
        </w:rPr>
        <w:t xml:space="preserve"> unimore.it. https://www.ellis.unimore.it/media/project_reports/ELLIS_SS___watermarking_project.pdf</w:t>
      </w:r>
      <w:bookmarkEnd w:id="10087"/>
    </w:p>
  </w:footnote>
  <w:footnote w:id="88">
    <w:p>
      <w:pPr>
        <w:pStyle w:val="FootnoteText"/>
        <w:spacing w:before="0" w:after="0" w:line="200" w:lineRule="exact"/>
      </w:pPr>
      <w:bookmarkStart w:id="10088" w:name="_Ref_Footnote_88"/>
      <w:r>
        <w:rPr>
          <w:rStyle w:val="FootnoteReference"/>
          <w:vertAlign w:val="superscript"/>
        </w:rPr>
        <w:footnoteRef/>
      </w:r>
      <w:r>
        <w:rPr>
          <w:sz w:val="18"/>
          <w:szCs w:val="18"/>
        </w:rPr>
        <w:t xml:space="preserve"> Learn Mechanistic Interpretability. https://learnmechinterp.com/topics/logit-lens-and-tuned-lens/</w:t>
      </w:r>
      <w:bookmarkEnd w:id="10088"/>
    </w:p>
  </w:footnote>
  <w:footnote w:id="89">
    <w:p>
      <w:pPr>
        <w:pStyle w:val="FootnoteText"/>
        <w:spacing w:before="0" w:after="0" w:line="200" w:lineRule="exact"/>
      </w:pPr>
      <w:bookmarkStart w:id="10089" w:name="_Ref_Footnote_89"/>
      <w:r>
        <w:rPr>
          <w:rStyle w:val="FootnoteReference"/>
          <w:vertAlign w:val="superscript"/>
        </w:rPr>
        <w:footnoteRef/>
      </w:r>
      <w:r>
        <w:rPr>
          <w:sz w:val="18"/>
          <w:szCs w:val="18"/>
        </w:rPr>
        <w:t xml:space="preserve"> NeurIPS. https://neurips.cc/virtual/2024/poster/96046</w:t>
      </w:r>
      <w:bookmarkEnd w:id="10089"/>
    </w:p>
  </w:footnote>
  <w:footnote w:id="90">
    <w:p>
      <w:pPr>
        <w:pStyle w:val="FootnoteText"/>
        <w:spacing w:before="0" w:after="0" w:line="200" w:lineRule="exact"/>
      </w:pPr>
      <w:bookmarkStart w:id="10090" w:name="_Ref_Footnote_90"/>
      <w:r>
        <w:rPr>
          <w:rStyle w:val="FootnoteReference"/>
          <w:vertAlign w:val="superscript"/>
        </w:rPr>
        <w:footnoteRef/>
      </w:r>
      <w:r>
        <w:rPr>
          <w:sz w:val="18"/>
          <w:szCs w:val="18"/>
        </w:rPr>
        <w:t xml:space="preserve"> Github. https://github.com/alisawuffles/tokenizer-attack</w:t>
      </w:r>
      <w:bookmarkEnd w:id="10090"/>
    </w:p>
  </w:footnote>
  <w:footnote w:id="91">
    <w:p>
      <w:pPr>
        <w:pStyle w:val="FootnoteText"/>
        <w:spacing w:before="0" w:after="0" w:line="200" w:lineRule="exact"/>
      </w:pPr>
      <w:bookmarkStart w:id="10091" w:name="_Ref_Footnote_91"/>
      <w:r>
        <w:rPr>
          <w:rStyle w:val="FootnoteReference"/>
          <w:vertAlign w:val="superscript"/>
        </w:rPr>
        <w:footnoteRef/>
      </w:r>
      <w:r>
        <w:rPr>
          <w:sz w:val="18"/>
          <w:szCs w:val="18"/>
        </w:rPr>
        <w:t xml:space="preserve"> arXiv.org. https://arxiv.org/pdf/2303.08112</w:t>
      </w:r>
      <w:bookmarkEnd w:id="10091"/>
    </w:p>
  </w:footnote>
  <w:footnote w:id="92">
    <w:p>
      <w:pPr>
        <w:pStyle w:val="FootnoteText"/>
        <w:spacing w:before="0" w:after="0" w:line="200" w:lineRule="exact"/>
      </w:pPr>
      <w:bookmarkStart w:id="10092" w:name="_Ref_Footnote_92"/>
      <w:r>
        <w:rPr>
          <w:rStyle w:val="FootnoteReference"/>
          <w:vertAlign w:val="superscript"/>
        </w:rPr>
        <w:footnoteRef/>
      </w:r>
      <w:r>
        <w:rPr>
          <w:sz w:val="18"/>
          <w:szCs w:val="18"/>
        </w:rPr>
        <w:t xml:space="preserve"> arXiv.org. https://arxiv.org/html/2404.16020v1</w:t>
      </w:r>
      <w:bookmarkEnd w:id="10092"/>
    </w:p>
  </w:footnote>
  <w:footnote w:id="93">
    <w:p>
      <w:pPr>
        <w:pStyle w:val="FootnoteText"/>
        <w:spacing w:before="0" w:after="0" w:line="200" w:lineRule="exact"/>
      </w:pPr>
      <w:bookmarkStart w:id="10093" w:name="_Ref_Footnote_93"/>
      <w:r>
        <w:rPr>
          <w:rStyle w:val="FootnoteReference"/>
          <w:vertAlign w:val="superscript"/>
        </w:rPr>
        <w:footnoteRef/>
      </w:r>
      <w:r>
        <w:rPr>
          <w:sz w:val="18"/>
          <w:szCs w:val="18"/>
        </w:rPr>
        <w:t xml:space="preserve"> readthedocs.io. https://tuned-lens.readthedocs.io/en/latest/tutorials/training_and_evaluating_lenses.html</w:t>
      </w:r>
      <w:bookmarkEnd w:id="10093"/>
    </w:p>
  </w:footnote>
  <w:footnote w:id="94">
    <w:p>
      <w:pPr>
        <w:pStyle w:val="FootnoteText"/>
        <w:spacing w:before="0" w:after="0" w:line="200" w:lineRule="exact"/>
      </w:pPr>
      <w:bookmarkStart w:id="10094" w:name="_Ref_Footnote_94"/>
      <w:r>
        <w:rPr>
          <w:rStyle w:val="FootnoteReference"/>
          <w:vertAlign w:val="superscript"/>
        </w:rPr>
        <w:footnoteRef/>
      </w:r>
      <w:r>
        <w:rPr>
          <w:sz w:val="18"/>
          <w:szCs w:val="18"/>
        </w:rPr>
        <w:t xml:space="preserve"> arXiv.org. https://arxiv.org/html/2605.00206v1</w:t>
      </w:r>
      <w:bookmarkEnd w:id="10094"/>
    </w:p>
  </w:footnote>
  <w:footnote w:id="95">
    <w:p>
      <w:pPr>
        <w:pStyle w:val="FootnoteText"/>
        <w:spacing w:before="0" w:after="0" w:line="200" w:lineRule="exact"/>
      </w:pPr>
      <w:bookmarkStart w:id="10095" w:name="_Ref_Footnote_95"/>
      <w:r>
        <w:rPr>
          <w:rStyle w:val="FootnoteReference"/>
          <w:vertAlign w:val="superscript"/>
        </w:rPr>
        <w:footnoteRef/>
      </w:r>
      <w:r>
        <w:rPr>
          <w:sz w:val="18"/>
          <w:szCs w:val="18"/>
        </w:rPr>
        <w:t xml:space="preserve"> Github. https://github.com/AlignmentResearch/tuned-lens</w:t>
      </w:r>
      <w:bookmarkEnd w:id="10095"/>
    </w:p>
  </w:footnote>
  <w:footnote w:id="96">
    <w:p>
      <w:pPr>
        <w:pStyle w:val="FootnoteText"/>
        <w:spacing w:before="0" w:after="0" w:line="200" w:lineRule="exact"/>
      </w:pPr>
      <w:bookmarkStart w:id="10096" w:name="_Ref_Footnote_96"/>
      <w:r>
        <w:rPr>
          <w:rStyle w:val="FootnoteReference"/>
          <w:vertAlign w:val="superscript"/>
        </w:rPr>
        <w:footnoteRef/>
      </w:r>
      <w:r>
        <w:rPr>
          <w:sz w:val="18"/>
          <w:szCs w:val="18"/>
        </w:rPr>
        <w:t xml:space="preserve"> arXiv.org. https://arxiv.org/pdf/2511.14465</w:t>
      </w:r>
      <w:bookmarkEnd w:id="10096"/>
    </w:p>
  </w:footnote>
  <w:footnote w:id="97">
    <w:p>
      <w:pPr>
        <w:pStyle w:val="FootnoteText"/>
        <w:spacing w:before="0" w:after="0" w:line="200" w:lineRule="exact"/>
      </w:pPr>
      <w:bookmarkStart w:id="10097" w:name="_Ref_Footnote_97"/>
      <w:r>
        <w:rPr>
          <w:rStyle w:val="FootnoteReference"/>
          <w:vertAlign w:val="superscript"/>
        </w:rPr>
        <w:footnoteRef/>
      </w:r>
      <w:r>
        <w:rPr>
          <w:sz w:val="18"/>
          <w:szCs w:val="18"/>
        </w:rPr>
        <w:t xml:space="preserve"> arXiv.org. https://arxiv.org/html/2309.16042v2</w:t>
      </w:r>
      <w:bookmarkEnd w:id="10097"/>
    </w:p>
  </w:footnote>
  <w:footnote w:id="98">
    <w:p>
      <w:pPr>
        <w:pStyle w:val="FootnoteText"/>
        <w:spacing w:before="0" w:after="0" w:line="200" w:lineRule="exact"/>
      </w:pPr>
      <w:bookmarkStart w:id="10098" w:name="_Ref_Footnote_98"/>
      <w:r>
        <w:rPr>
          <w:rStyle w:val="FootnoteReference"/>
          <w:vertAlign w:val="superscript"/>
        </w:rPr>
        <w:footnoteRef/>
      </w:r>
      <w:r>
        <w:rPr>
          <w:sz w:val="18"/>
          <w:szCs w:val="18"/>
        </w:rPr>
        <w:t xml:space="preserve"> LessWrong. https://www.lesswrong.com/posts/FhryNAFknqKAdDcYy/how-to-use-and-interpret-activation-patching</w:t>
      </w:r>
      <w:bookmarkEnd w:id="10098"/>
    </w:p>
  </w:footnote>
  <w:footnote w:id="99">
    <w:p>
      <w:pPr>
        <w:pStyle w:val="FootnoteText"/>
        <w:spacing w:before="0" w:after="0" w:line="200" w:lineRule="exact"/>
      </w:pPr>
      <w:bookmarkStart w:id="10099" w:name="_Ref_Footnote_99"/>
      <w:r>
        <w:rPr>
          <w:rStyle w:val="FootnoteReference"/>
          <w:vertAlign w:val="superscript"/>
        </w:rPr>
        <w:footnoteRef/>
      </w:r>
      <w:r>
        <w:rPr>
          <w:sz w:val="18"/>
          <w:szCs w:val="18"/>
        </w:rPr>
        <w:t xml:space="preserve"> Learn Mechanistic Interpretability. https://learnmechinterp.com/topics/attribution-patching/</w:t>
      </w:r>
      <w:bookmarkEnd w:id="10099"/>
    </w:p>
  </w:footnote>
  <w:footnote w:id="100">
    <w:p>
      <w:pPr>
        <w:pStyle w:val="FootnoteText"/>
        <w:spacing w:before="0" w:after="0" w:line="200" w:lineRule="exact"/>
      </w:pPr>
      <w:bookmarkStart w:id="10100" w:name="_Ref_Footnote_100"/>
      <w:r>
        <w:rPr>
          <w:rStyle w:val="FootnoteReference"/>
          <w:vertAlign w:val="superscript"/>
        </w:rPr>
        <w:footnoteRef/>
      </w:r>
      <w:r>
        <w:rPr>
          <w:sz w:val="18"/>
          <w:szCs w:val="18"/>
        </w:rPr>
        <w:t xml:space="preserve"> ACL Anthology. https://aclanthology.org/2024.blackboxnlp-1.25.pdf</w:t>
      </w:r>
      <w:bookmarkEnd w:id="10100"/>
    </w:p>
  </w:footnote>
  <w:footnote w:id="101">
    <w:p>
      <w:pPr>
        <w:pStyle w:val="FootnoteText"/>
        <w:spacing w:before="0" w:after="0" w:line="200" w:lineRule="exact"/>
      </w:pPr>
      <w:bookmarkStart w:id="10101" w:name="_Ref_Footnote_101"/>
      <w:r>
        <w:rPr>
          <w:rStyle w:val="FootnoteReference"/>
          <w:vertAlign w:val="superscript"/>
        </w:rPr>
        <w:footnoteRef/>
      </w:r>
      <w:r>
        <w:rPr>
          <w:sz w:val="18"/>
          <w:szCs w:val="18"/>
        </w:rPr>
        <w:t xml:space="preserve"> Learn Mechanistic Interpretability. https://learnmechinterp.com/topics/activation-patching/</w:t>
      </w:r>
      <w:bookmarkEnd w:id="10101"/>
    </w:p>
  </w:footnote>
  <w:footnote w:id="102">
    <w:p>
      <w:pPr>
        <w:pStyle w:val="FootnoteText"/>
        <w:spacing w:before="0" w:after="0" w:line="200" w:lineRule="exact"/>
      </w:pPr>
      <w:bookmarkStart w:id="10102" w:name="_Ref_Footnote_102"/>
      <w:r>
        <w:rPr>
          <w:rStyle w:val="FootnoteReference"/>
          <w:vertAlign w:val="superscript"/>
        </w:rPr>
        <w:footnoteRef/>
      </w:r>
      <w:r>
        <w:rPr>
          <w:sz w:val="18"/>
          <w:szCs w:val="18"/>
        </w:rPr>
        <w:t xml:space="preserve"> arXiv.org. https://arxiv.org/html/2410.15362v2</w:t>
      </w:r>
      <w:bookmarkEnd w:id="10102"/>
    </w:p>
  </w:footnote>
  <w:footnote w:id="103">
    <w:p>
      <w:pPr>
        <w:pStyle w:val="FootnoteText"/>
        <w:spacing w:before="0" w:after="0" w:line="200" w:lineRule="exact"/>
      </w:pPr>
      <w:bookmarkStart w:id="10103" w:name="_Ref_Footnote_103"/>
      <w:r>
        <w:rPr>
          <w:rStyle w:val="FootnoteReference"/>
          <w:vertAlign w:val="superscript"/>
        </w:rPr>
        <w:footnoteRef/>
      </w:r>
      <w:r>
        <w:rPr>
          <w:sz w:val="18"/>
          <w:szCs w:val="18"/>
        </w:rPr>
        <w:t xml:space="preserve"> arXiv.org. https://arxiv.org/html/2405.11916v1</w:t>
      </w:r>
      <w:bookmarkEnd w:id="10103"/>
    </w:p>
  </w:footnote>
  <w:footnote w:id="104">
    <w:p>
      <w:pPr>
        <w:pStyle w:val="FootnoteText"/>
        <w:spacing w:before="0" w:after="0" w:line="200" w:lineRule="exact"/>
      </w:pPr>
      <w:bookmarkStart w:id="10104" w:name="_Ref_Footnote_104"/>
      <w:r>
        <w:rPr>
          <w:rStyle w:val="FootnoteReference"/>
          <w:vertAlign w:val="superscript"/>
        </w:rPr>
        <w:footnoteRef/>
      </w:r>
      <w:r>
        <w:rPr>
          <w:sz w:val="18"/>
          <w:szCs w:val="18"/>
        </w:rPr>
        <w:t xml:space="preserve"> arXiv.org. https://arxiv.org/pdf/2405.11916</w:t>
      </w:r>
      <w:bookmarkEnd w:id="10104"/>
    </w:p>
  </w:footnote>
  <w:footnote w:id="105">
    <w:p>
      <w:pPr>
        <w:pStyle w:val="FootnoteText"/>
        <w:spacing w:before="0" w:after="0" w:line="200" w:lineRule="exact"/>
      </w:pPr>
      <w:bookmarkStart w:id="10105" w:name="_Ref_Footnote_105"/>
      <w:r>
        <w:rPr>
          <w:rStyle w:val="FootnoteReference"/>
          <w:vertAlign w:val="superscript"/>
        </w:rPr>
        <w:footnoteRef/>
      </w:r>
      <w:r>
        <w:rPr>
          <w:sz w:val="18"/>
          <w:szCs w:val="18"/>
        </w:rPr>
        <w:t xml:space="preserve"> arXiv.org. https://arxiv.org/html/2405.11916v3</w:t>
      </w:r>
      <w:bookmarkEnd w:id="10105"/>
    </w:p>
  </w:footnote>
  <w:footnote w:id="106">
    <w:p>
      <w:pPr>
        <w:pStyle w:val="FootnoteText"/>
        <w:spacing w:before="0" w:after="0" w:line="200" w:lineRule="exact"/>
      </w:pPr>
      <w:bookmarkStart w:id="10106" w:name="_Ref_Footnote_106"/>
      <w:r>
        <w:rPr>
          <w:rStyle w:val="FootnoteReference"/>
          <w:vertAlign w:val="superscript"/>
        </w:rPr>
        <w:footnoteRef/>
      </w:r>
      <w:r>
        <w:rPr>
          <w:sz w:val="18"/>
          <w:szCs w:val="18"/>
        </w:rPr>
        <w:t xml:space="preserve"> ACL Anthology. https://aclanthology.org/2025.findings-emnlp.89.pdf</w:t>
      </w:r>
      <w:bookmarkEnd w:id="10106"/>
    </w:p>
  </w:footnote>
  <w:footnote w:id="107">
    <w:p>
      <w:pPr>
        <w:pStyle w:val="FootnoteText"/>
        <w:spacing w:before="0" w:after="0" w:line="200" w:lineRule="exact"/>
      </w:pPr>
      <w:bookmarkStart w:id="10107" w:name="_Ref_Footnote_107"/>
      <w:r>
        <w:rPr>
          <w:rStyle w:val="FootnoteReference"/>
          <w:vertAlign w:val="superscript"/>
        </w:rPr>
        <w:footnoteRef/>
      </w:r>
      <w:r>
        <w:rPr>
          <w:sz w:val="18"/>
          <w:szCs w:val="18"/>
        </w:rPr>
        <w:t xml:space="preserve"> Michael Brenndoerfer. https://mbrenndoerfer.com/writing/probing-layers</w:t>
      </w:r>
      <w:bookmarkEnd w:id="10107"/>
    </w:p>
  </w:footnote>
  <w:footnote w:id="108">
    <w:p>
      <w:pPr>
        <w:pStyle w:val="FootnoteText"/>
        <w:spacing w:before="0" w:after="0" w:line="200" w:lineRule="exact"/>
      </w:pPr>
      <w:bookmarkStart w:id="10108" w:name="_Ref_Footnote_108"/>
      <w:r>
        <w:rPr>
          <w:rStyle w:val="FootnoteReference"/>
          <w:vertAlign w:val="superscript"/>
        </w:rPr>
        <w:footnoteRef/>
      </w:r>
      <w:r>
        <w:rPr>
          <w:sz w:val="18"/>
          <w:szCs w:val="18"/>
        </w:rPr>
        <w:t xml:space="preserve"> NUS Computing. https://www.comp.nus.edu.sg/~kanmy/papers/2510.06640v1.pdf</w:t>
      </w:r>
      <w:bookmarkEnd w:id="10108"/>
    </w:p>
  </w:footnote>
  <w:footnote w:id="109">
    <w:p>
      <w:pPr>
        <w:pStyle w:val="FootnoteText"/>
        <w:spacing w:before="0" w:after="0" w:line="200" w:lineRule="exact"/>
      </w:pPr>
      <w:bookmarkStart w:id="10109" w:name="_Ref_Footnote_109"/>
      <w:r>
        <w:rPr>
          <w:rStyle w:val="FootnoteReference"/>
          <w:vertAlign w:val="superscript"/>
        </w:rPr>
        <w:footnoteRef/>
      </w:r>
      <w:r>
        <w:rPr>
          <w:sz w:val="18"/>
          <w:szCs w:val="18"/>
        </w:rPr>
        <w:t xml:space="preserve"> arXiv.org. https://arxiv.org/html/2509.05449v1</w:t>
      </w:r>
      <w:bookmarkEnd w:id="10109"/>
    </w:p>
  </w:footnote>
  <w:footnote w:id="110">
    <w:p>
      <w:pPr>
        <w:pStyle w:val="FootnoteText"/>
        <w:spacing w:before="0" w:after="0" w:line="200" w:lineRule="exact"/>
      </w:pPr>
      <w:bookmarkStart w:id="10110" w:name="_Ref_Footnote_110"/>
      <w:r>
        <w:rPr>
          <w:rStyle w:val="FootnoteReference"/>
          <w:vertAlign w:val="superscript"/>
        </w:rPr>
        <w:footnoteRef/>
      </w:r>
      <w:r>
        <w:rPr>
          <w:sz w:val="18"/>
          <w:szCs w:val="18"/>
        </w:rPr>
        <w:t xml:space="preserve"> Universitetet i Oslo. https://www.uio.no/studier/emner/matnat/ifi/IN5550/v25/slides/slides12_1.pdf</w:t>
      </w:r>
      <w:bookmarkEnd w:id="10110"/>
    </w:p>
  </w:footnote>
  <w:footnote w:id="111">
    <w:p>
      <w:pPr>
        <w:pStyle w:val="FootnoteText"/>
        <w:spacing w:before="0" w:after="0" w:line="200" w:lineRule="exact"/>
      </w:pPr>
      <w:bookmarkStart w:id="10111" w:name="_Ref_Footnote_111"/>
      <w:r>
        <w:rPr>
          <w:rStyle w:val="FootnoteReference"/>
          <w:vertAlign w:val="superscript"/>
        </w:rPr>
        <w:footnoteRef/>
      </w:r>
      <w:r>
        <w:rPr>
          <w:sz w:val="18"/>
          <w:szCs w:val="18"/>
        </w:rPr>
        <w:t xml:space="preserve"> krmopuri.github.io. https://krmopuri.github.io/xml/static_files/presentations/MI-Pranav.pdf</w:t>
      </w:r>
      <w:bookmarkEnd w:id="10111"/>
    </w:p>
  </w:footnote>
  <w:footnote w:id="112">
    <w:p>
      <w:pPr>
        <w:pStyle w:val="FootnoteText"/>
        <w:spacing w:before="0" w:after="0" w:line="200" w:lineRule="exact"/>
      </w:pPr>
      <w:bookmarkStart w:id="10112" w:name="_Ref_Footnote_112"/>
      <w:r>
        <w:rPr>
          <w:rStyle w:val="FootnoteReference"/>
          <w:vertAlign w:val="superscript"/>
        </w:rPr>
        <w:footnoteRef/>
      </w:r>
      <w:r>
        <w:rPr>
          <w:sz w:val="18"/>
          <w:szCs w:val="18"/>
        </w:rPr>
        <w:t xml:space="preserve"> Chris McCormick. https://mccormickml.com/2025/02/20/patterns-and-messages-part-5-the-residual-stream/</w:t>
      </w:r>
      <w:bookmarkEnd w:id="10112"/>
    </w:p>
  </w:footnote>
  <w:footnote w:id="113">
    <w:p>
      <w:pPr>
        <w:pStyle w:val="FootnoteText"/>
        <w:spacing w:before="0" w:after="0" w:line="200" w:lineRule="exact"/>
      </w:pPr>
      <w:bookmarkStart w:id="10113" w:name="_Ref_Footnote_113"/>
      <w:r>
        <w:rPr>
          <w:rStyle w:val="FootnoteReference"/>
          <w:vertAlign w:val="superscript"/>
        </w:rPr>
        <w:footnoteRef/>
      </w:r>
      <w:r>
        <w:rPr>
          <w:sz w:val="18"/>
          <w:szCs w:val="18"/>
        </w:rPr>
        <w:t xml:space="preserve"> Github. https://github.com/TransformerLensOrg/TransformerLens</w:t>
      </w:r>
      <w:bookmarkEnd w:id="10113"/>
    </w:p>
  </w:footnote>
  <w:footnote w:id="114">
    <w:p>
      <w:pPr>
        <w:pStyle w:val="FootnoteText"/>
        <w:spacing w:before="0" w:after="0" w:line="200" w:lineRule="exact"/>
      </w:pPr>
      <w:bookmarkStart w:id="10114" w:name="_Ref_Footnote_114"/>
      <w:r>
        <w:rPr>
          <w:rStyle w:val="FootnoteReference"/>
          <w:vertAlign w:val="superscript"/>
        </w:rPr>
        <w:footnoteRef/>
      </w:r>
      <w:r>
        <w:rPr>
          <w:sz w:val="18"/>
          <w:szCs w:val="18"/>
        </w:rPr>
        <w:t xml:space="preserve"> transformerlensorg.github.io. https://transformerlensorg.github.io/TransformerLens/</w:t>
      </w:r>
      <w:bookmarkEnd w:id="10114"/>
    </w:p>
  </w:footnote>
  <w:footnote w:id="115">
    <w:p>
      <w:pPr>
        <w:pStyle w:val="FootnoteText"/>
        <w:spacing w:before="0" w:after="0" w:line="200" w:lineRule="exact"/>
      </w:pPr>
      <w:bookmarkStart w:id="10115" w:name="_Ref_Footnote_115"/>
      <w:r>
        <w:rPr>
          <w:rStyle w:val="FootnoteReference"/>
          <w:vertAlign w:val="superscript"/>
        </w:rPr>
        <w:footnoteRef/>
      </w:r>
      <w:r>
        <w:rPr>
          <w:sz w:val="18"/>
          <w:szCs w:val="18"/>
        </w:rPr>
        <w:t xml:space="preserve"> promptfoo.dev. https://www.promptfoo.dev/docs/red-team/strategies/gcg/</w:t>
      </w:r>
      <w:bookmarkEnd w:id="10115"/>
    </w:p>
  </w:footnote>
  <w:footnote w:id="116">
    <w:p>
      <w:pPr>
        <w:pStyle w:val="FootnoteText"/>
        <w:spacing w:before="0" w:after="0" w:line="200" w:lineRule="exact"/>
      </w:pPr>
      <w:bookmarkStart w:id="10116" w:name="_Ref_Footnote_116"/>
      <w:r>
        <w:rPr>
          <w:rStyle w:val="FootnoteReference"/>
          <w:vertAlign w:val="superscript"/>
        </w:rPr>
        <w:footnoteRef/>
      </w:r>
      <w:r>
        <w:rPr>
          <w:sz w:val="18"/>
          <w:szCs w:val="18"/>
        </w:rPr>
        <w:t xml:space="preserve"> Emergent Mind. https://www.emergentmind.com/topics/greedy-coordinate-gradient-gcg-attack</w:t>
      </w:r>
      <w:bookmarkEnd w:id="10116"/>
    </w:p>
  </w:footnote>
  <w:footnote w:id="117">
    <w:p>
      <w:pPr>
        <w:pStyle w:val="FootnoteText"/>
        <w:spacing w:before="0" w:after="0" w:line="200" w:lineRule="exact"/>
      </w:pPr>
      <w:bookmarkStart w:id="10117" w:name="_Ref_Footnote_117"/>
      <w:r>
        <w:rPr>
          <w:rStyle w:val="FootnoteReference"/>
          <w:vertAlign w:val="superscript"/>
        </w:rPr>
        <w:footnoteRef/>
      </w:r>
      <w:r>
        <w:rPr>
          <w:sz w:val="18"/>
          <w:szCs w:val="18"/>
        </w:rPr>
        <w:t xml:space="preserve"> Emergent Mind. https://www.emergentmind.com/topics/gradient-based-adversarial-prompting</w:t>
      </w:r>
      <w:bookmarkEnd w:id="10117"/>
    </w:p>
  </w:footnote>
  <w:footnote w:id="118">
    <w:p>
      <w:pPr>
        <w:pStyle w:val="FootnoteText"/>
        <w:spacing w:before="0" w:after="0" w:line="200" w:lineRule="exact"/>
      </w:pPr>
      <w:bookmarkStart w:id="10118" w:name="_Ref_Footnote_118"/>
      <w:r>
        <w:rPr>
          <w:rStyle w:val="FootnoteReference"/>
          <w:vertAlign w:val="superscript"/>
        </w:rPr>
        <w:footnoteRef/>
      </w:r>
      <w:r>
        <w:rPr>
          <w:sz w:val="18"/>
          <w:szCs w:val="18"/>
        </w:rPr>
        <w:t xml:space="preserve"> Github. https://github.com/GraySwanAI/nanoGCG</w:t>
      </w:r>
      <w:bookmarkEnd w:id="10118"/>
    </w:p>
  </w:footnote>
  <w:footnote w:id="119">
    <w:p>
      <w:pPr>
        <w:pStyle w:val="FootnoteText"/>
        <w:spacing w:before="0" w:after="0" w:line="200" w:lineRule="exact"/>
      </w:pPr>
      <w:bookmarkStart w:id="10119" w:name="_Ref_Footnote_119"/>
      <w:r>
        <w:rPr>
          <w:rStyle w:val="FootnoteReference"/>
          <w:vertAlign w:val="superscript"/>
        </w:rPr>
        <w:footnoteRef/>
      </w:r>
      <w:r>
        <w:rPr>
          <w:sz w:val="18"/>
          <w:szCs w:val="18"/>
        </w:rPr>
        <w:t xml:space="preserve"> arXiv.org. https://arxiv.org/html/2404.15146v2</w:t>
      </w:r>
      <w:bookmarkEnd w:id="10119"/>
    </w:p>
  </w:footnote>
  <w:footnote w:id="120">
    <w:p>
      <w:pPr>
        <w:pStyle w:val="FootnoteText"/>
        <w:spacing w:before="0" w:after="0" w:line="200" w:lineRule="exact"/>
      </w:pPr>
      <w:bookmarkStart w:id="10120" w:name="_Ref_Footnote_120"/>
      <w:r>
        <w:rPr>
          <w:rStyle w:val="FootnoteReference"/>
          <w:vertAlign w:val="superscript"/>
        </w:rPr>
        <w:footnoteRef/>
      </w:r>
      <w:r>
        <w:rPr>
          <w:sz w:val="18"/>
          <w:szCs w:val="18"/>
        </w:rPr>
        <w:t xml:space="preserve"> cmu.edu. https://ml.cmu.edu/research/phd-dissertation-pdfs/zhilif_phd_mld_2025.pdf</w:t>
      </w:r>
      <w:bookmarkEnd w:id="10120"/>
    </w:p>
  </w:footnote>
  <w:footnote w:id="121">
    <w:p>
      <w:pPr>
        <w:pStyle w:val="FootnoteText"/>
        <w:spacing w:before="0" w:after="0" w:line="200" w:lineRule="exact"/>
      </w:pPr>
      <w:bookmarkStart w:id="10121" w:name="_Ref_Footnote_121"/>
      <w:r>
        <w:rPr>
          <w:rStyle w:val="FootnoteReference"/>
          <w:vertAlign w:val="superscript"/>
        </w:rPr>
        <w:footnoteRef/>
      </w:r>
      <w:r>
        <w:rPr>
          <w:sz w:val="18"/>
          <w:szCs w:val="18"/>
        </w:rPr>
        <w:t xml:space="preserve"> arXiv.org. https://arxiv.org/pdf/2511.20799</w:t>
      </w:r>
      <w:bookmarkEnd w:id="10121"/>
    </w:p>
  </w:footnote>
  <w:footnote w:id="122">
    <w:p>
      <w:pPr>
        <w:pStyle w:val="FootnoteText"/>
        <w:spacing w:before="0" w:after="0" w:line="200" w:lineRule="exact"/>
      </w:pPr>
      <w:bookmarkStart w:id="10122" w:name="_Ref_Footnote_122"/>
      <w:r>
        <w:rPr>
          <w:rStyle w:val="FootnoteReference"/>
          <w:vertAlign w:val="superscript"/>
        </w:rPr>
        <w:footnoteRef/>
      </w:r>
      <w:r>
        <w:rPr>
          <w:sz w:val="18"/>
          <w:szCs w:val="18"/>
        </w:rPr>
        <w:t xml:space="preserve"> arXiv.org. https://arxiv.org/html/2511.20799v1</w:t>
      </w:r>
      <w:bookmarkEnd w:id="10122"/>
    </w:p>
  </w:footnote>
  <w:footnote w:id="123">
    <w:p>
      <w:pPr>
        <w:pStyle w:val="FootnoteText"/>
        <w:spacing w:before="0" w:after="0" w:line="200" w:lineRule="exact"/>
      </w:pPr>
      <w:bookmarkStart w:id="10123" w:name="_Ref_Footnote_123"/>
      <w:r>
        <w:rPr>
          <w:rStyle w:val="FootnoteReference"/>
          <w:vertAlign w:val="superscript"/>
        </w:rPr>
        <w:footnoteRef/>
      </w:r>
      <w:r>
        <w:rPr>
          <w:sz w:val="18"/>
          <w:szCs w:val="18"/>
        </w:rPr>
        <w:t xml:space="preserve"> MDPI. https://www.mdpi.com/2079-9292/14/19/3967</w:t>
      </w:r>
      <w:bookmarkEnd w:id="10123"/>
    </w:p>
  </w:footnote>
  <w:footnote w:id="124">
    <w:p>
      <w:pPr>
        <w:pStyle w:val="FootnoteText"/>
        <w:spacing w:before="0" w:after="0" w:line="200" w:lineRule="exact"/>
      </w:pPr>
      <w:bookmarkStart w:id="10124" w:name="_Ref_Footnote_124"/>
      <w:r>
        <w:rPr>
          <w:rStyle w:val="FootnoteReference"/>
          <w:vertAlign w:val="superscript"/>
        </w:rPr>
        <w:footnoteRef/>
      </w:r>
      <w:r>
        <w:rPr>
          <w:sz w:val="18"/>
          <w:szCs w:val="18"/>
        </w:rPr>
        <w:t xml:space="preserve"> nih.gov. https://pmc.ncbi.nlm.nih.gov/articles/PMC12025678/</w:t>
      </w:r>
      <w:bookmarkEnd w:id="10124"/>
    </w:p>
  </w:footnote>
  <w:footnote w:id="125">
    <w:p>
      <w:pPr>
        <w:pStyle w:val="FootnoteText"/>
        <w:spacing w:before="0" w:after="0" w:line="200" w:lineRule="exact"/>
      </w:pPr>
      <w:bookmarkStart w:id="10125" w:name="_Ref_Footnote_125"/>
      <w:r>
        <w:rPr>
          <w:rStyle w:val="FootnoteReference"/>
          <w:vertAlign w:val="superscript"/>
        </w:rPr>
        <w:footnoteRef/>
      </w:r>
      <w:r>
        <w:rPr>
          <w:sz w:val="18"/>
          <w:szCs w:val="18"/>
        </w:rPr>
        <w:t xml:space="preserve"> arXiv.org. https://arxiv.org/html/2404.16369v1</w:t>
      </w:r>
      <w:bookmarkEnd w:id="10125"/>
    </w:p>
  </w:footnote>
  <w:footnote w:id="126">
    <w:p>
      <w:pPr>
        <w:pStyle w:val="FootnoteText"/>
        <w:spacing w:before="0" w:after="0" w:line="200" w:lineRule="exact"/>
      </w:pPr>
      <w:bookmarkStart w:id="10126" w:name="_Ref_Footnote_126"/>
      <w:r>
        <w:rPr>
          <w:rStyle w:val="FootnoteReference"/>
          <w:vertAlign w:val="superscript"/>
        </w:rPr>
        <w:footnoteRef/>
      </w:r>
      <w:r>
        <w:rPr>
          <w:sz w:val="18"/>
          <w:szCs w:val="18"/>
        </w:rPr>
        <w:t xml:space="preserve"> OpenReview. https://openreview.net/pdf/5539c0756a726b0935483f5268c49e0feefa8dd8.pdf</w:t>
      </w:r>
      <w:bookmarkEnd w:id="10126"/>
    </w:p>
  </w:footnote>
  <w:footnote w:id="127">
    <w:p>
      <w:pPr>
        <w:pStyle w:val="FootnoteText"/>
        <w:spacing w:before="0" w:after="0" w:line="200" w:lineRule="exact"/>
      </w:pPr>
      <w:bookmarkStart w:id="10127" w:name="_Ref_Footnote_127"/>
      <w:r>
        <w:rPr>
          <w:rStyle w:val="FootnoteReference"/>
          <w:vertAlign w:val="superscript"/>
        </w:rPr>
        <w:footnoteRef/>
      </w:r>
      <w:r>
        <w:rPr>
          <w:sz w:val="18"/>
          <w:szCs w:val="18"/>
        </w:rPr>
        <w:t xml:space="preserve"> ACL Anthology. https://aclanthology.org/2025.findings-acl.1294.pdf</w:t>
      </w:r>
      <w:bookmarkEnd w:id="10127"/>
    </w:p>
  </w:footnote>
  <w:footnote w:id="128">
    <w:p>
      <w:pPr>
        <w:pStyle w:val="FootnoteText"/>
        <w:spacing w:before="0" w:after="0" w:line="200" w:lineRule="exact"/>
      </w:pPr>
      <w:bookmarkStart w:id="10128" w:name="_Ref_Footnote_128"/>
      <w:r>
        <w:rPr>
          <w:rStyle w:val="FootnoteReference"/>
          <w:vertAlign w:val="superscript"/>
        </w:rPr>
        <w:footnoteRef/>
      </w:r>
      <w:r>
        <w:rPr>
          <w:sz w:val="18"/>
          <w:szCs w:val="18"/>
        </w:rPr>
        <w:t xml:space="preserve"> arXiv.org. https://arxiv.org/html/2308.10248v4</w:t>
      </w:r>
      <w:bookmarkEnd w:id="10128"/>
    </w:p>
  </w:footnote>
  <w:footnote w:id="129">
    <w:p>
      <w:pPr>
        <w:pStyle w:val="FootnoteText"/>
        <w:spacing w:before="0" w:after="0" w:line="200" w:lineRule="exact"/>
      </w:pPr>
      <w:bookmarkStart w:id="10129" w:name="_Ref_Footnote_129"/>
      <w:r>
        <w:rPr>
          <w:rStyle w:val="FootnoteReference"/>
          <w:vertAlign w:val="superscript"/>
        </w:rPr>
        <w:footnoteRef/>
      </w:r>
      <w:r>
        <w:rPr>
          <w:sz w:val="18"/>
          <w:szCs w:val="18"/>
        </w:rPr>
        <w:t xml:space="preserve"> arXiv.org. https://arxiv.org/abs/2308.10248</w:t>
      </w:r>
      <w:bookmarkEnd w:id="10129"/>
    </w:p>
  </w:footnote>
  <w:footnote w:id="130">
    <w:p>
      <w:pPr>
        <w:pStyle w:val="FootnoteText"/>
        <w:spacing w:before="0" w:after="0" w:line="200" w:lineRule="exact"/>
      </w:pPr>
      <w:bookmarkStart w:id="10130" w:name="_Ref_Footnote_130"/>
      <w:r>
        <w:rPr>
          <w:rStyle w:val="FootnoteReference"/>
          <w:vertAlign w:val="superscript"/>
        </w:rPr>
        <w:footnoteRef/>
      </w:r>
      <w:r>
        <w:rPr>
          <w:sz w:val="18"/>
          <w:szCs w:val="18"/>
        </w:rPr>
        <w:t xml:space="preserve"> OpenAI API Community Forum. https://community.openai.com/t/about-whisper-open-source-and-weights-only-false/993868</w:t>
      </w:r>
      <w:bookmarkEnd w:id="10130"/>
    </w:p>
  </w:footnote>
  <w:footnote w:id="131">
    <w:p>
      <w:pPr>
        <w:pStyle w:val="FootnoteText"/>
        <w:spacing w:before="0" w:after="0" w:line="200" w:lineRule="exact"/>
      </w:pPr>
      <w:bookmarkStart w:id="10131" w:name="_Ref_Footnote_131"/>
      <w:r>
        <w:rPr>
          <w:rStyle w:val="FootnoteReference"/>
          <w:vertAlign w:val="superscript"/>
        </w:rPr>
        <w:footnoteRef/>
      </w:r>
      <w:r>
        <w:rPr>
          <w:sz w:val="18"/>
          <w:szCs w:val="18"/>
        </w:rPr>
        <w:t xml:space="preserve"> arXiv.org. https://arxiv.org/html/2605.15084v1</w:t>
      </w:r>
      <w:bookmarkEnd w:id="10131"/>
    </w:p>
  </w:footnote>
  <w:footnote w:id="132">
    <w:p>
      <w:pPr>
        <w:pStyle w:val="FootnoteText"/>
        <w:spacing w:before="0" w:after="0" w:line="200" w:lineRule="exact"/>
      </w:pPr>
      <w:bookmarkStart w:id="10132" w:name="_Ref_Footnote_132"/>
      <w:r>
        <w:rPr>
          <w:rStyle w:val="FootnoteReference"/>
          <w:vertAlign w:val="superscript"/>
        </w:rPr>
        <w:footnoteRef/>
      </w:r>
      <w:r>
        <w:rPr>
          <w:sz w:val="18"/>
          <w:szCs w:val="18"/>
        </w:rPr>
        <w:t xml:space="preserve"> arXiv.org. https://arxiv.org/html/2502.17601v1</w:t>
      </w:r>
      <w:bookmarkEnd w:id="10132"/>
    </w:p>
  </w:footnote>
  <w:footnote w:id="133">
    <w:p>
      <w:pPr>
        <w:pStyle w:val="FootnoteText"/>
        <w:spacing w:before="0" w:after="0" w:line="200" w:lineRule="exact"/>
      </w:pPr>
      <w:bookmarkStart w:id="10133" w:name="_Ref_Footnote_133"/>
      <w:r>
        <w:rPr>
          <w:rStyle w:val="FootnoteReference"/>
          <w:vertAlign w:val="superscript"/>
        </w:rPr>
        <w:footnoteRef/>
      </w:r>
      <w:r>
        <w:rPr>
          <w:sz w:val="18"/>
          <w:szCs w:val="18"/>
        </w:rPr>
        <w:t xml:space="preserve"> Michael Brenndoerfer. https://mbrenndoerfer.com/writing/mechanistic-interpretability</w:t>
      </w:r>
      <w:bookmarkEnd w:id="10133"/>
    </w:p>
  </w:footnote>
  <w:footnote w:id="134">
    <w:p>
      <w:pPr>
        <w:pStyle w:val="FootnoteText"/>
        <w:spacing w:before="0" w:after="0" w:line="200" w:lineRule="exact"/>
      </w:pPr>
      <w:bookmarkStart w:id="10134" w:name="_Ref_Footnote_134"/>
      <w:r>
        <w:rPr>
          <w:rStyle w:val="FootnoteReference"/>
          <w:vertAlign w:val="superscript"/>
        </w:rPr>
        <w:footnoteRef/>
      </w:r>
      <w:r>
        <w:rPr>
          <w:sz w:val="18"/>
          <w:szCs w:val="18"/>
        </w:rPr>
        <w:t xml:space="preserve"> ACL Anthology. https://aclanthology.org/2024.emnlp-main.409.pdf</w:t>
      </w:r>
      <w:bookmarkEnd w:id="10134"/>
    </w:p>
  </w:footnote>
  <w:footnote w:id="135">
    <w:p>
      <w:pPr>
        <w:pStyle w:val="FootnoteText"/>
        <w:spacing w:before="0" w:after="0" w:line="200" w:lineRule="exact"/>
      </w:pPr>
      <w:bookmarkStart w:id="10135" w:name="_Ref_Footnote_135"/>
      <w:r>
        <w:rPr>
          <w:rStyle w:val="FootnoteReference"/>
          <w:vertAlign w:val="superscript"/>
        </w:rPr>
        <w:footnoteRef/>
      </w:r>
      <w:r>
        <w:rPr>
          <w:sz w:val="18"/>
          <w:szCs w:val="18"/>
        </w:rPr>
        <w:t xml:space="preserve"> arXiv.org. https://arxiv.org/pdf/2511.05518</w:t>
      </w:r>
      <w:bookmarkEnd w:id="10135"/>
    </w:p>
  </w:footnote>
  <w:footnote w:id="136">
    <w:p>
      <w:pPr>
        <w:pStyle w:val="FootnoteText"/>
        <w:spacing w:before="0" w:after="0" w:line="200" w:lineRule="exact"/>
      </w:pPr>
      <w:bookmarkStart w:id="10136" w:name="_Ref_Footnote_136"/>
      <w:r>
        <w:rPr>
          <w:rStyle w:val="FootnoteReference"/>
          <w:vertAlign w:val="superscript"/>
        </w:rPr>
        <w:footnoteRef/>
      </w:r>
      <w:r>
        <w:rPr>
          <w:sz w:val="18"/>
          <w:szCs w:val="18"/>
        </w:rPr>
        <w:t xml:space="preserve"> ACL Anthology. https://aclanthology.org/2025.emnlp-main.1789/</w:t>
      </w:r>
      <w:bookmarkEnd w:id="10136"/>
    </w:p>
  </w:footnote>
  <w:footnote w:id="137">
    <w:p>
      <w:pPr>
        <w:pStyle w:val="FootnoteText"/>
        <w:spacing w:before="0" w:after="0" w:line="200" w:lineRule="exact"/>
      </w:pPr>
      <w:bookmarkStart w:id="10137" w:name="_Ref_Footnote_137"/>
      <w:r>
        <w:rPr>
          <w:rStyle w:val="FootnoteReference"/>
          <w:vertAlign w:val="superscript"/>
        </w:rPr>
        <w:footnoteRef/>
      </w:r>
      <w:r>
        <w:rPr>
          <w:sz w:val="18"/>
          <w:szCs w:val="18"/>
        </w:rPr>
        <w:t xml:space="preserve"> arXiv.org. https://arxiv.org/html/2504.18598v2</w:t>
      </w:r>
      <w:bookmarkEnd w:id="10137"/>
    </w:p>
  </w:footnote>
  <w:footnote w:id="138">
    <w:p>
      <w:pPr>
        <w:pStyle w:val="FootnoteText"/>
        <w:spacing w:before="0" w:after="0" w:line="200" w:lineRule="exact"/>
      </w:pPr>
      <w:bookmarkStart w:id="10138" w:name="_Ref_Footnote_138"/>
      <w:r>
        <w:rPr>
          <w:rStyle w:val="FootnoteReference"/>
          <w:vertAlign w:val="superscript"/>
        </w:rPr>
        <w:footnoteRef/>
      </w:r>
      <w:r>
        <w:rPr>
          <w:sz w:val="18"/>
          <w:szCs w:val="18"/>
        </w:rPr>
        <w:t xml:space="preserve"> Learn Mechanistic Interpretability. https://learnmechinterp.com/topics/ioi-circuit/</w:t>
      </w:r>
      <w:bookmarkEnd w:id="10138"/>
    </w:p>
  </w:footnote>
  <w:footnote w:id="139">
    <w:p>
      <w:pPr>
        <w:pStyle w:val="FootnoteText"/>
        <w:spacing w:before="0" w:after="0" w:line="200" w:lineRule="exact"/>
      </w:pPr>
      <w:bookmarkStart w:id="10139" w:name="_Ref_Footnote_139"/>
      <w:r>
        <w:rPr>
          <w:rStyle w:val="FootnoteReference"/>
          <w:vertAlign w:val="superscript"/>
        </w:rPr>
        <w:footnoteRef/>
      </w:r>
      <w:r>
        <w:rPr>
          <w:sz w:val="18"/>
          <w:szCs w:val="18"/>
        </w:rPr>
        <w:t xml:space="preserve"> arXiv.org. https://arxiv.org/html/2411.16105v1</w:t>
      </w:r>
      <w:bookmarkEnd w:id="10139"/>
    </w:p>
  </w:footnote>
  <w:footnote w:id="140">
    <w:p>
      <w:pPr>
        <w:pStyle w:val="FootnoteText"/>
        <w:spacing w:before="0" w:after="0" w:line="200" w:lineRule="exact"/>
      </w:pPr>
      <w:bookmarkStart w:id="10140" w:name="_Ref_Footnote_140"/>
      <w:r>
        <w:rPr>
          <w:rStyle w:val="FootnoteReference"/>
          <w:vertAlign w:val="superscript"/>
        </w:rPr>
        <w:footnoteRef/>
      </w:r>
      <w:r>
        <w:rPr>
          <w:sz w:val="18"/>
          <w:szCs w:val="18"/>
        </w:rPr>
        <w:t xml:space="preserve"> substack.com. https://gonzoml.substack.com/p/acdc-towards-automated-circuit-discovery</w:t>
      </w:r>
      <w:bookmarkEnd w:id="10140"/>
    </w:p>
  </w:footnote>
  <w:footnote w:id="141">
    <w:p>
      <w:pPr>
        <w:pStyle w:val="FootnoteText"/>
        <w:spacing w:before="0" w:after="0" w:line="200" w:lineRule="exact"/>
      </w:pPr>
      <w:bookmarkStart w:id="10141" w:name="_Ref_Footnote_141"/>
      <w:r>
        <w:rPr>
          <w:rStyle w:val="FootnoteReference"/>
          <w:vertAlign w:val="superscript"/>
        </w:rPr>
        <w:footnoteRef/>
      </w:r>
      <w:r>
        <w:rPr>
          <w:sz w:val="18"/>
          <w:szCs w:val="18"/>
        </w:rPr>
        <w:t xml:space="preserve"> far.ai. https://far.ai/research/towards-automated-circuit-discovery-for-mechanistic-interpretability</w:t>
      </w:r>
      <w:bookmarkEnd w:id="10141"/>
    </w:p>
  </w:footnote>
  <w:footnote w:id="142">
    <w:p>
      <w:pPr>
        <w:pStyle w:val="FootnoteText"/>
        <w:spacing w:before="0" w:after="0" w:line="200" w:lineRule="exact"/>
      </w:pPr>
      <w:bookmarkStart w:id="10142" w:name="_Ref_Footnote_142"/>
      <w:r>
        <w:rPr>
          <w:rStyle w:val="FootnoteReference"/>
          <w:vertAlign w:val="superscript"/>
        </w:rPr>
        <w:footnoteRef/>
      </w:r>
      <w:r>
        <w:rPr>
          <w:sz w:val="18"/>
          <w:szCs w:val="18"/>
        </w:rPr>
        <w:t xml:space="preserve"> arXiv.org. https://arxiv.org/html/2502.06852v1</w:t>
      </w:r>
      <w:bookmarkEnd w:id="10142"/>
    </w:p>
  </w:footnote>
  <w:footnote w:id="143">
    <w:p>
      <w:pPr>
        <w:pStyle w:val="FootnoteText"/>
        <w:spacing w:before="0" w:after="0" w:line="200" w:lineRule="exact"/>
      </w:pPr>
      <w:bookmarkStart w:id="10143" w:name="_Ref_Footnote_143"/>
      <w:r>
        <w:rPr>
          <w:rStyle w:val="FootnoteReference"/>
          <w:vertAlign w:val="superscript"/>
        </w:rPr>
        <w:footnoteRef/>
      </w:r>
      <w:r>
        <w:rPr>
          <w:sz w:val="18"/>
          <w:szCs w:val="18"/>
        </w:rPr>
        <w:t xml:space="preserve"> Learn Mechanistic Interpretability. https://learnmechinterp.com/topics/refined-attribution-methods/</w:t>
      </w:r>
      <w:bookmarkEnd w:id="10143"/>
    </w:p>
  </w:footnote>
  <w:footnote w:id="144">
    <w:p>
      <w:pPr>
        <w:pStyle w:val="FootnoteText"/>
        <w:spacing w:before="0" w:after="0" w:line="200" w:lineRule="exact"/>
      </w:pPr>
      <w:bookmarkStart w:id="10144" w:name="_Ref_Footnote_144"/>
      <w:r>
        <w:rPr>
          <w:rStyle w:val="FootnoteReference"/>
          <w:vertAlign w:val="superscript"/>
        </w:rPr>
        <w:footnoteRef/>
      </w:r>
      <w:r>
        <w:rPr>
          <w:sz w:val="18"/>
          <w:szCs w:val="18"/>
        </w:rPr>
        <w:t xml:space="preserve"> arXiv.org. https://arxiv.org/html/2503.07384v2</w:t>
      </w:r>
      <w:bookmarkEnd w:id="10144"/>
    </w:p>
  </w:footnote>
  <w:footnote w:id="145">
    <w:p>
      <w:pPr>
        <w:pStyle w:val="FootnoteText"/>
        <w:spacing w:before="0" w:after="0" w:line="200" w:lineRule="exact"/>
      </w:pPr>
      <w:bookmarkStart w:id="10145" w:name="_Ref_Footnote_145"/>
      <w:r>
        <w:rPr>
          <w:rStyle w:val="FootnoteReference"/>
          <w:vertAlign w:val="superscript"/>
        </w:rPr>
        <w:footnoteRef/>
      </w:r>
      <w:r>
        <w:rPr>
          <w:sz w:val="18"/>
          <w:szCs w:val="18"/>
        </w:rPr>
        <w:t xml:space="preserve"> Emergent Mind. https://www.emergentmind.com/topics/activation-patching</w:t>
      </w:r>
      <w:bookmarkEnd w:id="10145"/>
    </w:p>
  </w:footnote>
  <w:footnote w:id="146">
    <w:p>
      <w:pPr>
        <w:pStyle w:val="FootnoteText"/>
        <w:spacing w:before="0" w:after="0" w:line="200" w:lineRule="exact"/>
      </w:pPr>
      <w:bookmarkStart w:id="10146" w:name="_Ref_Footnote_146"/>
      <w:r>
        <w:rPr>
          <w:rStyle w:val="FootnoteReference"/>
          <w:vertAlign w:val="superscript"/>
        </w:rPr>
        <w:footnoteRef/>
      </w:r>
      <w:r>
        <w:rPr>
          <w:sz w:val="18"/>
          <w:szCs w:val="18"/>
        </w:rPr>
        <w:t xml:space="preserve"> Memit. https://memit.baulab.info/</w:t>
      </w:r>
      <w:bookmarkEnd w:id="10146"/>
    </w:p>
  </w:footnote>
  <w:footnote w:id="147">
    <w:p>
      <w:pPr>
        <w:pStyle w:val="FootnoteText"/>
        <w:spacing w:before="0" w:after="0" w:line="200" w:lineRule="exact"/>
      </w:pPr>
      <w:bookmarkStart w:id="10147" w:name="_Ref_Footnote_147"/>
      <w:r>
        <w:rPr>
          <w:rStyle w:val="FootnoteReference"/>
          <w:vertAlign w:val="superscript"/>
        </w:rPr>
        <w:footnoteRef/>
      </w:r>
      <w:r>
        <w:rPr>
          <w:sz w:val="18"/>
          <w:szCs w:val="18"/>
        </w:rPr>
        <w:t xml:space="preserve"> MIT Press. https://direct.mit.edu/tacl/article/doi/10.1162/TACL.a.26/132652/MAKE-Memory-Associated-Knowledge-Editing</w:t>
      </w:r>
      <w:bookmarkEnd w:id="10147"/>
    </w:p>
  </w:footnote>
  <w:footnote w:id="148">
    <w:p>
      <w:pPr>
        <w:pStyle w:val="FootnoteText"/>
        <w:spacing w:before="0" w:after="0" w:line="200" w:lineRule="exact"/>
      </w:pPr>
      <w:bookmarkStart w:id="10148" w:name="_Ref_Footnote_148"/>
      <w:r>
        <w:rPr>
          <w:rStyle w:val="FootnoteReference"/>
          <w:vertAlign w:val="superscript"/>
        </w:rPr>
        <w:footnoteRef/>
      </w:r>
      <w:r>
        <w:rPr>
          <w:sz w:val="18"/>
          <w:szCs w:val="18"/>
        </w:rPr>
        <w:t xml:space="preserve"> Github. https://github.com/samefarrar/anthropic_BSidesSF</w:t>
      </w:r>
      <w:bookmarkEnd w:id="10148"/>
    </w:p>
  </w:footnote>
  <w:footnote w:id="149">
    <w:p>
      <w:pPr>
        <w:pStyle w:val="FootnoteText"/>
        <w:spacing w:before="0" w:after="0" w:line="200" w:lineRule="exact"/>
      </w:pPr>
      <w:bookmarkStart w:id="10149" w:name="_Ref_Footnote_149"/>
      <w:r>
        <w:rPr>
          <w:rStyle w:val="FootnoteReference"/>
          <w:vertAlign w:val="superscript"/>
        </w:rPr>
        <w:footnoteRef/>
      </w:r>
      <w:r>
        <w:rPr>
          <w:sz w:val="18"/>
          <w:szCs w:val="18"/>
        </w:rPr>
        <w:t xml:space="preserve"> Github. https://github.com/ir2718/defcon-ai-ctf-2022</w:t>
      </w:r>
      <w:bookmarkEnd w:id="10149"/>
    </w:p>
  </w:footnote>
  <w:footnote w:id="150">
    <w:p>
      <w:pPr>
        <w:pStyle w:val="FootnoteText"/>
        <w:spacing w:before="0" w:after="0" w:line="200" w:lineRule="exact"/>
      </w:pPr>
      <w:bookmarkStart w:id="10150" w:name="_Ref_Footnote_150"/>
      <w:r>
        <w:rPr>
          <w:rStyle w:val="FootnoteReference"/>
          <w:vertAlign w:val="superscript"/>
        </w:rPr>
        <w:footnoteRef/>
      </w:r>
      <w:r>
        <w:rPr>
          <w:sz w:val="18"/>
          <w:szCs w:val="18"/>
        </w:rPr>
        <w:t xml:space="preserve"> krypton.ninjakrypton.ninja. https://krypton.ninja/ctfs/cyber-apocalypse-2025-tales-from-eldoria-ctf-write-up/</w:t>
      </w:r>
      <w:bookmarkEnd w:id="10150"/>
    </w:p>
  </w:footnote>
  <w:footnote w:id="151">
    <w:p>
      <w:pPr>
        <w:pStyle w:val="FootnoteText"/>
        <w:spacing w:before="0" w:after="0" w:line="200" w:lineRule="exact"/>
      </w:pPr>
      <w:bookmarkStart w:id="10151" w:name="_Ref_Footnote_151"/>
      <w:r>
        <w:rPr>
          <w:rStyle w:val="FootnoteReference"/>
          <w:vertAlign w:val="superscript"/>
        </w:rPr>
        <w:footnoteRef/>
      </w:r>
      <w:r>
        <w:rPr>
          <w:sz w:val="18"/>
          <w:szCs w:val="18"/>
        </w:rPr>
        <w:t xml:space="preserve"> wachter-space.de. https://wachter-space.de/2022/04/25/ctf_model_inversion_writeup/</w:t>
      </w:r>
      <w:bookmarkEnd w:id="10151"/>
    </w:p>
  </w:footnote>
  <w:footnote w:id="152">
    <w:p>
      <w:pPr>
        <w:pStyle w:val="FootnoteText"/>
        <w:spacing w:before="0" w:after="0" w:line="200" w:lineRule="exact"/>
      </w:pPr>
      <w:bookmarkStart w:id="10152" w:name="_Ref_Footnote_152"/>
      <w:r>
        <w:rPr>
          <w:rStyle w:val="FootnoteReference"/>
          <w:vertAlign w:val="superscript"/>
        </w:rPr>
        <w:footnoteRef/>
      </w:r>
      <w:r>
        <w:rPr>
          <w:sz w:val="18"/>
          <w:szCs w:val="18"/>
        </w:rPr>
        <w:t xml:space="preserve"> CTFtime.org. https://ctftime.org/writeup/36947</w:t>
      </w:r>
      <w:bookmarkEnd w:id="10152"/>
    </w:p>
  </w:footnote>
  <w:footnote w:id="153">
    <w:p>
      <w:pPr>
        <w:pStyle w:val="FootnoteText"/>
        <w:spacing w:before="0" w:after="0" w:line="200" w:lineRule="exact"/>
      </w:pPr>
      <w:bookmarkStart w:id="10153" w:name="_Ref_Footnote_153"/>
      <w:r>
        <w:rPr>
          <w:rStyle w:val="FootnoteReference"/>
          <w:vertAlign w:val="superscript"/>
        </w:rPr>
        <w:footnoteRef/>
      </w:r>
      <w:r>
        <w:rPr>
          <w:sz w:val="18"/>
          <w:szCs w:val="18"/>
        </w:rPr>
        <w:t xml:space="preserve"> Github. https://github.com/conor-99/AI-Village-CTF-DEFCON-31</w:t>
      </w:r>
      <w:bookmarkEnd w:id="10153"/>
    </w:p>
  </w:footnote>
  <w:footnote w:id="154">
    <w:p>
      <w:pPr>
        <w:pStyle w:val="FootnoteText"/>
        <w:spacing w:before="0" w:after="0" w:line="200" w:lineRule="exact"/>
      </w:pPr>
      <w:bookmarkStart w:id="10154" w:name="_Ref_Footnote_154"/>
      <w:r>
        <w:rPr>
          <w:rStyle w:val="FootnoteReference"/>
          <w:vertAlign w:val="superscript"/>
        </w:rPr>
        <w:footnoteRef/>
      </w:r>
      <w:r>
        <w:rPr>
          <w:sz w:val="18"/>
          <w:szCs w:val="18"/>
        </w:rPr>
        <w:t xml:space="preserve"> wiz.io. https://threats.wiz.io/all-incidents/malicious-ai-models-bypass-picklescan-detection</w:t>
      </w:r>
      <w:bookmarkEnd w:id="10154"/>
    </w:p>
  </w:footnote>
  <w:footnote w:id="155">
    <w:p>
      <w:pPr>
        <w:pStyle w:val="FootnoteText"/>
        <w:spacing w:before="0" w:after="0" w:line="200" w:lineRule="exact"/>
      </w:pPr>
      <w:bookmarkStart w:id="10155" w:name="_Ref_Footnote_155"/>
      <w:r>
        <w:rPr>
          <w:rStyle w:val="FootnoteReference"/>
          <w:vertAlign w:val="superscript"/>
        </w:rPr>
        <w:footnoteRef/>
      </w:r>
      <w:r>
        <w:rPr>
          <w:sz w:val="18"/>
          <w:szCs w:val="18"/>
        </w:rPr>
        <w:t xml:space="preserve"> LessWrong. https://www.lesswrong.com/posts/aPeJE8bSo6rAFoLqg/solidgoldmagikarp-plus-prompt-generation</w:t>
      </w:r>
      <w:bookmarkEnd w:id="10155"/>
    </w:p>
  </w:footnote>
  <w:footnote w:id="156">
    <w:p>
      <w:pPr>
        <w:pStyle w:val="FootnoteText"/>
        <w:spacing w:before="0" w:after="0" w:line="200" w:lineRule="exact"/>
      </w:pPr>
      <w:bookmarkStart w:id="10156" w:name="_Ref_Footnote_156"/>
      <w:r>
        <w:rPr>
          <w:rStyle w:val="FootnoteReference"/>
          <w:vertAlign w:val="superscript"/>
        </w:rPr>
        <w:footnoteRef/>
      </w:r>
      <w:r>
        <w:rPr>
          <w:sz w:val="18"/>
          <w:szCs w:val="18"/>
        </w:rPr>
        <w:t xml:space="preserve"> arXiv.org. https://arxiv.org/abs/2408.04905</w:t>
      </w:r>
      <w:bookmarkEnd w:id="10156"/>
    </w:p>
  </w:footnote>
  <w:footnote w:id="157">
    <w:p>
      <w:pPr>
        <w:pStyle w:val="FootnoteText"/>
        <w:spacing w:before="0" w:after="0" w:line="200" w:lineRule="exact"/>
      </w:pPr>
      <w:bookmarkStart w:id="10157" w:name="_Ref_Footnote_157"/>
      <w:r>
        <w:rPr>
          <w:rStyle w:val="FootnoteReference"/>
          <w:vertAlign w:val="superscript"/>
        </w:rPr>
        <w:footnoteRef/>
      </w:r>
      <w:r>
        <w:rPr>
          <w:sz w:val="18"/>
          <w:szCs w:val="18"/>
        </w:rPr>
        <w:t xml:space="preserve"> arXiv.org. https://arxiv.org/html/2410.23684v2</w:t>
      </w:r>
      <w:bookmarkEnd w:id="10157"/>
    </w:p>
  </w:footnote>
  <w:footnote w:id="158">
    <w:p>
      <w:pPr>
        <w:pStyle w:val="FootnoteText"/>
        <w:spacing w:before="0" w:after="0" w:line="200" w:lineRule="exact"/>
      </w:pPr>
      <w:bookmarkStart w:id="10158" w:name="_Ref_Footnote_158"/>
      <w:r>
        <w:rPr>
          <w:rStyle w:val="FootnoteReference"/>
          <w:vertAlign w:val="superscript"/>
        </w:rPr>
        <w:footnoteRef/>
      </w:r>
      <w:r>
        <w:rPr>
          <w:sz w:val="18"/>
          <w:szCs w:val="18"/>
        </w:rPr>
        <w:t xml:space="preserve"> arXiv.org. https://arxiv.org/pdf/2410.23684</w:t>
      </w:r>
      <w:bookmarkEnd w:id="10158"/>
    </w:p>
  </w:footnote>
  <w:footnote w:id="159">
    <w:p>
      <w:pPr>
        <w:pStyle w:val="FootnoteText"/>
        <w:spacing w:before="0" w:after="0" w:line="200" w:lineRule="exact"/>
      </w:pPr>
      <w:bookmarkStart w:id="10159" w:name="_Ref_Footnote_159"/>
      <w:r>
        <w:rPr>
          <w:rStyle w:val="FootnoteReference"/>
          <w:vertAlign w:val="superscript"/>
        </w:rPr>
        <w:footnoteRef/>
      </w:r>
      <w:r>
        <w:rPr>
          <w:sz w:val="18"/>
          <w:szCs w:val="18"/>
        </w:rPr>
        <w:t xml:space="preserve"> ACL Anthology. https://aclanthology.org/2024.emnlp-main.649.pdf</w:t>
      </w:r>
      <w:bookmarkEnd w:id="10159"/>
    </w:p>
  </w:footnote>
  <w:footnote w:id="160">
    <w:p>
      <w:pPr>
        <w:pStyle w:val="FootnoteText"/>
        <w:spacing w:before="0" w:after="0" w:line="200" w:lineRule="exact"/>
      </w:pPr>
      <w:bookmarkStart w:id="10160" w:name="_Ref_Footnote_160"/>
      <w:r>
        <w:rPr>
          <w:rStyle w:val="FootnoteReference"/>
          <w:vertAlign w:val="superscript"/>
        </w:rPr>
        <w:footnoteRef/>
      </w:r>
      <w:r>
        <w:rPr>
          <w:sz w:val="18"/>
          <w:szCs w:val="18"/>
        </w:rPr>
        <w:t xml:space="preserve"> LessWrong. https://www.lesswrong.com/posts/c6uTNm5erRrmyJvvD/mapping-the-semantic-void-strange-goings-on-in-gpt-embedding</w:t>
      </w:r>
      <w:bookmarkEnd w:id="10160"/>
    </w:p>
  </w:footnote>
  <w:footnote w:id="161">
    <w:p>
      <w:pPr>
        <w:pStyle w:val="FootnoteText"/>
        <w:spacing w:before="0" w:after="0" w:line="200" w:lineRule="exact"/>
      </w:pPr>
      <w:bookmarkStart w:id="10161" w:name="_Ref_Footnote_161"/>
      <w:r>
        <w:rPr>
          <w:rStyle w:val="FootnoteReference"/>
          <w:vertAlign w:val="superscript"/>
        </w:rPr>
        <w:footnoteRef/>
      </w:r>
      <w:r>
        <w:rPr>
          <w:sz w:val="18"/>
          <w:szCs w:val="18"/>
        </w:rPr>
        <w:t xml:space="preserve"> GoPenAI. https://blog.gopenai.com/byte-level-byte-pair-encoding-bbpe-in-modern-llms-e85695b90685</w:t>
      </w:r>
      <w:bookmarkEnd w:id="10161"/>
    </w:p>
  </w:footnote>
  <w:footnote w:id="162">
    <w:p>
      <w:pPr>
        <w:pStyle w:val="FootnoteText"/>
        <w:spacing w:before="0" w:after="0" w:line="200" w:lineRule="exact"/>
      </w:pPr>
      <w:bookmarkStart w:id="10162" w:name="_Ref_Footnote_162"/>
      <w:r>
        <w:rPr>
          <w:rStyle w:val="FootnoteReference"/>
          <w:vertAlign w:val="superscript"/>
        </w:rPr>
        <w:footnoteRef/>
      </w:r>
      <w:r>
        <w:rPr>
          <w:sz w:val="18"/>
          <w:szCs w:val="18"/>
        </w:rPr>
        <w:t xml:space="preserve"> arXiv.org. https://arxiv.org/html/2601.22818v1</w:t>
      </w:r>
      <w:bookmarkEnd w:id="10162"/>
    </w:p>
  </w:footnote>
  <w:footnote w:id="163">
    <w:p>
      <w:pPr>
        <w:pStyle w:val="FootnoteText"/>
        <w:spacing w:before="0" w:after="0" w:line="200" w:lineRule="exact"/>
      </w:pPr>
      <w:bookmarkStart w:id="10163" w:name="_Ref_Footnote_163"/>
      <w:r>
        <w:rPr>
          <w:rStyle w:val="FootnoteReference"/>
          <w:vertAlign w:val="superscript"/>
        </w:rPr>
        <w:footnoteRef/>
      </w:r>
      <w:r>
        <w:rPr>
          <w:sz w:val="18"/>
          <w:szCs w:val="18"/>
        </w:rPr>
        <w:t xml:space="preserve"> ACL Anthology. https://aclanthology.org/2025.emnlp-main.1386.pdf</w:t>
      </w:r>
      <w:bookmarkEnd w:id="10163"/>
    </w:p>
  </w:footnote>
  <w:footnote w:id="164">
    <w:p>
      <w:pPr>
        <w:pStyle w:val="FootnoteText"/>
        <w:spacing w:before="0" w:after="0" w:line="200" w:lineRule="exact"/>
      </w:pPr>
      <w:bookmarkStart w:id="10164" w:name="_Ref_Footnote_164"/>
      <w:r>
        <w:rPr>
          <w:rStyle w:val="FootnoteReference"/>
          <w:vertAlign w:val="superscript"/>
        </w:rPr>
        <w:footnoteRef/>
      </w:r>
      <w:r>
        <w:rPr>
          <w:sz w:val="18"/>
          <w:szCs w:val="18"/>
        </w:rPr>
        <w:t xml:space="preserve"> imaddabbura.github.io. https://imaddabbura.github.io/posts/nlp/BPE-Tokenizer.html</w:t>
      </w:r>
      <w:bookmarkEnd w:id="10164"/>
    </w:p>
  </w:footnote>
  <w:footnote w:id="165">
    <w:p>
      <w:pPr>
        <w:pStyle w:val="FootnoteText"/>
        <w:spacing w:before="0" w:after="0" w:line="200" w:lineRule="exact"/>
      </w:pPr>
      <w:bookmarkStart w:id="10165" w:name="_Ref_Footnote_165"/>
      <w:r>
        <w:rPr>
          <w:rStyle w:val="FootnoteReference"/>
          <w:vertAlign w:val="superscript"/>
        </w:rPr>
        <w:footnoteRef/>
      </w:r>
      <w:r>
        <w:rPr>
          <w:sz w:val="18"/>
          <w:szCs w:val="18"/>
        </w:rPr>
        <w:t xml:space="preserve"> fast.ai. https://www.fast.ai/posts/2025-10-16-karpathy-tokenizers</w:t>
      </w:r>
      <w:bookmarkEnd w:id="10165"/>
    </w:p>
  </w:footnote>
  <w:footnote w:id="166">
    <w:p>
      <w:pPr>
        <w:pStyle w:val="FootnoteText"/>
        <w:spacing w:before="0" w:after="0" w:line="200" w:lineRule="exact"/>
      </w:pPr>
      <w:bookmarkStart w:id="10166" w:name="_Ref_Footnote_166"/>
      <w:r>
        <w:rPr>
          <w:rStyle w:val="FootnoteReference"/>
          <w:vertAlign w:val="superscript"/>
        </w:rPr>
        <w:footnoteRef/>
      </w:r>
      <w:r>
        <w:rPr>
          <w:sz w:val="18"/>
          <w:szCs w:val="18"/>
        </w:rPr>
        <w:t xml:space="preserve"> Yann-Aël Le BorgneYann-Aël Le Borgne. https://yannael.github.io/video2blogpost/final_output/blogpost.html</w:t>
      </w:r>
      <w:bookmarkEnd w:id="10166"/>
    </w:p>
  </w:footnote>
  <w:footnote w:id="167">
    <w:p>
      <w:pPr>
        <w:pStyle w:val="FootnoteText"/>
        <w:spacing w:before="0" w:after="0" w:line="200" w:lineRule="exact"/>
      </w:pPr>
      <w:bookmarkStart w:id="10167" w:name="_Ref_Footnote_167"/>
      <w:r>
        <w:rPr>
          <w:rStyle w:val="FootnoteReference"/>
          <w:vertAlign w:val="superscript"/>
        </w:rPr>
        <w:footnoteRef/>
      </w:r>
      <w:r>
        <w:rPr>
          <w:sz w:val="18"/>
          <w:szCs w:val="18"/>
        </w:rPr>
        <w:t xml:space="preserve"> Medium. https://jankh.medium.com/0-days-and-tokens-and-salts-oh-my-an-overview-of-my-defcon-aiv-ctf-challenges-d6b83c56e4de</w:t>
      </w:r>
      <w:bookmarkEnd w:id="10167"/>
    </w:p>
  </w:footnote>
  <w:footnote w:id="168">
    <w:p>
      <w:pPr>
        <w:pStyle w:val="FootnoteText"/>
        <w:spacing w:before="0" w:after="0" w:line="200" w:lineRule="exact"/>
      </w:pPr>
      <w:bookmarkStart w:id="10168" w:name="_Ref_Footnote_168"/>
      <w:r>
        <w:rPr>
          <w:rStyle w:val="FootnoteReference"/>
          <w:vertAlign w:val="superscript"/>
        </w:rPr>
        <w:footnoteRef/>
      </w:r>
      <w:r>
        <w:rPr>
          <w:sz w:val="18"/>
          <w:szCs w:val="18"/>
        </w:rPr>
        <w:t xml:space="preserve"> arXiv.org. https://arxiv.org/html/2602.04706</w:t>
      </w:r>
      <w:bookmarkEnd w:id="10168"/>
    </w:p>
  </w:footnote>
  <w:footnote w:id="169">
    <w:p>
      <w:pPr>
        <w:pStyle w:val="FootnoteText"/>
        <w:spacing w:before="0" w:after="0" w:line="200" w:lineRule="exact"/>
      </w:pPr>
      <w:bookmarkStart w:id="10169" w:name="_Ref_Footnote_169"/>
      <w:r>
        <w:rPr>
          <w:rStyle w:val="FootnoteReference"/>
          <w:vertAlign w:val="superscript"/>
        </w:rPr>
        <w:footnoteRef/>
      </w:r>
      <w:r>
        <w:rPr>
          <w:sz w:val="18"/>
          <w:szCs w:val="18"/>
        </w:rPr>
        <w:t xml:space="preserve"> promptfoo.dev. https://www.promptfoo.dev/lm-security-db/vuln/special-token-jailbreak-46ed990e</w:t>
      </w:r>
      <w:bookmarkEnd w:id="10169"/>
    </w:p>
  </w:footnote>
  <w:footnote w:id="170">
    <w:p>
      <w:pPr>
        <w:pStyle w:val="FootnoteText"/>
        <w:spacing w:before="0" w:after="0" w:line="200" w:lineRule="exact"/>
      </w:pPr>
      <w:bookmarkStart w:id="10170" w:name="_Ref_Footnote_170"/>
      <w:r>
        <w:rPr>
          <w:rStyle w:val="FootnoteReference"/>
          <w:vertAlign w:val="superscript"/>
        </w:rPr>
        <w:footnoteRef/>
      </w:r>
      <w:r>
        <w:rPr>
          <w:sz w:val="18"/>
          <w:szCs w:val="18"/>
        </w:rPr>
        <w:t xml:space="preserve"> arXiv.org. https://arxiv.org/html/2510.10271</w:t>
      </w:r>
      <w:bookmarkEnd w:id="10170"/>
    </w:p>
  </w:footnote>
  <w:footnote w:id="171">
    <w:p>
      <w:pPr>
        <w:pStyle w:val="FootnoteText"/>
        <w:spacing w:before="0" w:after="0" w:line="200" w:lineRule="exact"/>
      </w:pPr>
      <w:bookmarkStart w:id="10171" w:name="_Ref_Footnote_171"/>
      <w:r>
        <w:rPr>
          <w:rStyle w:val="FootnoteReference"/>
          <w:vertAlign w:val="superscript"/>
        </w:rPr>
        <w:footnoteRef/>
      </w:r>
      <w:r>
        <w:rPr>
          <w:sz w:val="18"/>
          <w:szCs w:val="18"/>
        </w:rPr>
        <w:t xml:space="preserve"> Kaggle. https://www.kaggle.com/cdeotte/writeups</w:t>
      </w:r>
      <w:bookmarkEnd w:id="10171"/>
    </w:p>
  </w:footnote>
  <w:footnote w:id="172">
    <w:p>
      <w:pPr>
        <w:pStyle w:val="FootnoteText"/>
        <w:spacing w:before="0" w:after="0" w:line="200" w:lineRule="exact"/>
      </w:pPr>
      <w:bookmarkStart w:id="10172" w:name="_Ref_Footnote_172"/>
      <w:r>
        <w:rPr>
          <w:rStyle w:val="FootnoteReference"/>
          <w:vertAlign w:val="superscript"/>
        </w:rPr>
        <w:footnoteRef/>
      </w:r>
      <w:r>
        <w:rPr>
          <w:sz w:val="18"/>
          <w:szCs w:val="18"/>
        </w:rPr>
        <w:t xml:space="preserve"> PyTorch Forums. https://discuss.pytorch.org/t/loading-model-from-checkpoint-results-differ-to-loading-model-directly/212514</w:t>
      </w:r>
      <w:bookmarkEnd w:id="10172"/>
    </w:p>
  </w:footnote>
  <w:footnote w:id="173">
    <w:p>
      <w:pPr>
        <w:pStyle w:val="FootnoteText"/>
        <w:spacing w:before="0" w:after="0" w:line="200" w:lineRule="exact"/>
      </w:pPr>
      <w:bookmarkStart w:id="10173" w:name="_Ref_Footnote_173"/>
      <w:r>
        <w:rPr>
          <w:rStyle w:val="FootnoteReference"/>
          <w:vertAlign w:val="superscript"/>
        </w:rPr>
        <w:footnoteRef/>
      </w:r>
      <w:r>
        <w:rPr>
          <w:sz w:val="18"/>
          <w:szCs w:val="18"/>
        </w:rPr>
        <w:t xml:space="preserve"> pytorch.org. https://docs.pytorch.org/docs/stable/checkpoint.html</w:t>
      </w:r>
      <w:bookmarkEnd w:id="10173"/>
    </w:p>
  </w:footnote>
  <w:footnote w:id="174">
    <w:p>
      <w:pPr>
        <w:pStyle w:val="FootnoteText"/>
        <w:spacing w:before="0" w:after="0" w:line="200" w:lineRule="exact"/>
      </w:pPr>
      <w:bookmarkStart w:id="10174" w:name="_Ref_Footnote_174"/>
      <w:r>
        <w:rPr>
          <w:rStyle w:val="FootnoteReference"/>
          <w:vertAlign w:val="superscript"/>
        </w:rPr>
        <w:footnoteRef/>
      </w:r>
      <w:r>
        <w:rPr>
          <w:sz w:val="18"/>
          <w:szCs w:val="18"/>
        </w:rPr>
        <w:t xml:space="preserve"> MATLAB Central Blogs. https://blogs.mathworks.com/student-lounge/2025/11/17/artificial-intelligence-challenge-meet-the-winners/</w:t>
      </w:r>
      <w:bookmarkEnd w:id="10174"/>
    </w:p>
  </w:footnote>
  <w:footnote w:id="175">
    <w:p>
      <w:pPr>
        <w:pStyle w:val="FootnoteText"/>
        <w:spacing w:before="0" w:after="0" w:line="200" w:lineRule="exact"/>
      </w:pPr>
      <w:bookmarkStart w:id="10175" w:name="_Ref_Footnote_175"/>
      <w:r>
        <w:rPr>
          <w:rStyle w:val="FootnoteReference"/>
          <w:vertAlign w:val="superscript"/>
        </w:rPr>
        <w:footnoteRef/>
      </w:r>
      <w:r>
        <w:rPr>
          <w:sz w:val="18"/>
          <w:szCs w:val="18"/>
        </w:rPr>
        <w:t xml:space="preserve"> USENIX. https://www.usenix.org/system/files/usenixsecurity24-horvath.pdf</w:t>
      </w:r>
      <w:bookmarkEnd w:id="10175"/>
    </w:p>
  </w:footnote>
  <w:footnote w:id="176">
    <w:p>
      <w:pPr>
        <w:pStyle w:val="FootnoteText"/>
        <w:spacing w:before="0" w:after="0" w:line="200" w:lineRule="exact"/>
      </w:pPr>
      <w:bookmarkStart w:id="10176" w:name="_Ref_Footnote_176"/>
      <w:r>
        <w:rPr>
          <w:rStyle w:val="FootnoteReference"/>
          <w:vertAlign w:val="superscript"/>
        </w:rPr>
        <w:footnoteRef/>
      </w:r>
      <w:r>
        <w:rPr>
          <w:sz w:val="18"/>
          <w:szCs w:val="18"/>
        </w:rPr>
        <w:t xml:space="preserve"> psu.edu. https://faculty.ist.psu.edu/wu/papers/Veiled-Pathways.pdf</w:t>
      </w:r>
      <w:bookmarkEnd w:id="10176"/>
    </w:p>
  </w:footnote>
  <w:footnote w:id="177">
    <w:p>
      <w:pPr>
        <w:pStyle w:val="FootnoteText"/>
        <w:spacing w:before="0" w:after="0" w:line="200" w:lineRule="exact"/>
      </w:pPr>
      <w:bookmarkStart w:id="10177" w:name="_Ref_Footnote_177"/>
      <w:r>
        <w:rPr>
          <w:rStyle w:val="FootnoteReference"/>
          <w:vertAlign w:val="superscript"/>
        </w:rPr>
        <w:footnoteRef/>
      </w:r>
      <w:r>
        <w:rPr>
          <w:sz w:val="18"/>
          <w:szCs w:val="18"/>
        </w:rPr>
        <w:t xml:space="preserve"> USENIX. https://www.usenix.org/system/files/sec22-maia.pdf</w:t>
      </w:r>
      <w:bookmarkEnd w:id="10177"/>
    </w:p>
  </w:footnote>
  <w:footnote w:id="178">
    <w:p>
      <w:pPr>
        <w:pStyle w:val="FootnoteText"/>
        <w:spacing w:before="0" w:after="0" w:line="200" w:lineRule="exact"/>
      </w:pPr>
      <w:bookmarkStart w:id="10178" w:name="_Ref_Footnote_178"/>
      <w:r>
        <w:rPr>
          <w:rStyle w:val="FootnoteReference"/>
          <w:vertAlign w:val="superscript"/>
        </w:rPr>
        <w:footnoteRef/>
      </w:r>
      <w:r>
        <w:rPr>
          <w:sz w:val="18"/>
          <w:szCs w:val="18"/>
        </w:rPr>
        <w:t xml:space="preserve"> antonysallas.com. https://www.antonysallas.com/docs/safetensors/</w:t>
      </w:r>
      <w:bookmarkEnd w:id="10178"/>
    </w:p>
  </w:footnote>
  <w:footnote w:id="179">
    <w:p>
      <w:pPr>
        <w:pStyle w:val="FootnoteText"/>
        <w:spacing w:before="0" w:after="0" w:line="200" w:lineRule="exact"/>
      </w:pPr>
      <w:bookmarkStart w:id="10179" w:name="_Ref_Footnote_179"/>
      <w:r>
        <w:rPr>
          <w:rStyle w:val="FootnoteReference"/>
          <w:vertAlign w:val="superscript"/>
        </w:rPr>
        <w:footnoteRef/>
      </w:r>
      <w:r>
        <w:rPr>
          <w:sz w:val="18"/>
          <w:szCs w:val="18"/>
        </w:rPr>
        <w:t xml:space="preserve"> Python. https://docs.python.org/3/library/pickletools.html</w:t>
      </w:r>
      <w:bookmarkEnd w:id="10179"/>
    </w:p>
  </w:footnote>
  <w:footnote w:id="180">
    <w:p>
      <w:pPr>
        <w:pStyle w:val="FootnoteText"/>
        <w:spacing w:before="0" w:after="0" w:line="200" w:lineRule="exact"/>
      </w:pPr>
      <w:bookmarkStart w:id="10180" w:name="_Ref_Footnote_180"/>
      <w:r>
        <w:rPr>
          <w:rStyle w:val="FootnoteReference"/>
          <w:vertAlign w:val="superscript"/>
        </w:rPr>
        <w:footnoteRef/>
      </w:r>
      <w:r>
        <w:rPr>
          <w:sz w:val="18"/>
          <w:szCs w:val="18"/>
        </w:rPr>
        <w:t xml:space="preserve"> Hugging Face. https://huggingface.co/docs/hub/en/security-pickle</w:t>
      </w:r>
      <w:bookmarkEnd w:id="10180"/>
    </w:p>
  </w:footnote>
  <w:footnote w:id="181">
    <w:p>
      <w:pPr>
        <w:pStyle w:val="FootnoteText"/>
        <w:spacing w:before="0" w:after="0" w:line="200" w:lineRule="exact"/>
      </w:pPr>
      <w:bookmarkStart w:id="10181" w:name="_Ref_Footnote_181"/>
      <w:r>
        <w:rPr>
          <w:rStyle w:val="FootnoteReference"/>
          <w:vertAlign w:val="superscript"/>
        </w:rPr>
        <w:footnoteRef/>
      </w:r>
      <w:r>
        <w:rPr>
          <w:sz w:val="18"/>
          <w:szCs w:val="18"/>
        </w:rPr>
        <w:t xml:space="preserve"> Snyk. https://snyk.io/articles/python-pickle-poisoning-and-backdooring-pth-files/</w:t>
      </w:r>
      <w:bookmarkEnd w:id="10181"/>
    </w:p>
  </w:footnote>
  <w:footnote w:id="182">
    <w:p>
      <w:pPr>
        <w:pStyle w:val="FootnoteText"/>
        <w:spacing w:before="0" w:after="0" w:line="200" w:lineRule="exact"/>
      </w:pPr>
      <w:bookmarkStart w:id="10182" w:name="_Ref_Footnote_182"/>
      <w:r>
        <w:rPr>
          <w:rStyle w:val="FootnoteReference"/>
          <w:vertAlign w:val="superscript"/>
        </w:rPr>
        <w:footnoteRef/>
      </w:r>
      <w:r>
        <w:rPr>
          <w:sz w:val="18"/>
          <w:szCs w:val="18"/>
        </w:rPr>
        <w:t xml:space="preserve"> Python. https://docs.python.org/3/library/pickle.html</w:t>
      </w:r>
      <w:bookmarkEnd w:id="10182"/>
    </w:p>
  </w:footnote>
  <w:footnote w:id="183">
    <w:p>
      <w:pPr>
        <w:pStyle w:val="FootnoteText"/>
        <w:spacing w:before="0" w:after="0" w:line="200" w:lineRule="exact"/>
      </w:pPr>
      <w:bookmarkStart w:id="10183" w:name="_Ref_Footnote_183"/>
      <w:r>
        <w:rPr>
          <w:rStyle w:val="FootnoteReference"/>
          <w:vertAlign w:val="superscript"/>
        </w:rPr>
        <w:footnoteRef/>
      </w:r>
      <w:r>
        <w:rPr>
          <w:sz w:val="18"/>
          <w:szCs w:val="18"/>
        </w:rPr>
        <w:t xml:space="preserve"> arXiv.org. https://arxiv.org/abs/2311.17035</w:t>
      </w:r>
      <w:bookmarkEnd w:id="10183"/>
    </w:p>
  </w:footnote>
  <w:footnote w:id="184">
    <w:p>
      <w:pPr>
        <w:pStyle w:val="FootnoteText"/>
        <w:spacing w:before="0" w:after="0" w:line="200" w:lineRule="exact"/>
      </w:pPr>
      <w:bookmarkStart w:id="10184" w:name="_Ref_Footnote_184"/>
      <w:r>
        <w:rPr>
          <w:rStyle w:val="FootnoteReference"/>
          <w:vertAlign w:val="superscript"/>
        </w:rPr>
        <w:footnoteRef/>
      </w:r>
      <w:r>
        <w:rPr>
          <w:sz w:val="18"/>
          <w:szCs w:val="18"/>
        </w:rPr>
        <w:t xml:space="preserve"> ar5iv. https://ar5iv.labs.arxiv.org/html/2311.17035</w:t>
      </w:r>
      <w:bookmarkEnd w:id="10184"/>
    </w:p>
  </w:footnote>
  <w:footnote w:id="185">
    <w:p>
      <w:pPr>
        <w:pStyle w:val="FootnoteText"/>
        <w:spacing w:before="0" w:after="0" w:line="200" w:lineRule="exact"/>
      </w:pPr>
      <w:bookmarkStart w:id="10185" w:name="_Ref_Footnote_185"/>
      <w:r>
        <w:rPr>
          <w:rStyle w:val="FootnoteReference"/>
          <w:vertAlign w:val="superscript"/>
        </w:rPr>
        <w:footnoteRef/>
      </w:r>
      <w:r>
        <w:rPr>
          <w:sz w:val="18"/>
          <w:szCs w:val="18"/>
        </w:rPr>
        <w:t xml:space="preserve"> afedercooper.info. https://afedercooper.info/paper/nasr2025extracting.pdf</w:t>
      </w:r>
      <w:bookmarkEnd w:id="10185"/>
    </w:p>
  </w:footnote>
  <w:footnote w:id="186">
    <w:p>
      <w:pPr>
        <w:pStyle w:val="FootnoteText"/>
        <w:spacing w:before="0" w:after="0" w:line="200" w:lineRule="exact"/>
      </w:pPr>
      <w:bookmarkStart w:id="10186" w:name="_Ref_Footnote_186"/>
      <w:r>
        <w:rPr>
          <w:rStyle w:val="FootnoteReference"/>
          <w:vertAlign w:val="superscript"/>
        </w:rPr>
        <w:footnoteRef/>
      </w:r>
      <w:r>
        <w:rPr>
          <w:sz w:val="18"/>
          <w:szCs w:val="18"/>
        </w:rPr>
        <w:t xml:space="preserve"> Slashdot. https://yro.slashdot.org/story/23/11/30/2210216/google-researchers-attack-prompts-chatgpt-to-reveal-its-training-data</w:t>
      </w:r>
      <w:bookmarkEnd w:id="10186"/>
    </w:p>
  </w:footnote>
  <w:footnote w:id="187">
    <w:p>
      <w:pPr>
        <w:pStyle w:val="FootnoteText"/>
        <w:spacing w:before="0" w:after="0" w:line="200" w:lineRule="exact"/>
      </w:pPr>
      <w:bookmarkStart w:id="10187" w:name="_Ref_Footnote_187"/>
      <w:r>
        <w:rPr>
          <w:rStyle w:val="FootnoteReference"/>
          <w:vertAlign w:val="superscript"/>
        </w:rPr>
        <w:footnoteRef/>
      </w:r>
      <w:r>
        <w:rPr>
          <w:sz w:val="18"/>
          <w:szCs w:val="18"/>
        </w:rPr>
        <w:t xml:space="preserve"> fdik.org. https://blog.fdik.org/2023-12/2311.17035.pdf</w:t>
      </w:r>
      <w:bookmarkEnd w:id="10187"/>
    </w:p>
  </w:footnote>
  <w:footnote w:id="188">
    <w:p>
      <w:pPr>
        <w:pStyle w:val="FootnoteText"/>
        <w:spacing w:before="0" w:after="0" w:line="200" w:lineRule="exact"/>
      </w:pPr>
      <w:bookmarkStart w:id="10188" w:name="_Ref_Footnote_188"/>
      <w:r>
        <w:rPr>
          <w:rStyle w:val="FootnoteReference"/>
          <w:vertAlign w:val="superscript"/>
        </w:rPr>
        <w:footnoteRef/>
      </w:r>
      <w:r>
        <w:rPr>
          <w:sz w:val="18"/>
          <w:szCs w:val="18"/>
        </w:rPr>
        <w:t xml:space="preserve"> zenml.io. https://www.zenml.io/llmops-database/llm-security-discovering-and-mitigating-repeated-token-attacks-in-production-models</w:t>
      </w:r>
      <w:bookmarkEnd w:id="10188"/>
    </w:p>
  </w:footnote>
  <w:footnote w:id="189">
    <w:p>
      <w:pPr>
        <w:pStyle w:val="FootnoteText"/>
        <w:spacing w:before="0" w:after="0" w:line="200" w:lineRule="exact"/>
      </w:pPr>
      <w:bookmarkStart w:id="10189" w:name="_Ref_Footnote_189"/>
      <w:r>
        <w:rPr>
          <w:rStyle w:val="FootnoteReference"/>
          <w:vertAlign w:val="superscript"/>
        </w:rPr>
        <w:footnoteRef/>
      </w:r>
      <w:r>
        <w:rPr>
          <w:sz w:val="18"/>
          <w:szCs w:val="18"/>
        </w:rPr>
        <w:t xml:space="preserve"> Dropbox Tech Blog. https://dropbox.tech/machine-learning/bye-bye-bye-evolution-of-repeated-token-attacks-on-chatgpt-models</w:t>
      </w:r>
      <w:bookmarkEnd w:id="10189"/>
    </w:p>
  </w:footnote>
  <w:footnote w:id="190">
    <w:p>
      <w:pPr>
        <w:pStyle w:val="FootnoteText"/>
        <w:spacing w:before="0" w:after="0" w:line="200" w:lineRule="exact"/>
      </w:pPr>
      <w:bookmarkStart w:id="10190" w:name="_Ref_Footnote_190"/>
      <w:r>
        <w:rPr>
          <w:rStyle w:val="FootnoteReference"/>
          <w:vertAlign w:val="superscript"/>
        </w:rPr>
        <w:footnoteRef/>
      </w:r>
      <w:r>
        <w:rPr>
          <w:sz w:val="18"/>
          <w:szCs w:val="18"/>
        </w:rPr>
        <w:t xml:space="preserve"> spylab.ai. https://spylab.ai/blog/training-data-extraction/</w:t>
      </w:r>
      <w:bookmarkEnd w:id="10190"/>
    </w:p>
  </w:footnote>
  <w:footnote w:id="191">
    <w:p>
      <w:pPr>
        <w:pStyle w:val="FootnoteText"/>
        <w:spacing w:before="0" w:after="0" w:line="200" w:lineRule="exact"/>
      </w:pPr>
      <w:bookmarkStart w:id="10191" w:name="_Ref_Footnote_191"/>
      <w:r>
        <w:rPr>
          <w:rStyle w:val="FootnoteReference"/>
          <w:vertAlign w:val="superscript"/>
        </w:rPr>
        <w:footnoteRef/>
      </w:r>
      <w:r>
        <w:rPr>
          <w:sz w:val="18"/>
          <w:szCs w:val="18"/>
        </w:rPr>
        <w:t xml:space="preserve"> USENIX. https://www.usenix.org/system/files/sec21-carlini-extracting.pdf</w:t>
      </w:r>
      <w:bookmarkEnd w:id="10191"/>
    </w:p>
  </w:footnote>
  <w:footnote w:id="192">
    <w:p>
      <w:pPr>
        <w:pStyle w:val="FootnoteText"/>
        <w:spacing w:before="0" w:after="0" w:line="200" w:lineRule="exact"/>
      </w:pPr>
      <w:bookmarkStart w:id="10192" w:name="_Ref_Footnote_192"/>
      <w:r>
        <w:rPr>
          <w:rStyle w:val="FootnoteReference"/>
          <w:vertAlign w:val="superscript"/>
        </w:rPr>
        <w:footnoteRef/>
      </w:r>
      <w:r>
        <w:rPr>
          <w:sz w:val="18"/>
          <w:szCs w:val="18"/>
        </w:rPr>
        <w:t xml:space="preserve"> USENIX. https://www.usenix.org/conference/usenixsecurity21/presentation/carlini-extracting</w:t>
      </w:r>
      <w:bookmarkEnd w:id="10192"/>
    </w:p>
  </w:footnote>
  <w:footnote w:id="193">
    <w:p>
      <w:pPr>
        <w:pStyle w:val="FootnoteText"/>
        <w:spacing w:before="0" w:after="0" w:line="200" w:lineRule="exact"/>
      </w:pPr>
      <w:bookmarkStart w:id="10193" w:name="_Ref_Footnote_193"/>
      <w:r>
        <w:rPr>
          <w:rStyle w:val="FootnoteReference"/>
          <w:vertAlign w:val="superscript"/>
        </w:rPr>
        <w:footnoteRef/>
      </w:r>
      <w:r>
        <w:rPr>
          <w:sz w:val="18"/>
          <w:szCs w:val="18"/>
        </w:rPr>
        <w:t xml:space="preserve"> arXiv.org. https://arxiv.org/abs/2402.07841</w:t>
      </w:r>
      <w:bookmarkEnd w:id="10193"/>
    </w:p>
  </w:footnote>
  <w:footnote w:id="194">
    <w:p>
      <w:pPr>
        <w:pStyle w:val="FootnoteText"/>
        <w:spacing w:before="0" w:after="0" w:line="200" w:lineRule="exact"/>
      </w:pPr>
      <w:bookmarkStart w:id="10194" w:name="_Ref_Footnote_194"/>
      <w:r>
        <w:rPr>
          <w:rStyle w:val="FootnoteReference"/>
          <w:vertAlign w:val="superscript"/>
        </w:rPr>
        <w:footnoteRef/>
      </w:r>
      <w:r>
        <w:rPr>
          <w:sz w:val="18"/>
          <w:szCs w:val="18"/>
        </w:rPr>
        <w:t xml:space="preserve"> iamgroot42.github.io. https://iamgroot42.github.io/mimir.github.io/</w:t>
      </w:r>
      <w:bookmarkEnd w:id="10194"/>
    </w:p>
  </w:footnote>
  <w:footnote w:id="195">
    <w:p>
      <w:pPr>
        <w:pStyle w:val="FootnoteText"/>
        <w:spacing w:before="0" w:after="0" w:line="200" w:lineRule="exact"/>
      </w:pPr>
      <w:bookmarkStart w:id="10195" w:name="_Ref_Footnote_195"/>
      <w:r>
        <w:rPr>
          <w:rStyle w:val="FootnoteReference"/>
          <w:vertAlign w:val="superscript"/>
        </w:rPr>
        <w:footnoteRef/>
      </w:r>
      <w:r>
        <w:rPr>
          <w:sz w:val="18"/>
          <w:szCs w:val="18"/>
        </w:rPr>
        <w:t xml:space="preserve"> ACM Digital Library. https://dl.acm.org/doi/10.5555/3737916.3742206</w:t>
      </w:r>
      <w:bookmarkEnd w:id="10195"/>
    </w:p>
  </w:footnote>
  <w:footnote w:id="196">
    <w:p>
      <w:pPr>
        <w:pStyle w:val="FootnoteText"/>
        <w:spacing w:before="0" w:after="0" w:line="200" w:lineRule="exact"/>
      </w:pPr>
      <w:bookmarkStart w:id="10196" w:name="_Ref_Footnote_196"/>
      <w:r>
        <w:rPr>
          <w:rStyle w:val="FootnoteReference"/>
          <w:vertAlign w:val="superscript"/>
        </w:rPr>
        <w:footnoteRef/>
      </w:r>
      <w:r>
        <w:rPr>
          <w:sz w:val="18"/>
          <w:szCs w:val="18"/>
        </w:rPr>
        <w:t xml:space="preserve"> CatalyzeX. https://www.catalyzex.com/paper/g-drift-mia-membership-inference-via-gradient</w:t>
      </w:r>
      <w:bookmarkEnd w:id="10196"/>
    </w:p>
  </w:footnote>
  <w:footnote w:id="197">
    <w:p>
      <w:pPr>
        <w:pStyle w:val="FootnoteText"/>
        <w:spacing w:before="0" w:after="0" w:line="200" w:lineRule="exact"/>
      </w:pPr>
      <w:bookmarkStart w:id="10197" w:name="_Ref_Footnote_197"/>
      <w:r>
        <w:rPr>
          <w:rStyle w:val="FootnoteReference"/>
          <w:vertAlign w:val="superscript"/>
        </w:rPr>
        <w:footnoteRef/>
      </w:r>
      <w:r>
        <w:rPr>
          <w:sz w:val="18"/>
          <w:szCs w:val="18"/>
        </w:rPr>
        <w:t xml:space="preserve"> arXiv.org. https://arxiv.org/abs/2504.18598</w:t>
      </w:r>
      <w:bookmarkEnd w:id="10197"/>
    </w:p>
  </w:footnote>
  <w:footnote w:id="198">
    <w:p>
      <w:pPr>
        <w:pStyle w:val="FootnoteText"/>
        <w:spacing w:before="0" w:after="0" w:line="200" w:lineRule="exact"/>
      </w:pPr>
      <w:bookmarkStart w:id="10198" w:name="_Ref_Footnote_198"/>
      <w:r>
        <w:rPr>
          <w:rStyle w:val="FootnoteReference"/>
          <w:vertAlign w:val="superscript"/>
        </w:rPr>
        <w:footnoteRef/>
      </w:r>
      <w:r>
        <w:rPr>
          <w:sz w:val="18"/>
          <w:szCs w:val="18"/>
        </w:rPr>
        <w:t xml:space="preserve"> arXiv.org. https://arxiv.org/html/2510.13462v1</w:t>
      </w:r>
      <w:bookmarkEnd w:id="10198"/>
    </w:p>
  </w:footnote>
  <w:footnote w:id="199">
    <w:p>
      <w:pPr>
        <w:pStyle w:val="FootnoteText"/>
        <w:spacing w:before="0" w:after="0" w:line="200" w:lineRule="exact"/>
      </w:pPr>
      <w:bookmarkStart w:id="10199" w:name="_Ref_Footnote_199"/>
      <w:r>
        <w:rPr>
          <w:rStyle w:val="FootnoteReference"/>
          <w:vertAlign w:val="superscript"/>
        </w:rPr>
        <w:footnoteRef/>
      </w:r>
      <w:r>
        <w:rPr>
          <w:sz w:val="18"/>
          <w:szCs w:val="18"/>
        </w:rPr>
        <w:t xml:space="preserve"> NeurIPS Proceedings. https://proceedings.neurips.cc/paper_files/paper/2025/hash/4d3ac0eee841e6df6e08e51932943266-Abstract-Conference.html</w:t>
      </w:r>
      <w:bookmarkEnd w:id="10199"/>
    </w:p>
  </w:footnote>
  <w:footnote w:id="200">
    <w:p>
      <w:pPr>
        <w:pStyle w:val="FootnoteText"/>
        <w:spacing w:before="0" w:after="0" w:line="200" w:lineRule="exact"/>
      </w:pPr>
      <w:bookmarkStart w:id="10200" w:name="_Ref_Footnote_200"/>
      <w:r>
        <w:rPr>
          <w:rStyle w:val="FootnoteReference"/>
          <w:vertAlign w:val="superscript"/>
        </w:rPr>
        <w:footnoteRef/>
      </w:r>
      <w:r>
        <w:rPr>
          <w:sz w:val="18"/>
          <w:szCs w:val="18"/>
        </w:rPr>
        <w:t xml:space="preserve"> ssrn.com. https://papers.ssrn.com/sol3/papers.cfm?abstract_id=5171090</w:t>
      </w:r>
      <w:bookmarkEnd w:id="10200"/>
    </w:p>
  </w:footnote>
  <w:footnote w:id="201">
    <w:p>
      <w:pPr>
        <w:pStyle w:val="FootnoteText"/>
        <w:spacing w:before="0" w:after="0" w:line="200" w:lineRule="exact"/>
      </w:pPr>
      <w:bookmarkStart w:id="10201" w:name="_Ref_Footnote_201"/>
      <w:r>
        <w:rPr>
          <w:rStyle w:val="FootnoteReference"/>
          <w:vertAlign w:val="superscript"/>
        </w:rPr>
        <w:footnoteRef/>
      </w:r>
      <w:r>
        <w:rPr>
          <w:sz w:val="18"/>
          <w:szCs w:val="18"/>
        </w:rPr>
        <w:t xml:space="preserve"> arXiv.org. https://arxiv.org/abs/2411.14449</w:t>
      </w:r>
      <w:bookmarkEnd w:id="10201"/>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pPr>
      <w:spacing w:before="0" w:after="0" w:line="200" w:lineRule="exact"/>
    </w:pPr>
    <w:rPr>
      <w:sz w:val="18"/>
      <w:szCs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Id="rId9"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2026-06-02T21:07:44Z</dcterms:created>
  <dcterms:modified xsi:type="dcterms:W3CDTF">2026-06-02T21:07:44Z</dcterms:modified>
</cp:coreProperties>
</file>

<file path=docProps/custom.xml><?xml version="1.0" encoding="utf-8"?>
<Properties xmlns="http://schemas.openxmlformats.org/officeDocument/2006/custom-properties" xmlns:vt="http://schemas.openxmlformats.org/officeDocument/2006/docPropsVTypes"/>
</file>