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A4F8A"/>
          <w:sz w:val="30"/>
        </w:rPr>
        <w:t>Robô Fundamento</w:t>
      </w:r>
    </w:p>
    <w:p>
      <w:pPr>
        <w:spacing w:after="160"/>
        <w:jc w:val="center"/>
      </w:pPr>
      <w:r>
        <w:rPr>
          <w:color w:val="4A4A48"/>
          <w:sz w:val="18"/>
        </w:rPr>
        <w:t>Alocação sistemática entre classes de ativo com rebalanceamento mensal  |  Desafio Quant AI 2026</w:t>
      </w:r>
    </w:p>
    <w:p>
      <w:pPr>
        <w:spacing w:before="140" w:after="40"/>
        <w:keepNext/>
      </w:pPr>
      <w:r>
        <w:rPr>
          <w:b/>
          <w:color w:val="1A4F8A"/>
          <w:sz w:val="22"/>
        </w:rPr>
        <w:t>1. O robô</w:t>
      </w:r>
    </w:p>
    <w:p>
      <w:pPr>
        <w:spacing w:after="80"/>
        <w:jc w:val="both"/>
      </w:pPr>
      <w:r>
        <w:rPr>
          <w:b w:val="0"/>
          <w:i w:val="0"/>
          <w:sz w:val="18"/>
        </w:rPr>
        <w:t xml:space="preserve">O nome </w:t>
      </w:r>
      <w:r>
        <w:rPr>
          <w:b/>
          <w:i w:val="0"/>
          <w:sz w:val="18"/>
        </w:rPr>
        <w:t>Fundamento</w:t>
      </w:r>
      <w:r>
        <w:rPr>
          <w:b w:val="0"/>
          <w:i w:val="0"/>
          <w:sz w:val="18"/>
        </w:rPr>
        <w:t xml:space="preserve"> traduz o critério de decisão: toda alocação tem um fundamento econômico verificável por trás dela. O robô não segue palpite nem narrativa de mercado. Ele responde todo mês a uma única pergunta objetiva: o risco está sendo pago acima do dinheiro parado?</w:t>
      </w:r>
    </w:p>
    <w:p>
      <w:pPr>
        <w:spacing w:before="140" w:after="40"/>
        <w:keepNext/>
      </w:pPr>
      <w:r>
        <w:rPr>
          <w:b/>
          <w:color w:val="1A4F8A"/>
          <w:sz w:val="22"/>
        </w:rPr>
        <w:t>2. Conceito da estratégia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78"/>
            <w:shd w:val="clear" w:fill="EEF2F7"/>
          </w:tcPr>
          <w:p>
            <w:pPr>
              <w:spacing w:after="40" w:before="40"/>
              <w:jc w:val="both"/>
            </w:pPr>
            <w:r>
              <w:rPr>
                <w:b/>
                <w:color w:val="1A4F8A"/>
                <w:sz w:val="18"/>
              </w:rPr>
              <w:t>A tese.</w:t>
            </w:r>
            <w:r>
              <w:rPr>
                <w:b w:val="0"/>
                <w:color w:val="1A4F8A"/>
                <w:sz w:val="18"/>
              </w:rPr>
              <w:t xml:space="preserve"> No Brasil o ativo livre de risco rende cerca de 10% ao ano. Isso muda a natureza do problema de alocação: correr risco só faz sentido quando o risco está sendo remunerado acima disso. O robô mede essa remuneração todo mês, realoca para as classes que estão entregando e, quando nenhuma está, simplesmente não corre risco.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  <w:sz w:val="18"/>
        </w:rPr>
        <w:t xml:space="preserve">A régua do projeto é o </w:t>
      </w:r>
      <w:r>
        <w:rPr>
          <w:b/>
          <w:i w:val="0"/>
          <w:sz w:val="18"/>
        </w:rPr>
        <w:t>CDI</w:t>
      </w:r>
      <w:r>
        <w:rPr>
          <w:b w:val="0"/>
          <w:i w:val="0"/>
          <w:sz w:val="18"/>
        </w:rPr>
        <w:t xml:space="preserve">, não a bolsa. A escolha não é cosmética. No período testado o </w:t>
      </w:r>
      <w:r>
        <w:rPr>
          <w:b/>
          <w:i w:val="0"/>
          <w:sz w:val="18"/>
        </w:rPr>
        <w:t>Ibovespa rendeu 11,8% ao ano contra 10,0% do CDI</w:t>
      </w:r>
      <w:r>
        <w:rPr>
          <w:b w:val="0"/>
          <w:i w:val="0"/>
          <w:sz w:val="18"/>
        </w:rPr>
        <w:t xml:space="preserve">, apenas 1,69 p.p. acima do dinheiro parado, com -37% de queda máxima no caminho. A carteira balanceada clássica 60/40 </w:t>
      </w:r>
      <w:r>
        <w:rPr>
          <w:b/>
          <w:i w:val="0"/>
          <w:sz w:val="18"/>
        </w:rPr>
        <w:t>perdeu</w:t>
      </w:r>
      <w:r>
        <w:rPr>
          <w:b w:val="0"/>
          <w:i w:val="0"/>
          <w:sz w:val="18"/>
        </w:rPr>
        <w:t xml:space="preserve"> para o CDI de 2020 em diante. Superar o CDI de forma consistente no Brasil é, portanto, um problema genuinamente difícil, e é o problema que atacamos.</w:t>
      </w:r>
    </w:p>
    <w:p>
      <w:pPr>
        <w:spacing w:before="80" w:after="20"/>
        <w:keepNext/>
      </w:pPr>
      <w:r>
        <w:rPr>
          <w:b/>
          <w:color w:val="4A4A48"/>
          <w:sz w:val="18"/>
        </w:rPr>
        <w:t>2.1 Fundamentação teórica</w:t>
      </w:r>
    </w:p>
    <w:p>
      <w:pPr>
        <w:spacing w:after="80"/>
        <w:jc w:val="both"/>
      </w:pPr>
      <w:r>
        <w:rPr>
          <w:b w:val="0"/>
          <w:i w:val="0"/>
          <w:sz w:val="18"/>
        </w:rPr>
        <w:t>A regra é a adaptação ao mercado brasileiro de quatro resultados consolidados na literatura, e não uma construção ad hoc: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2438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Referência</w:t>
            </w:r>
          </w:p>
        </w:tc>
        <w:tc>
          <w:tcPr>
            <w:tcW w:type="dxa" w:w="3969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O que estabelece</w:t>
            </w:r>
          </w:p>
        </w:tc>
        <w:tc>
          <w:tcPr>
            <w:tcW w:type="dxa" w:w="3572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Como entra no robô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 xml:space="preserve">Jegadeesh &amp; Titman (1993), </w:t>
            </w:r>
            <w:r>
              <w:rPr>
                <w:b/>
                <w:sz w:val="15"/>
              </w:rPr>
              <w:t>Journal of Finance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Ativos com bom desempenho recente tendem a mantê-lo. É a anomalia de momentum, documentada e replicada por três décadas.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Fundamento do sinal de 12 meses.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 xml:space="preserve">Asness, Moskowitz &amp; Pedersen (2013), </w:t>
            </w:r>
            <w:r>
              <w:rPr>
                <w:b/>
                <w:sz w:val="15"/>
              </w:rPr>
              <w:t>Journal of Finance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 xml:space="preserve">Prêmio de momentum consistente em </w:t>
            </w:r>
            <w:r>
              <w:rPr>
                <w:b/>
                <w:sz w:val="15"/>
              </w:rPr>
              <w:t>oito mercados e classes de ativo</w:t>
            </w:r>
            <w:r>
              <w:rPr>
                <w:b w:val="0"/>
                <w:sz w:val="15"/>
              </w:rPr>
              <w:t>, com estrutura de fator comum entre eles.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 xml:space="preserve">Justifica aplicar momentum </w:t>
            </w:r>
            <w:r>
              <w:rPr>
                <w:b/>
                <w:sz w:val="15"/>
              </w:rPr>
              <w:t>entre classes</w:t>
            </w:r>
            <w:r>
              <w:rPr>
                <w:b w:val="0"/>
                <w:sz w:val="15"/>
              </w:rPr>
              <w:t>, e não apenas dentro de ações.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 xml:space="preserve">Faber (2007), </w:t>
            </w:r>
            <w:r>
              <w:rPr>
                <w:b/>
                <w:sz w:val="15"/>
              </w:rPr>
              <w:t>Journal of Wealth Management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Regra de tendência aplicada a múltiplas classes reduz drasticamente o drawdown preservando retorno de renda variável.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Sustenta a fuga ao caixa e explica nosso perfil de queda contida.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 xml:space="preserve">Antonacci (2014), </w:t>
            </w:r>
            <w:r>
              <w:rPr>
                <w:b/>
                <w:sz w:val="15"/>
              </w:rPr>
              <w:t>Dual Momentum Investing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 xml:space="preserve">Combinação de momentum </w:t>
            </w:r>
            <w:r>
              <w:rPr>
                <w:b/>
                <w:sz w:val="15"/>
              </w:rPr>
              <w:t>absoluto</w:t>
            </w:r>
            <w:r>
              <w:rPr>
                <w:b w:val="0"/>
                <w:sz w:val="15"/>
              </w:rPr>
              <w:t xml:space="preserve"> (superar o caixa) e </w:t>
            </w:r>
            <w:r>
              <w:rPr>
                <w:b/>
                <w:sz w:val="15"/>
              </w:rPr>
              <w:t>relativo</w:t>
            </w:r>
            <w:r>
              <w:rPr>
                <w:b w:val="0"/>
                <w:sz w:val="15"/>
              </w:rPr>
              <w:t xml:space="preserve"> (ordenar entre os aprovados) domina cada um isoladamente.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É exatamente a arquitetura de duas travas da nossa regra.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  <w:sz w:val="18"/>
        </w:rPr>
        <w:t xml:space="preserve">A evidência brasileira reforça a escolha de desenho por um caminho indireto: estudos de momentum em </w:t>
      </w:r>
      <w:r>
        <w:rPr>
          <w:b/>
          <w:i w:val="0"/>
          <w:sz w:val="18"/>
        </w:rPr>
        <w:t>ações individuais</w:t>
      </w:r>
      <w:r>
        <w:rPr>
          <w:b w:val="0"/>
          <w:i w:val="0"/>
          <w:sz w:val="18"/>
        </w:rPr>
        <w:t xml:space="preserve"> no Brasil encontram resultados frágeis, frequentemente abaixo do Ibovespa. Isso desaconselha justamente o que </w:t>
      </w:r>
      <w:r>
        <w:rPr>
          <w:b/>
          <w:i w:val="0"/>
          <w:sz w:val="18"/>
        </w:rPr>
        <w:t>não</w:t>
      </w:r>
      <w:r>
        <w:rPr>
          <w:b w:val="0"/>
          <w:i w:val="0"/>
          <w:sz w:val="18"/>
        </w:rPr>
        <w:t xml:space="preserve"> fizemos, que seria seleção de ações, e é coerente com operar entre classes, onde há menos ruído idiossincrático, menos custo e menos dependência de eventos de empresa. </w:t>
      </w:r>
      <w:r>
        <w:rPr>
          <w:b/>
          <w:i w:val="0"/>
          <w:sz w:val="18"/>
        </w:rPr>
        <w:t>A contribuição própria</w:t>
      </w:r>
      <w:r>
        <w:rPr>
          <w:b w:val="0"/>
          <w:i w:val="0"/>
          <w:sz w:val="18"/>
        </w:rPr>
        <w:t xml:space="preserve"> está na adaptação: nos mercados desenvolvidos o caixa rende perto de zero e a trava absoluta quase nunca aciona; no Brasil ela é o mecanismo central, porque o caixa remunera cerca de 10% ao ano.</w:t>
      </w:r>
    </w:p>
    <w:p>
      <w:pPr>
        <w:spacing w:before="140" w:after="40"/>
        <w:keepNext/>
      </w:pPr>
      <w:r>
        <w:rPr>
          <w:b/>
          <w:color w:val="1A4F8A"/>
          <w:sz w:val="22"/>
        </w:rPr>
        <w:t>3. Modelagem</w:t>
      </w:r>
    </w:p>
    <w:p>
      <w:pPr>
        <w:spacing w:before="80" w:after="20"/>
        <w:keepNext/>
      </w:pPr>
      <w:r>
        <w:rPr>
          <w:b/>
          <w:color w:val="4A4A48"/>
          <w:sz w:val="18"/>
        </w:rPr>
        <w:t>3.1 Universo: cinco classes, cinco papéis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304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2438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Representa</w:t>
            </w:r>
          </w:p>
        </w:tc>
        <w:tc>
          <w:tcPr>
            <w:tcW w:type="dxa" w:w="3175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Papel na carteira</w:t>
            </w:r>
          </w:p>
        </w:tc>
        <w:tc>
          <w:tcPr>
            <w:tcW w:type="dxa" w:w="1928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Veículo na B3</w:t>
            </w:r>
          </w:p>
        </w:tc>
      </w:tr>
      <w:tr>
        <w:trPr>
          <w:cantSplit/>
        </w:trPr>
        <w:tc>
          <w:tcPr>
            <w:tcW w:type="dxa" w:w="1304"/>
            <w:shd w:val="clear" w:fill="EEF2F7"/>
          </w:tcPr>
          <w:p>
            <w:pPr>
              <w:spacing w:after="20" w:before="20"/>
            </w:pPr>
            <w:r>
              <w:rPr>
                <w:b/>
                <w:sz w:val="16"/>
              </w:rPr>
              <w:t>CDI</w:t>
            </w:r>
          </w:p>
        </w:tc>
        <w:tc>
          <w:tcPr>
            <w:tcW w:type="dxa" w:w="2438"/>
            <w:shd w:val="clear" w:fill="EEF2F7"/>
          </w:tcPr>
          <w:p>
            <w:pPr>
              <w:spacing w:after="20" w:before="20"/>
            </w:pPr>
            <w:r>
              <w:rPr>
                <w:b/>
                <w:sz w:val="16"/>
              </w:rPr>
              <w:t>renda fixa pós-fixada</w:t>
            </w:r>
          </w:p>
        </w:tc>
        <w:tc>
          <w:tcPr>
            <w:tcW w:type="dxa" w:w="3175"/>
            <w:shd w:val="clear" w:fill="EEF2F7"/>
          </w:tcPr>
          <w:p>
            <w:pPr>
              <w:spacing w:after="20" w:before="20"/>
            </w:pPr>
            <w:r>
              <w:rPr>
                <w:b/>
                <w:sz w:val="16"/>
              </w:rPr>
              <w:t>caixa e porto seguro</w:t>
            </w:r>
          </w:p>
        </w:tc>
        <w:tc>
          <w:tcPr>
            <w:tcW w:type="dxa" w:w="1928"/>
            <w:shd w:val="clear" w:fill="EEF2F7"/>
          </w:tcPr>
          <w:p>
            <w:pPr>
              <w:spacing w:after="20" w:before="20"/>
            </w:pPr>
            <w:r>
              <w:rPr>
                <w:b/>
                <w:sz w:val="16"/>
              </w:rPr>
              <w:t>Tesouro Selic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Ações</w:t>
            </w:r>
          </w:p>
        </w:tc>
        <w:tc>
          <w:tcPr>
            <w:tcW w:type="dxa" w:w="2438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Ibovespa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crescimento Brasil</w:t>
            </w:r>
          </w:p>
        </w:tc>
        <w:tc>
          <w:tcPr>
            <w:tcW w:type="dxa" w:w="1928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BOVA11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Global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S&amp;P 500 em reais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crescimento internacional</w:t>
            </w:r>
          </w:p>
        </w:tc>
        <w:tc>
          <w:tcPr>
            <w:tcW w:type="dxa" w:w="1928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IVVB11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Ouro</w:t>
            </w:r>
          </w:p>
        </w:tc>
        <w:tc>
          <w:tcPr>
            <w:tcW w:type="dxa" w:w="243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ouro em reais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proteção contra crise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ETF de ouro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Dólar</w:t>
            </w:r>
          </w:p>
        </w:tc>
        <w:tc>
          <w:tcPr>
            <w:tcW w:type="dxa" w:w="2438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USD/BRL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proteção contra risco Brasil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fundo cambial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 w:val="0"/>
          <w:color w:val="4A4A48"/>
          <w:sz w:val="15"/>
        </w:rPr>
        <w:t xml:space="preserve">O CDI é simultaneamente uma classe e o </w:t>
      </w:r>
      <w:r>
        <w:rPr>
          <w:b/>
          <w:color w:val="4A4A48"/>
          <w:sz w:val="15"/>
        </w:rPr>
        <w:t>destino da fuga</w:t>
      </w:r>
      <w:r>
        <w:rPr>
          <w:b w:val="0"/>
          <w:color w:val="4A4A48"/>
          <w:sz w:val="15"/>
        </w:rPr>
        <w:t>: quando nenhuma classe de risco supera o caixa, o robô se recolhe 100% nele. A bolsa global é decisiva, pois sem ela o cardápio ficaria restrito a classes que, no período, mal superaram o CDI.</w:t>
      </w:r>
    </w:p>
    <w:p>
      <w:pPr>
        <w:spacing w:before="80" w:after="20"/>
        <w:keepNext/>
      </w:pPr>
      <w:r>
        <w:rPr>
          <w:b/>
          <w:color w:val="4A4A48"/>
          <w:sz w:val="18"/>
        </w:rPr>
        <w:t>3.2 O sinal</w:t>
      </w:r>
    </w:p>
    <w:p>
      <w:pPr>
        <w:spacing w:after="80"/>
        <w:jc w:val="both"/>
      </w:pPr>
      <w:r>
        <w:rPr>
          <w:b w:val="0"/>
          <w:i w:val="0"/>
          <w:sz w:val="18"/>
        </w:rPr>
        <w:t xml:space="preserve">Para cada classe c, no mês t, calculamos o momentum de 12 meses: </w:t>
      </w:r>
      <w:r>
        <w:rPr>
          <w:b/>
          <w:i w:val="0"/>
          <w:sz w:val="18"/>
        </w:rPr>
        <w:t>mom(c,t) = P(c, t−1) / P(c, t−13) − 1</w:t>
      </w:r>
      <w:r>
        <w:rPr>
          <w:b w:val="0"/>
          <w:i w:val="0"/>
          <w:sz w:val="18"/>
        </w:rPr>
        <w:t>. O uso de t−1 é deliberado: a decisão do mês t jamais enxerga o próprio mês que está alocando. A janela de 12 meses é longa o bastante para filtrar ruído mensal e curta o bastante para reagir a mudanças de regime. Na seção 6 mostramos que o resultado não depende dessa escolha.</w:t>
      </w:r>
    </w:p>
    <w:p>
      <w:pPr>
        <w:spacing w:before="80" w:after="20"/>
        <w:keepNext/>
      </w:pPr>
      <w:r>
        <w:rPr>
          <w:b/>
          <w:color w:val="4A4A48"/>
          <w:sz w:val="18"/>
        </w:rPr>
        <w:t>3.3 A regra de alocação (o ciclo mensal)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1531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Passo</w:t>
            </w:r>
          </w:p>
        </w:tc>
        <w:tc>
          <w:tcPr>
            <w:tcW w:type="dxa" w:w="3288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O que o robô faz</w:t>
            </w:r>
          </w:p>
        </w:tc>
        <w:tc>
          <w:tcPr>
            <w:tcW w:type="dxa" w:w="5159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Por quê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1. Trava absoluta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descarta a classe cujo momentum não supera o CDI</w:t>
            </w:r>
          </w:p>
        </w:tc>
        <w:tc>
          <w:tcPr>
            <w:tcW w:type="dxa" w:w="5159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impede comprar “a melhor entre as ruins”; ficar parado é decisão legítima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2. Ranking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ordena as aprovadas e distribui 40 / 30 / 20 / 10%</w:t>
            </w:r>
          </w:p>
        </w:tc>
        <w:tc>
          <w:tcPr>
            <w:tcW w:type="dxa" w:w="5159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concentra no que está entregando, sem apostar tudo em uma só classe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3. Caixa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todo o peso não alocado vai para o CDI</w:t>
            </w:r>
          </w:p>
        </w:tc>
        <w:tc>
          <w:tcPr>
            <w:tcW w:type="dxa" w:w="5159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o excedente rende cerca de 10% ao ano sem risco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4. Rebalanceia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traz a carteira de volta a esses pesos, pagando o giro</w:t>
            </w:r>
          </w:p>
        </w:tc>
        <w:tc>
          <w:tcPr>
            <w:tcW w:type="dxa" w:w="5159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controla o risco e realiza ganho de quem subiu demais</w:t>
            </w:r>
          </w:p>
        </w:tc>
      </w:tr>
    </w:tbl>
    <w:p>
      <w:pPr>
        <w:spacing w:after="40"/>
      </w:pPr>
    </w:p>
    <w:p>
      <w:pPr>
        <w:spacing w:before="140" w:after="40"/>
        <w:keepNext/>
      </w:pPr>
      <w:r>
        <w:rPr>
          <w:b/>
          <w:color w:val="1A4F8A"/>
          <w:sz w:val="22"/>
        </w:rPr>
        <w:t>4. Backtest: rigor e mitigação de vieses</w:t>
      </w:r>
    </w:p>
    <w:p>
      <w:pPr>
        <w:spacing w:after="80"/>
        <w:jc w:val="both"/>
      </w:pPr>
      <w:r>
        <w:rPr>
          <w:b w:val="0"/>
          <w:i w:val="0"/>
          <w:sz w:val="18"/>
        </w:rPr>
        <w:t xml:space="preserve">O motor de simulação foi </w:t>
      </w:r>
      <w:r>
        <w:rPr>
          <w:b/>
          <w:i w:val="0"/>
          <w:sz w:val="18"/>
        </w:rPr>
        <w:t>implementado inteiramente pela equipe</w:t>
      </w:r>
      <w:r>
        <w:rPr>
          <w:b w:val="0"/>
          <w:i w:val="0"/>
          <w:sz w:val="18"/>
        </w:rPr>
        <w:t xml:space="preserve">, sem plataforma que entregue backtest pronto. Ele percorre mês a mês: lê os pesos-alvo (decididos com dados até t−1), paga o custo do giro no rebalanceamento, apura o retorno e deixa a carteira </w:t>
      </w:r>
      <w:r>
        <w:rPr>
          <w:b/>
          <w:i w:val="0"/>
          <w:sz w:val="18"/>
        </w:rPr>
        <w:t>derivar</w:t>
      </w:r>
      <w:r>
        <w:rPr>
          <w:b w:val="0"/>
          <w:i w:val="0"/>
          <w:sz w:val="18"/>
        </w:rPr>
        <w:t xml:space="preserve"> até o mês seguinte, como uma carteira real, em que quem sobe passa a pesar mais.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494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Viés</w:t>
            </w:r>
          </w:p>
        </w:tc>
        <w:tc>
          <w:tcPr>
            <w:tcW w:type="dxa" w:w="7483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Como o robô o evita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Look-ahead (olhar o futuro)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todo sinal com defasagem de um mês; nenhuma decisão usa informação do próprio mês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Custos de transação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10 bps sobre cada unidade de giro, descontados do retorno (giro médio de 28% ao mês)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Viés de sobrevivência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usamos índices de classe, não ações individuais; nenhuma empresa desaparece da amostra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Superotimização</w:t>
            </w:r>
          </w:p>
        </w:tc>
        <w:tc>
          <w:tcPr>
            <w:tcW w:type="dxa" w:w="748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validação fora da amostra e sensibilidade em todos os parâmetros (seção 6)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/>
          <w:color w:val="4A4A48"/>
          <w:sz w:val="15"/>
        </w:rPr>
        <w:t>Período:</w:t>
      </w:r>
      <w:r>
        <w:rPr>
          <w:b w:val="0"/>
          <w:color w:val="4A4A48"/>
          <w:sz w:val="15"/>
        </w:rPr>
        <w:t xml:space="preserve"> jan/2015 a set/2026 (141 meses). O início não é arbitrário: o IVVB11, forma prática de comprar bolsa global na B3, existe desde nov/2014. Preferimos um recorte mais curto e plenamente investível a um histórico maior com premissa frouxa. Fontes: API do Banco Central (SGS) para CDI e IPCA; Yahoo Finance para mercado.</w:t>
      </w:r>
    </w:p>
    <w:p>
      <w:pPr>
        <w:spacing w:before="140" w:after="40"/>
        <w:keepNext/>
      </w:pPr>
      <w:r>
        <w:rPr>
          <w:b/>
          <w:color w:val="1A4F8A"/>
          <w:sz w:val="22"/>
        </w:rPr>
        <w:t>5. 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2794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7945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</w:trPr>
        <w:tc>
          <w:tcPr>
            <w:tcW w:type="dxa" w:w="3288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Estratégia</w:t>
            </w:r>
          </w:p>
        </w:tc>
        <w:tc>
          <w:tcPr>
            <w:tcW w:type="dxa" w:w="1361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Retorno a.a.</w:t>
            </w:r>
          </w:p>
        </w:tc>
        <w:tc>
          <w:tcPr>
            <w:tcW w:type="dxa" w:w="1020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Vol.</w:t>
            </w:r>
          </w:p>
        </w:tc>
        <w:tc>
          <w:tcPr>
            <w:tcW w:type="dxa" w:w="1474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Acima do CDI</w:t>
            </w:r>
          </w:p>
        </w:tc>
        <w:tc>
          <w:tcPr>
            <w:tcW w:type="dxa" w:w="1077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Sharpe*</w:t>
            </w:r>
          </w:p>
        </w:tc>
        <w:tc>
          <w:tcPr>
            <w:tcW w:type="dxa" w:w="1417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Máx. queda</w:t>
            </w:r>
          </w:p>
        </w:tc>
      </w:tr>
      <w:tr>
        <w:trPr>
          <w:cantSplit/>
        </w:trPr>
        <w:tc>
          <w:tcPr>
            <w:tcW w:type="dxa" w:w="3288"/>
            <w:shd w:val="clear" w:fill="EEF2F7"/>
          </w:tcPr>
          <w:p>
            <w:pPr>
              <w:spacing w:after="20" w:before="20"/>
            </w:pPr>
            <w:r>
              <w:rPr>
                <w:b/>
                <w:sz w:val="16"/>
              </w:rPr>
              <w:t>Robô Fundamento</w:t>
            </w:r>
          </w:p>
        </w:tc>
        <w:tc>
          <w:tcPr>
            <w:tcW w:type="dxa" w:w="1361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15,5%</w:t>
            </w:r>
          </w:p>
        </w:tc>
        <w:tc>
          <w:tcPr>
            <w:tcW w:type="dxa" w:w="1020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10,7%</w:t>
            </w:r>
          </w:p>
        </w:tc>
        <w:tc>
          <w:tcPr>
            <w:tcW w:type="dxa" w:w="1474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+5,1%</w:t>
            </w:r>
          </w:p>
        </w:tc>
        <w:tc>
          <w:tcPr>
            <w:tcW w:type="dxa" w:w="1077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0,51</w:t>
            </w:r>
          </w:p>
        </w:tc>
        <w:tc>
          <w:tcPr>
            <w:tcW w:type="dxa" w:w="1417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-11%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Rebalanceamento puro (peso igual)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14,3%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7,6%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+3,9%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0,53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-9%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Filtro de tendência apenas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13,4%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7,3%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+3,1%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-7%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Carteira balanceada 60/40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11,3%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8,6%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+1,3%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-15%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Ibovespa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11,8%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21,4%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+1,7%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-37%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CDI (régua)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10,0%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1,1%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 w:val="0"/>
          <w:color w:val="4A4A48"/>
          <w:sz w:val="15"/>
        </w:rPr>
        <w:t xml:space="preserve">* Sharpe calculado sobre o retorno </w:t>
      </w:r>
      <w:r>
        <w:rPr>
          <w:b/>
          <w:color w:val="4A4A48"/>
          <w:sz w:val="15"/>
        </w:rPr>
        <w:t>excedente ao CDI</w:t>
      </w:r>
      <w:r>
        <w:rPr>
          <w:b w:val="0"/>
          <w:color w:val="4A4A48"/>
          <w:sz w:val="15"/>
        </w:rPr>
        <w:t>. No Brasil, ignorar o custo de oportunidade infla qualquer métrica de risco-retorno.</w:t>
      </w:r>
    </w:p>
    <w:p>
      <w:pPr>
        <w:spacing w:after="80"/>
        <w:jc w:val="both"/>
      </w:pPr>
      <w:r>
        <w:rPr>
          <w:b/>
          <w:i w:val="0"/>
          <w:sz w:val="18"/>
        </w:rPr>
        <w:t>As duas leituras.</w:t>
      </w:r>
      <w:r>
        <w:rPr>
          <w:b w:val="0"/>
          <w:i w:val="0"/>
          <w:sz w:val="18"/>
        </w:rPr>
        <w:t xml:space="preserve"> Contra o CDI, o robô entrega </w:t>
      </w:r>
      <w:r>
        <w:rPr>
          <w:b/>
          <w:i w:val="0"/>
          <w:sz w:val="18"/>
        </w:rPr>
        <w:t>+5,1% ao ano</w:t>
      </w:r>
      <w:r>
        <w:rPr>
          <w:b w:val="0"/>
          <w:i w:val="0"/>
          <w:sz w:val="18"/>
        </w:rPr>
        <w:t xml:space="preserve"> acima do dinheiro parado. Contra a bolsa, entrega mais retorno que o Ibovespa (15,5% contra 11,8%) com </w:t>
      </w:r>
      <w:r>
        <w:rPr>
          <w:b/>
          <w:i w:val="0"/>
          <w:sz w:val="18"/>
        </w:rPr>
        <w:t>menos de um terço da queda máxima</w:t>
      </w:r>
      <w:r>
        <w:rPr>
          <w:b w:val="0"/>
          <w:i w:val="0"/>
          <w:sz w:val="18"/>
        </w:rPr>
        <w:t xml:space="preserve"> (-11% contra -37%). O investidor participa da alta sem passar pelo susto.</w:t>
      </w:r>
    </w:p>
    <w:p>
      <w:pPr>
        <w:spacing w:after="80"/>
        <w:jc w:val="both"/>
      </w:pPr>
      <w:r>
        <w:rPr>
          <w:b/>
          <w:i w:val="0"/>
          <w:sz w:val="18"/>
        </w:rPr>
        <w:t>A defesa funciona.</w:t>
      </w:r>
      <w:r>
        <w:rPr>
          <w:b w:val="0"/>
          <w:i w:val="0"/>
          <w:sz w:val="18"/>
        </w:rPr>
        <w:t xml:space="preserve"> Em </w:t>
      </w:r>
      <w:r>
        <w:rPr>
          <w:b/>
          <w:i w:val="0"/>
          <w:sz w:val="18"/>
        </w:rPr>
        <w:t>17 dos 141 meses</w:t>
      </w:r>
      <w:r>
        <w:rPr>
          <w:b w:val="0"/>
          <w:i w:val="0"/>
          <w:sz w:val="18"/>
        </w:rPr>
        <w:t xml:space="preserve"> o robô ficou 100% em CDI, inclusive na virada de 2022. A alocação média (CDI 31%, Global 23%, Ouro 19%, Ações 17%, Dólar 9%) mostra que ele girou genuinamente entre as classes, com cerca de um terço do tempo em caixa. Não é uma aposta disfarçada em uma única classe.</w:t>
      </w:r>
    </w:p>
    <w:p>
      <w:pPr>
        <w:spacing w:after="80"/>
        <w:jc w:val="both"/>
      </w:pPr>
      <w:r>
        <w:rPr>
          <w:b/>
          <w:i w:val="0"/>
          <w:sz w:val="18"/>
        </w:rPr>
        <w:t>Fora da amostra.</w:t>
      </w:r>
      <w:r>
        <w:rPr>
          <w:b w:val="0"/>
          <w:i w:val="0"/>
          <w:sz w:val="18"/>
        </w:rPr>
        <w:t xml:space="preserve"> Restringindo a 2020 em diante, período que não usamos para desenhar a estratégia, o robô entrega </w:t>
      </w:r>
      <w:r>
        <w:rPr>
          <w:b/>
          <w:i w:val="0"/>
          <w:sz w:val="18"/>
        </w:rPr>
        <w:t>+4,7% sobre o CDI com Sharpe 0,55</w:t>
      </w:r>
      <w:r>
        <w:rPr>
          <w:b w:val="0"/>
          <w:i w:val="0"/>
          <w:sz w:val="18"/>
        </w:rPr>
        <w:t xml:space="preserve">, acima do próprio desempenho no período completo. No mesmo intervalo, Ibovespa e carteira 60/40 </w:t>
      </w:r>
      <w:r>
        <w:rPr>
          <w:b/>
          <w:i w:val="0"/>
          <w:sz w:val="18"/>
        </w:rPr>
        <w:t>perderam</w:t>
      </w:r>
      <w:r>
        <w:rPr>
          <w:b w:val="0"/>
          <w:i w:val="0"/>
          <w:sz w:val="18"/>
        </w:rPr>
        <w:t xml:space="preserve"> para o CDI.</w:t>
      </w:r>
    </w:p>
    <w:p>
      <w:pPr>
        <w:spacing w:before="140" w:after="40"/>
        <w:keepNext/>
      </w:pPr>
      <w:r>
        <w:rPr>
          <w:b/>
          <w:color w:val="1A4F8A"/>
          <w:sz w:val="22"/>
        </w:rPr>
        <w:t>6. Análise crítica: o resultado é robusto?</w:t>
      </w:r>
    </w:p>
    <w:p>
      <w:pPr>
        <w:spacing w:after="80"/>
        <w:jc w:val="both"/>
      </w:pPr>
      <w:r>
        <w:rPr>
          <w:b w:val="0"/>
          <w:i w:val="0"/>
          <w:sz w:val="18"/>
        </w:rPr>
        <w:t>Um resultado vale o que valem os testes que ele sobrevive. Submetemos o robô a quatro exames de sensibilidade e a um teste não-paramétrico.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2381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type="dxa" w:w="2494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Variações testadas</w:t>
            </w:r>
          </w:p>
        </w:tc>
        <w:tc>
          <w:tcPr>
            <w:tcW w:type="dxa" w:w="5102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2381"/>
            <w:shd w:val="clear" w:fill="EEF2F7"/>
          </w:tcPr>
          <w:p>
            <w:pPr>
              <w:spacing w:after="20" w:before="20"/>
            </w:pPr>
            <w:r>
              <w:rPr>
                <w:b/>
                <w:sz w:val="16"/>
              </w:rPr>
              <w:t>Janela do momentum</w:t>
            </w:r>
          </w:p>
        </w:tc>
        <w:tc>
          <w:tcPr>
            <w:tcW w:type="dxa" w:w="2494"/>
            <w:shd w:val="clear" w:fill="EEF2F7"/>
          </w:tcPr>
          <w:p>
            <w:pPr>
              <w:spacing w:after="20" w:before="20"/>
            </w:pPr>
            <w:r>
              <w:rPr>
                <w:b/>
                <w:sz w:val="16"/>
              </w:rPr>
              <w:t>6, 9, 12, 18 e 24 meses</w:t>
            </w:r>
          </w:p>
        </w:tc>
        <w:tc>
          <w:tcPr>
            <w:tcW w:type="dxa" w:w="5102"/>
            <w:shd w:val="clear" w:fill="EEF2F7"/>
          </w:tcPr>
          <w:p>
            <w:pPr>
              <w:spacing w:after="20" w:before="20"/>
            </w:pPr>
            <w:r>
              <w:rPr>
                <w:b/>
                <w:sz w:val="16"/>
              </w:rPr>
              <w:t>todas positivas</w:t>
            </w:r>
            <w:r>
              <w:rPr>
                <w:b/>
                <w:sz w:val="16"/>
              </w:rPr>
              <w:t xml:space="preserve"> (+3,5% a +5,8% sobre o CDI). A janela que adotamos, 12 meses, </w:t>
            </w:r>
            <w:r>
              <w:rPr>
                <w:b/>
                <w:sz w:val="16"/>
              </w:rPr>
              <w:t>não é a melhor</w:t>
            </w:r>
            <w:r>
              <w:rPr>
                <w:b/>
                <w:sz w:val="16"/>
              </w:rPr>
              <w:t xml:space="preserve"> do conjunto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Frequência do rebalanceamento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mensal, trimestral, semestral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todas positivas; mensal é a melhor, semestral ainda entrega +3,7%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Custo de transação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5, 10 e 25 bps por giro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sobrevive a custo 2,5× maior que o adotado (+4,6% sobre o CDI)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Remoção de classes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retirando cada classe do cardápio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positivo em todos os casos; nenhuma classe isolada sustenta o resultado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Significância (bootstrap)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10.000 reamostragens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P(excedente ≤ 0) = 0,037 unicaudal, coerente com o teste t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  <w:sz w:val="18"/>
        </w:rPr>
        <w:t xml:space="preserve">O ponto mais relevante é o primeiro: </w:t>
      </w:r>
      <w:r>
        <w:rPr>
          <w:b/>
          <w:i w:val="0"/>
          <w:sz w:val="18"/>
        </w:rPr>
        <w:t>a janela que escolhemos não é a que maximiza o resultado</w:t>
      </w:r>
      <w:r>
        <w:rPr>
          <w:b w:val="0"/>
          <w:i w:val="0"/>
          <w:sz w:val="18"/>
        </w:rPr>
        <w:t>. Se tivéssemos garimpado o parâmetro, teríamos escolhido 9 meses. É a evidência mais direta de que não houve superotimização.</w:t>
      </w:r>
    </w:p>
    <w:p>
      <w:pPr>
        <w:spacing w:before="140" w:after="40"/>
        <w:keepNext/>
      </w:pPr>
      <w:r>
        <w:rPr>
          <w:b/>
          <w:color w:val="1A4F8A"/>
          <w:sz w:val="22"/>
        </w:rPr>
        <w:t>7. Onde o robô falha e o que rejeitamos</w:t>
      </w:r>
    </w:p>
    <w:p>
      <w:pPr>
        <w:spacing w:before="80" w:after="20"/>
        <w:keepNext/>
      </w:pPr>
      <w:r>
        <w:rPr>
          <w:b/>
          <w:color w:val="4A4A48"/>
          <w:sz w:val="18"/>
        </w:rPr>
        <w:t>7.1 A falha</w:t>
      </w:r>
    </w:p>
    <w:p>
      <w:pPr>
        <w:spacing w:after="80"/>
        <w:jc w:val="both"/>
      </w:pPr>
      <w:r>
        <w:rPr>
          <w:b w:val="0"/>
          <w:i w:val="0"/>
          <w:sz w:val="18"/>
        </w:rPr>
        <w:t xml:space="preserve">O robô </w:t>
      </w:r>
      <w:r>
        <w:rPr>
          <w:b/>
          <w:i w:val="0"/>
          <w:sz w:val="18"/>
        </w:rPr>
        <w:t>perdeu para o CDI em 2022-2023 (-7,2% ao ano)</w:t>
      </w:r>
      <w:r>
        <w:rPr>
          <w:b w:val="0"/>
          <w:i w:val="0"/>
          <w:sz w:val="18"/>
        </w:rPr>
        <w:t>. A causa é estrutural e conhecida: momentum é sinal defasado e, na virada de regime com a Selic a 13,75%, tomou sucessivas “chicotadas”, entrando em classes que já haviam virado. É a fraqueza inerente do método, e ela apareceu. Nos outros quatro subperíodos o robô foi positivo, com destaque para 2020-2021 (+15,8% sobre o CDI enquanto o Ibovespa fazia −8,3%). A seção 8.2 descreve a camada que construímos especificamente para atacar essa falha.</w:t>
      </w:r>
    </w:p>
    <w:p>
      <w:pPr>
        <w:spacing w:before="80" w:after="20"/>
        <w:keepNext/>
      </w:pPr>
      <w:r>
        <w:rPr>
          <w:b/>
          <w:color w:val="4A4A48"/>
          <w:sz w:val="18"/>
        </w:rPr>
        <w:t>7.2 Três melhorias que testamos e rejeitamos</w:t>
      </w:r>
    </w:p>
    <w:p>
      <w:pPr>
        <w:spacing w:after="80"/>
        <w:jc w:val="both"/>
      </w:pPr>
      <w:r>
        <w:rPr>
          <w:b w:val="0"/>
          <w:i w:val="0"/>
          <w:sz w:val="18"/>
        </w:rPr>
        <w:t xml:space="preserve">Nosso excedente tem p = 0,083, valor marginal. Buscamos cruzar o corte de 5% com variantes definidas </w:t>
      </w:r>
      <w:r>
        <w:rPr>
          <w:b/>
          <w:i w:val="0"/>
          <w:sz w:val="18"/>
        </w:rPr>
        <w:t>a priori</w:t>
      </w:r>
      <w:r>
        <w:rPr>
          <w:b w:val="0"/>
          <w:i w:val="0"/>
          <w:sz w:val="18"/>
        </w:rPr>
        <w:t xml:space="preserve">. Três cruzaram. </w:t>
      </w:r>
      <w:r>
        <w:rPr>
          <w:b/>
          <w:i w:val="0"/>
          <w:sz w:val="18"/>
        </w:rPr>
        <w:t>Rejeitamos as três</w:t>
      </w:r>
      <w:r>
        <w:rPr>
          <w:b w:val="0"/>
          <w:i w:val="0"/>
          <w:sz w:val="18"/>
        </w:rPr>
        <w:t>, e consideramos isso a parte mais importante deste relatório.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1814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Variante</w:t>
            </w:r>
          </w:p>
        </w:tc>
        <w:tc>
          <w:tcPr>
            <w:tcW w:type="dxa" w:w="1020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 obtido</w:t>
            </w:r>
          </w:p>
        </w:tc>
        <w:tc>
          <w:tcPr>
            <w:tcW w:type="dxa" w:w="7143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Por que foi rejeitada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Vol-targeting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0,029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>
              <w:rPr>
                <w:b/>
                <w:sz w:val="16"/>
              </w:rPr>
              <w:t>alavancagem disfarçada</w:t>
            </w:r>
            <w:r>
              <w:rPr>
                <w:b w:val="0"/>
                <w:sz w:val="16"/>
              </w:rPr>
              <w:t>: a exposição a risco subiu de 62% para 70%, escala média de 1,16×, e o Sharpe melhorou em apenas 3 de 6 subperíodos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Risk parity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0,036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 xml:space="preserve">melhora somente no recorte 2010+; </w:t>
            </w:r>
            <w:r>
              <w:rPr>
                <w:b/>
                <w:sz w:val="16"/>
              </w:rPr>
              <w:t>piora no recorte principal</w:t>
            </w:r>
            <w:r>
              <w:rPr>
                <w:b w:val="0"/>
                <w:sz w:val="16"/>
              </w:rPr>
              <w:t xml:space="preserve"> (Sharpe 0,46 contra 0,51). Adotá-la exigiria escolher o período conveniente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Incluir criptomoeda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0,004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 xml:space="preserve">ETF de bitcoin na B3 só existe desde 2021; no subperíodo investível o ganho cai para +2,3% com </w:t>
            </w:r>
            <w:r>
              <w:rPr>
                <w:b/>
                <w:sz w:val="16"/>
              </w:rPr>
              <w:t>p = 0,50</w:t>
            </w:r>
            <w:r>
              <w:rPr>
                <w:b w:val="0"/>
                <w:sz w:val="16"/>
              </w:rPr>
              <w:t xml:space="preserve">. Toda a significância vem do período em que a classe não era acessível por veículo regulado. É viés de sobrevivência no nível de </w:t>
            </w:r>
            <w:r>
              <w:rPr>
                <w:b/>
                <w:sz w:val="16"/>
              </w:rPr>
              <w:t>classe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78"/>
            <w:shd w:val="clear" w:fill="EEF2F7"/>
          </w:tcPr>
          <w:p>
            <w:pPr>
              <w:spacing w:after="40" w:before="40"/>
              <w:jc w:val="both"/>
            </w:pPr>
            <w:r>
              <w:rPr>
                <w:b w:val="0"/>
                <w:color w:val="1A4F8A"/>
                <w:sz w:val="18"/>
              </w:rPr>
              <w:t xml:space="preserve">Com oito variantes testadas, a correção de Bonferroni leva o melhor p (0,029) a 0,232, e nenhuma sobreviveria ao ajuste por múltiplos testes. </w:t>
            </w:r>
            <w:r>
              <w:rPr>
                <w:b/>
                <w:color w:val="1A4F8A"/>
                <w:sz w:val="18"/>
              </w:rPr>
              <w:t>Optamos por reportar um resultado marginal robusto em vez de um resultado significativo garimpado.</w:t>
            </w:r>
          </w:p>
        </w:tc>
      </w:tr>
    </w:tbl>
    <w:p>
      <w:pPr>
        <w:spacing w:after="40"/>
      </w:pPr>
    </w:p>
    <w:p>
      <w:pPr>
        <w:spacing w:before="80" w:after="20"/>
        <w:keepNext/>
      </w:pPr>
      <w:r>
        <w:rPr>
          <w:b/>
          <w:color w:val="4A4A48"/>
          <w:sz w:val="18"/>
        </w:rPr>
        <w:t>7.3 A matemática do limite</w:t>
      </w:r>
    </w:p>
    <w:p>
      <w:pPr>
        <w:spacing w:after="80"/>
        <w:jc w:val="both"/>
      </w:pPr>
      <w:r>
        <w:rPr>
          <w:b w:val="0"/>
          <w:i w:val="0"/>
          <w:sz w:val="18"/>
        </w:rPr>
        <w:t xml:space="preserve">A estatística t de um excedente aproxima-se de </w:t>
      </w:r>
      <w:r>
        <w:rPr>
          <w:b/>
          <w:i w:val="0"/>
          <w:sz w:val="18"/>
        </w:rPr>
        <w:t>Sharpe × √anos</w:t>
      </w:r>
      <w:r>
        <w:rPr>
          <w:b w:val="0"/>
          <w:i w:val="0"/>
          <w:sz w:val="18"/>
        </w:rPr>
        <w:t xml:space="preserve">. Para demonstrar um Sharpe de 0,51 com 95% de confiança seriam necessários </w:t>
      </w:r>
      <w:r>
        <w:rPr>
          <w:b/>
          <w:i w:val="0"/>
          <w:sz w:val="18"/>
        </w:rPr>
        <w:t>(1,96 / 0,51)² ≈ 14,8 anos</w:t>
      </w:r>
      <w:r>
        <w:rPr>
          <w:b w:val="0"/>
          <w:i w:val="0"/>
          <w:sz w:val="18"/>
        </w:rPr>
        <w:t xml:space="preserve">; dispomos de 11,8. </w:t>
      </w:r>
      <w:r>
        <w:rPr>
          <w:b/>
          <w:i w:val="0"/>
          <w:sz w:val="18"/>
        </w:rPr>
        <w:t>Faltam cerca de dois anos de dados, não uma estratégia melhor.</w:t>
      </w:r>
      <w:r>
        <w:rPr>
          <w:b w:val="0"/>
          <w:i w:val="0"/>
          <w:sz w:val="18"/>
        </w:rPr>
        <w:t xml:space="preserve"> Esse é o limite honesto do que a amostra permite afirmar, e a razão pela qual sustentamos a estratégia pelo </w:t>
      </w:r>
      <w:r>
        <w:rPr>
          <w:b/>
          <w:i w:val="0"/>
          <w:sz w:val="18"/>
        </w:rPr>
        <w:t>conjunto</w:t>
      </w:r>
      <w:r>
        <w:rPr>
          <w:b w:val="0"/>
          <w:i w:val="0"/>
          <w:sz w:val="18"/>
        </w:rPr>
        <w:t xml:space="preserve"> de evidências de robustez, e não por um p-valor isolado.</w:t>
      </w:r>
    </w:p>
    <w:p>
      <w:pPr>
        <w:spacing w:before="140" w:after="40"/>
        <w:keepNext/>
      </w:pPr>
      <w:r>
        <w:rPr>
          <w:b/>
          <w:color w:val="1A4F8A"/>
          <w:sz w:val="22"/>
        </w:rPr>
        <w:t>8. Uso de IA generativa</w:t>
      </w:r>
    </w:p>
    <w:p>
      <w:pPr>
        <w:spacing w:before="80" w:after="20"/>
        <w:keepNext/>
      </w:pPr>
      <w:r>
        <w:rPr>
          <w:b/>
          <w:color w:val="4A4A48"/>
          <w:sz w:val="18"/>
        </w:rPr>
        <w:t>8.1 Como parceira de pesquisa e engenharia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7427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Contribuição prática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Revisão crítica do desenho</w:t>
            </w:r>
          </w:p>
        </w:tc>
        <w:tc>
          <w:tcPr>
            <w:tcW w:type="dxa" w:w="7427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identificou os dois erros que mais alteraram o projeto: (i) a régua correta é o CDI e não a bolsa, o que revelou que todas as métricas anteriores estavam infladas; (ii) o cardápio de classes original era estreito demais e prendia o robô a opções que não superavam o caixa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Construção do código</w:t>
            </w:r>
          </w:p>
        </w:tc>
        <w:tc>
          <w:tcPr>
            <w:tcW w:type="dxa" w:w="7427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módulos de dados (API do Banco Central e mercado), motor de backtest e bateria de testes de robustez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Auditoria dos resultados</w:t>
            </w:r>
          </w:p>
        </w:tc>
        <w:tc>
          <w:tcPr>
            <w:tcW w:type="dxa" w:w="7427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os testes de sanidade que levaram à rejeição do vol-targeting (diagnóstico de alavancagem disfarçada) e do risk parity nasceram desse processo de questionamento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78"/>
            <w:shd w:val="clear" w:fill="EEF2F7"/>
          </w:tcPr>
          <w:p>
            <w:pPr>
              <w:spacing w:after="40" w:before="40"/>
              <w:jc w:val="both"/>
            </w:pPr>
            <w:r>
              <w:rPr>
                <w:b/>
                <w:color w:val="1A4F8A"/>
                <w:sz w:val="18"/>
              </w:rPr>
              <w:t>Disciplina adotada.</w:t>
            </w:r>
            <w:r>
              <w:rPr>
                <w:b w:val="0"/>
                <w:color w:val="1A4F8A"/>
                <w:sz w:val="18"/>
              </w:rPr>
              <w:t xml:space="preserve"> Nenhuma sugestão da IA entrou no modelo sem passar pelos mesmos testes aplicados às nossas próprias hipóteses, e a maioria foi </w:t>
            </w:r>
            <w:r>
              <w:rPr>
                <w:b/>
                <w:color w:val="1A4F8A"/>
                <w:sz w:val="18"/>
              </w:rPr>
              <w:t>rejeitada</w:t>
            </w:r>
            <w:r>
              <w:rPr>
                <w:b w:val="0"/>
                <w:color w:val="1A4F8A"/>
                <w:sz w:val="18"/>
              </w:rPr>
              <w:t xml:space="preserve"> por eles. O ganho não veio de a IA acertar mais; veio de ela nos forçar a testar mais.</w:t>
            </w:r>
          </w:p>
        </w:tc>
      </w:tr>
    </w:tbl>
    <w:p>
      <w:pPr>
        <w:spacing w:after="40"/>
      </w:pPr>
    </w:p>
    <w:p>
      <w:pPr>
        <w:spacing w:before="80" w:after="20"/>
        <w:keepNext/>
      </w:pPr>
      <w:r>
        <w:rPr>
          <w:b/>
          <w:color w:val="4A4A48"/>
          <w:sz w:val="18"/>
        </w:rPr>
        <w:t>8.2 Como componente do modelo: a leitura das atas do Copom</w:t>
      </w:r>
    </w:p>
    <w:p>
      <w:pPr>
        <w:spacing w:after="80"/>
        <w:jc w:val="both"/>
      </w:pPr>
      <w:r>
        <w:rPr>
          <w:b w:val="0"/>
          <w:i w:val="0"/>
          <w:sz w:val="18"/>
        </w:rPr>
        <w:t xml:space="preserve">A falha documentada na seção 7.1 tem uma causa precisa: o momentum é retrovisor, e só percebe uma virada de regime depois que ela apareceu no preço. A ata do Copom é o documento em que o Banco Central comunica a direção da política monetária </w:t>
      </w:r>
      <w:r>
        <w:rPr>
          <w:b/>
          <w:i w:val="0"/>
          <w:sz w:val="18"/>
        </w:rPr>
        <w:t>antes</w:t>
      </w:r>
      <w:r>
        <w:rPr>
          <w:b w:val="0"/>
          <w:i w:val="0"/>
          <w:sz w:val="18"/>
        </w:rPr>
        <w:t xml:space="preserve"> de o preço reagir. É informação pública, datada e em texto livre, exatamente o tipo de dado que um modelo quantitativo tradicional não consegue usar e um modelo de linguagem consegue.</w:t>
      </w:r>
    </w:p>
    <w:p>
      <w:pPr>
        <w:spacing w:after="80"/>
        <w:jc w:val="both"/>
      </w:pPr>
      <w:r>
        <w:rPr>
          <w:b w:val="0"/>
          <w:i w:val="0"/>
          <w:sz w:val="18"/>
        </w:rPr>
        <w:t xml:space="preserve">Construímos a camada completa: download das </w:t>
      </w:r>
      <w:r>
        <w:rPr>
          <w:b/>
          <w:i w:val="0"/>
          <w:sz w:val="18"/>
        </w:rPr>
        <w:t>82 atas</w:t>
      </w:r>
      <w:r>
        <w:rPr>
          <w:b w:val="0"/>
          <w:i w:val="0"/>
          <w:sz w:val="18"/>
        </w:rPr>
        <w:t xml:space="preserve"> publicadas pela API do Banco Central, extração do texto, classificação do regime de juros por modelo de linguagem em aperto, neutro ou afrouxamento, e inclinação da alocação. Em regime de aperto o robô reduz a exposição a risco em um quarto, com a sobra indo para o CDI; em afrouxamento faz o inverso, sempre com </w:t>
      </w:r>
      <w:r>
        <w:rPr>
          <w:b/>
          <w:i w:val="0"/>
          <w:sz w:val="18"/>
        </w:rPr>
        <w:t>teto de 100% em risco</w:t>
      </w:r>
      <w:r>
        <w:rPr>
          <w:b w:val="0"/>
          <w:i w:val="0"/>
          <w:sz w:val="18"/>
        </w:rPr>
        <w:t>, de modo que a camada nunca introduz alavancagem.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Cuidado metodológico</w:t>
            </w:r>
          </w:p>
        </w:tc>
        <w:tc>
          <w:tcPr>
            <w:tcW w:type="dxa" w:w="7710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Como foi tratado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Point-in-time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 xml:space="preserve">a ata é divulgada cerca de seis dias úteis após a reunião. Só entra na decisão </w:t>
            </w:r>
            <w:r>
              <w:rPr>
                <w:b/>
                <w:sz w:val="16"/>
              </w:rPr>
              <w:t>oito dias corridos</w:t>
            </w:r>
            <w:r>
              <w:rPr>
                <w:b w:val="0"/>
                <w:sz w:val="16"/>
              </w:rPr>
              <w:t xml:space="preserve"> depois, margem sempre conservadora. Um teste automatizado verifica, sobre os dados, que nenhum mês usa ata publicada após o seu início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Contaminação do modelo de linguagem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 xml:space="preserve">um modelo treinado hoje conhece o desfecho de uma ata antiga. Não é possível eliminar isso, então </w:t>
            </w:r>
            <w:r>
              <w:rPr>
                <w:b/>
                <w:sz w:val="16"/>
              </w:rPr>
              <w:t>medimos</w:t>
            </w:r>
            <w:r>
              <w:rPr>
                <w:b w:val="0"/>
                <w:sz w:val="16"/>
              </w:rPr>
              <w:t>: construímos o mesmo sinal sem nenhuma IA, pela direção da última mudança da Selic, com defasagem idêntica. Se a leitura do texto não superar o número público, a conclusão declarada é que a IA não agregou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Garimpo de resultado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 xml:space="preserve">as hipóteses, a intensidade da inclinação e a conclusão de cada desfecho possível foram </w:t>
            </w:r>
            <w:r>
              <w:rPr>
                <w:b/>
                <w:sz w:val="16"/>
              </w:rPr>
              <w:t>registradas antes</w:t>
            </w:r>
            <w:r>
              <w:rPr>
                <w:b w:val="0"/>
                <w:sz w:val="16"/>
              </w:rPr>
              <w:t xml:space="preserve"> de executar o modelo de linguagem, com o registro datado no histórico do repositório</w:t>
            </w:r>
          </w:p>
        </w:tc>
      </w:tr>
    </w:tbl>
    <w:p>
      <w:pPr>
        <w:spacing w:after="40"/>
      </w:pPr>
    </w:p>
    <w:p>
      <w:pPr>
        <w:spacing w:before="80" w:after="20"/>
        <w:keepNext/>
      </w:pPr>
      <w:r>
        <w:rPr>
          <w:b/>
          <w:color w:val="4A4A48"/>
          <w:sz w:val="18"/>
        </w:rPr>
        <w:t>8.3 Resultado da camada e estado atual</w:t>
      </w:r>
    </w:p>
    <w:p>
      <w:pPr>
        <w:spacing w:after="80"/>
        <w:jc w:val="both"/>
      </w:pPr>
      <w:r>
        <w:rPr>
          <w:b w:val="0"/>
          <w:i w:val="0"/>
          <w:sz w:val="18"/>
        </w:rPr>
        <w:t>O braço de controle, que usa apenas a direção da Selic e nenhuma IA, está validado e melhora o robô de forma consistente: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</w:trPr>
        <w:tc>
          <w:tcPr>
            <w:tcW w:type="dxa" w:w="2608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474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Acima do CDI</w:t>
            </w:r>
          </w:p>
        </w:tc>
        <w:tc>
          <w:tcPr>
            <w:tcW w:type="dxa" w:w="1020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Sharpe</w:t>
            </w:r>
          </w:p>
        </w:tc>
        <w:tc>
          <w:tcPr>
            <w:tcW w:type="dxa" w:w="964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1474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2022-2023</w:t>
            </w:r>
          </w:p>
        </w:tc>
        <w:tc>
          <w:tcPr>
            <w:tcW w:type="dxa" w:w="2438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Exposição a risco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Robô Fundamento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+5,1%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0,51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0,083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-7,2%</w:t>
            </w:r>
          </w:p>
        </w:tc>
        <w:tc>
          <w:tcPr>
            <w:tcW w:type="dxa" w:w="2438"/>
          </w:tcPr>
          <w:p>
            <w:pPr>
              <w:spacing w:after="20" w:before="20"/>
              <w:jc w:val="center"/>
            </w:pPr>
            <w:r>
              <w:rPr>
                <w:b w:val="0"/>
                <w:sz w:val="16"/>
              </w:rPr>
              <w:t>69%</w:t>
            </w:r>
          </w:p>
        </w:tc>
      </w:tr>
      <w:tr>
        <w:trPr>
          <w:cantSplit/>
        </w:trPr>
        <w:tc>
          <w:tcPr>
            <w:tcW w:type="dxa" w:w="2608"/>
            <w:shd w:val="clear" w:fill="EEF2F7"/>
          </w:tcPr>
          <w:p>
            <w:pPr>
              <w:spacing w:after="20" w:before="20"/>
            </w:pPr>
            <w:r>
              <w:rPr>
                <w:b/>
                <w:sz w:val="16"/>
              </w:rPr>
              <w:t>Com regime de juros</w:t>
            </w:r>
          </w:p>
        </w:tc>
        <w:tc>
          <w:tcPr>
            <w:tcW w:type="dxa" w:w="1474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+5,2%</w:t>
            </w:r>
          </w:p>
        </w:tc>
        <w:tc>
          <w:tcPr>
            <w:tcW w:type="dxa" w:w="1020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0,56</w:t>
            </w:r>
          </w:p>
        </w:tc>
        <w:tc>
          <w:tcPr>
            <w:tcW w:type="dxa" w:w="964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0,055</w:t>
            </w:r>
          </w:p>
        </w:tc>
        <w:tc>
          <w:tcPr>
            <w:tcW w:type="dxa" w:w="1474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-5,6%</w:t>
            </w:r>
          </w:p>
        </w:tc>
        <w:tc>
          <w:tcPr>
            <w:tcW w:type="dxa" w:w="2438"/>
            <w:shd w:val="clear" w:fill="EEF2F7"/>
          </w:tcPr>
          <w:p>
            <w:pPr>
              <w:spacing w:after="20" w:before="20"/>
              <w:jc w:val="center"/>
            </w:pPr>
            <w:r>
              <w:rPr>
                <w:b/>
                <w:sz w:val="16"/>
              </w:rPr>
              <w:t>65%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  <w:sz w:val="18"/>
        </w:rPr>
        <w:t xml:space="preserve">A melhora ocorre no subperíodo que era o alvo, com 2022-2023 saindo de -7,2% para -5,6% ao ano, e o resultado se mantém para qualquer intensidade de inclinação entre 10% e 50%. Decisivo para aceitá-la: a exposição média a risco </w:t>
      </w:r>
      <w:r>
        <w:rPr>
          <w:b/>
          <w:i w:val="0"/>
          <w:sz w:val="18"/>
        </w:rPr>
        <w:t>cai</w:t>
      </w:r>
      <w:r>
        <w:rPr>
          <w:b w:val="0"/>
          <w:i w:val="0"/>
          <w:sz w:val="18"/>
        </w:rPr>
        <w:t xml:space="preserve"> de 69% para 65%. A camada melhora o Sharpe </w:t>
      </w:r>
      <w:r>
        <w:rPr>
          <w:b/>
          <w:i w:val="0"/>
          <w:sz w:val="18"/>
        </w:rPr>
        <w:t>reduzindo</w:t>
      </w:r>
      <w:r>
        <w:rPr>
          <w:b w:val="0"/>
          <w:i w:val="0"/>
          <w:sz w:val="18"/>
        </w:rPr>
        <w:t xml:space="preserve"> risco, o oposto exato do vol-targeting que rejeitamos.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78"/>
            <w:shd w:val="clear" w:fill="EEF2F7"/>
          </w:tcPr>
          <w:p>
            <w:pPr>
              <w:spacing w:after="40" w:before="40"/>
              <w:jc w:val="both"/>
            </w:pPr>
            <w:r>
              <w:rPr>
                <w:b/>
                <w:color w:val="1A4F8A"/>
                <w:sz w:val="18"/>
              </w:rPr>
              <w:t>O que ainda não afirmamos.</w:t>
            </w:r>
            <w:r>
              <w:rPr>
                <w:b w:val="0"/>
                <w:color w:val="1A4F8A"/>
                <w:sz w:val="18"/>
              </w:rPr>
              <w:t xml:space="preserve"> O braço do modelo de linguagem está implementado e testado, mas </w:t>
            </w:r>
            <w:r>
              <w:rPr>
                <w:b/>
                <w:color w:val="1A4F8A"/>
                <w:sz w:val="18"/>
              </w:rPr>
              <w:t>não foi executado</w:t>
            </w:r>
            <w:r>
              <w:rPr>
                <w:b w:val="0"/>
                <w:color w:val="1A4F8A"/>
                <w:sz w:val="18"/>
              </w:rPr>
              <w:t>. O que está validado é o braço de controle, sem IA. Reportar a leitura das atas como testada seria incoerente com o critério que aplicamos ao rejeitar as três variantes da seção 7.2.</w:t>
            </w:r>
          </w:p>
        </w:tc>
      </w:tr>
    </w:tbl>
    <w:p>
      <w:pPr>
        <w:spacing w:after="40"/>
      </w:pPr>
    </w:p>
    <w:p>
      <w:pPr>
        <w:spacing w:before="140" w:after="40"/>
        <w:keepNext/>
      </w:pPr>
      <w:r>
        <w:rPr>
          <w:b/>
          <w:color w:val="1A4F8A"/>
          <w:sz w:val="22"/>
        </w:rPr>
        <w:t>9. Conclusão</w:t>
      </w:r>
    </w:p>
    <w:p>
      <w:pPr>
        <w:spacing w:after="80"/>
        <w:jc w:val="both"/>
      </w:pPr>
      <w:r>
        <w:rPr>
          <w:b/>
          <w:i w:val="0"/>
          <w:sz w:val="18"/>
        </w:rPr>
        <w:t>O que está demonstrado.</w:t>
      </w:r>
      <w:r>
        <w:rPr>
          <w:b w:val="0"/>
          <w:i w:val="0"/>
          <w:sz w:val="18"/>
        </w:rPr>
        <w:t xml:space="preserve"> Alocação com rebalanceamento mensal entre classes supera o CDI em +5,1% ao ano e supera o Ibovespa em retorno, com menos de um terço da queda máxima. A vantagem se mantém fora da amostra, em todas as janelas de momentum, em todas as frequências de rebalanceamento e sob custos 2,5× maiores. O ranking por mérito agrega sobre o rebalanceamento puro, embora a maior parte do valor venha da </w:t>
      </w:r>
      <w:r>
        <w:rPr>
          <w:b/>
          <w:i w:val="0"/>
          <w:sz w:val="18"/>
        </w:rPr>
        <w:t>estrutura</w:t>
      </w:r>
      <w:r>
        <w:rPr>
          <w:b w:val="0"/>
          <w:i w:val="0"/>
          <w:sz w:val="18"/>
        </w:rPr>
        <w:t>, que é rebalancear entre classes com fuga para o caixa, e não da sofisticação do sinal. A inclinação pelo regime de juros melhora o resultado reduzindo risco.</w:t>
      </w:r>
    </w:p>
    <w:p>
      <w:pPr>
        <w:spacing w:after="80"/>
        <w:jc w:val="both"/>
      </w:pPr>
      <w:r>
        <w:rPr>
          <w:b/>
          <w:i w:val="0"/>
          <w:sz w:val="18"/>
        </w:rPr>
        <w:t>O que não está.</w:t>
      </w:r>
      <w:r>
        <w:rPr>
          <w:b w:val="0"/>
          <w:i w:val="0"/>
          <w:sz w:val="18"/>
        </w:rPr>
        <w:t xml:space="preserve"> A significância é marginal (p = 0,083), e explicamos por quê: a amostra é curta para o Sharpe obtido. O robô falha em viradas bruscas de regime, como em 2022-2023, e a camada de juros atenua essa falha sem eliminá-la. A leitura das atas por modelo de linguagem está construída mas não executada. E o desempenho depende de haver classes atrativas no cardápio: no período, a bolsa global contribuiu de forma relevante, o que pode não se repetir.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78"/>
            <w:shd w:val="clear" w:fill="EEF2F7"/>
          </w:tcPr>
          <w:p>
            <w:pPr>
              <w:spacing w:after="40" w:before="40"/>
              <w:jc w:val="both"/>
            </w:pPr>
            <w:r>
              <w:rPr>
                <w:b/>
                <w:color w:val="1A4F8A"/>
                <w:sz w:val="18"/>
              </w:rPr>
              <w:t>A leitura que fazemos.</w:t>
            </w:r>
            <w:r>
              <w:rPr>
                <w:b w:val="0"/>
                <w:color w:val="1A4F8A"/>
                <w:sz w:val="18"/>
              </w:rPr>
              <w:t xml:space="preserve"> O achado mais útil deste trabalho talvez não seja o excedente sobre o CDI, e sim o que ele custou para ser afirmado com honestidade: três melhorias descartadas por não sobreviverem aos próprios testes, uma quarta aceita apenas depois de passar na mesma régua, e um p-valor que preferimos reportar como é. Em gestão sistemática, a disciplina de recusar o resultado bonito é parte do produto.</w:t>
            </w:r>
          </w:p>
        </w:tc>
      </w:tr>
    </w:tbl>
    <w:p>
      <w:pPr>
        <w:spacing w:after="40"/>
      </w:pPr>
    </w:p>
    <w:p>
      <w:pPr>
        <w:spacing w:before="140" w:after="40"/>
        <w:keepNext/>
      </w:pPr>
      <w:r>
        <w:rPr>
          <w:b/>
          <w:color w:val="1A4F8A"/>
          <w:sz w:val="22"/>
        </w:rPr>
        <w:t>10. Próximos passos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4535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5443"/>
            <w:shd w:val="clear" w:fill="1A4F8A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O que responde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/>
                <w:sz w:val="16"/>
              </w:rPr>
              <w:t>1.</w:t>
            </w:r>
            <w:r>
              <w:rPr>
                <w:b w:val="0"/>
                <w:sz w:val="16"/>
              </w:rPr>
              <w:t xml:space="preserve"> Executar a leitura das atas por modelo de linguagem e comparar com o braço de controle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responde se ler o texto agrega sobre ler o número público, hipótese já pré-registrada com critério de aceitação e de rejeição definidos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/>
                <w:sz w:val="16"/>
              </w:rPr>
              <w:t>2.</w:t>
            </w:r>
            <w:r>
              <w:rPr>
                <w:b w:val="0"/>
                <w:sz w:val="16"/>
              </w:rPr>
              <w:t xml:space="preserve"> Ampliar o cardápio com títulos indexados à inflação (IMA-B)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classe relevante e hoje ausente; small caps, títulos e imobiliário dos EUA já foram testados e reprovados nos mesmos critérios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/>
                <w:sz w:val="16"/>
              </w:rPr>
              <w:t>3.</w:t>
            </w:r>
            <w:r>
              <w:rPr>
                <w:b w:val="0"/>
                <w:sz w:val="16"/>
              </w:rPr>
              <w:t xml:space="preserve"> Reavaliar criptomoeda quando houver histórico de ETF na B3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hoje o resultado depende do período não investível; a partir de 2027 haverá amostra suficiente para um teste limpo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 w:before="20"/>
            </w:pPr>
            <w:r>
              <w:rPr>
                <w:b/>
                <w:sz w:val="16"/>
              </w:rPr>
              <w:t>4.</w:t>
            </w:r>
            <w:r>
              <w:rPr>
                <w:b w:val="0"/>
                <w:sz w:val="16"/>
              </w:rPr>
              <w:t xml:space="preserve"> Simular com aportes mensais e faixas de risco por perfil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>
              <w:rPr>
                <w:b w:val="0"/>
                <w:sz w:val="16"/>
              </w:rPr>
              <w:t>aproxima o backtest da experiência real do investidor final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 w:val="0"/>
          <w:color w:val="4A4A48"/>
          <w:sz w:val="15"/>
        </w:rPr>
        <w:t>Referências: Jegadeesh &amp; Titman (1993), Returns to Buying Winners and Selling Losers, Journal of Finance; Asness, Moskowitz &amp; Pedersen (2013), Value and Momentum Everywhere, Journal of Finance; Faber (2007), A Quantitative Approach to Tactical Asset Allocation, Journal of Wealth Management; Antonacci (2014), Dual Momentum Investing; Moskowitz, Ooi &amp; Pedersen (2012), Time Series Momentum, Journal of Financial Economics. Dados públicos e gratuitos: séries de CDI, IPCA e meta Selic da API do Banco Central do Brasil (SGS), atas do Copom pela API do Banco Central e cotações via Yahoo Finance. Backtest, métricas, testes de robustez e camada de leitura de atas implementados pela equipe em Python.</w:t>
      </w:r>
    </w:p>
    <w:sectPr w:rsidR="00FC693F" w:rsidRPr="0006063C" w:rsidSect="00034616">
      <w:pgSz w:w="12240" w:h="15840"/>
      <w:pgMar w:top="737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Final - Desafio Quant AI 2026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