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Lista</w:t>
      </w:r>
      <w:r>
        <w:t xml:space="preserve"> </w:t>
      </w:r>
      <w:r>
        <w:t xml:space="preserve">de</w:t>
      </w:r>
      <w:r>
        <w:t xml:space="preserve"> </w:t>
      </w:r>
      <w:r>
        <w:t xml:space="preserve">Atividades</w:t>
      </w:r>
      <w:r>
        <w:t xml:space="preserve"> </w:t>
      </w:r>
      <w:r>
        <w:t xml:space="preserve">para</w:t>
      </w:r>
      <w:r>
        <w:t xml:space="preserve"> </w:t>
      </w:r>
      <w:r>
        <w:t xml:space="preserve">Executar</w:t>
      </w:r>
      <w:r>
        <w:t xml:space="preserve"> </w:t>
      </w:r>
      <w:r>
        <w:t xml:space="preserve">a</w:t>
      </w:r>
      <w:r>
        <w:t xml:space="preserve"> </w:t>
      </w:r>
      <w:r>
        <w:t xml:space="preserve">RSL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3</w:t>
      </w:r>
      <w:r>
        <w:t xml:space="preserve"> </w:t>
      </w:r>
      <w:r>
        <w:t xml:space="preserve">de</w:t>
      </w:r>
      <w:r>
        <w:t xml:space="preserve"> </w:t>
      </w:r>
      <w:r>
        <w:t xml:space="preserve">4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detalhar, de forma sequenciada e acionável, todas as atividades necessárias para executar a RSL</w:t>
      </w:r>
      <w:r>
        <w:t xml:space="preserve"> </w:t>
      </w:r>
      <w:r>
        <w:t xml:space="preserve">“</w:t>
      </w:r>
      <w:r>
        <w:t xml:space="preserve">XAI for Multi-Agent Systems</w:t>
      </w:r>
      <w:r>
        <w:t xml:space="preserve">”</w:t>
      </w:r>
      <w:r>
        <w:t xml:space="preserve"> </w:t>
      </w:r>
      <w:r>
        <w:t xml:space="preserve">conforme o Protocolo v3.0. Cada atividade indica o responsável, e referencia os requisitos do sistema (RF — Documento 2) e as seções do protocolo (§) que a operacionalizam.</w:t>
      </w:r>
    </w:p>
    <w:p>
      <w:pPr>
        <w:pStyle w:val="BodyText"/>
      </w:pPr>
      <w:r>
        <w:rPr>
          <w:bCs/>
          <w:b/>
        </w:rPr>
        <w:t xml:space="preserve">Convenções: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Sigla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Papel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R1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Revisor 1 (W. Farias — pesquisador)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R2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Revisor 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R3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Terceiro revisor (árbitro de conflitos)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OR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Orientador (validação externa)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Notação:</w:t>
      </w:r>
      <w:r>
        <w:t xml:space="preserve"> </w:t>
      </w:r>
      <w:r>
        <w:rPr>
          <w:rStyle w:val="VerbatimChar"/>
        </w:rPr>
        <w:t xml:space="preserve">A#.#</w:t>
      </w:r>
      <w:r>
        <w:t xml:space="preserve"> </w:t>
      </w:r>
      <w:r>
        <w:t xml:space="preserve">= atividade ·</w:t>
      </w:r>
      <w:r>
        <w:t xml:space="preserve"> </w:t>
      </w:r>
      <w:r>
        <w:rPr>
          <w:rStyle w:val="VerbatimChar"/>
        </w:rPr>
        <w:t xml:space="preserve">[RF#]</w:t>
      </w:r>
      <w:r>
        <w:t xml:space="preserve"> </w:t>
      </w:r>
      <w:r>
        <w:t xml:space="preserve">= requisito do sistema de apoio ·</w:t>
      </w:r>
      <w:r>
        <w:t xml:space="preserve"> </w:t>
      </w:r>
      <w:r>
        <w:rPr>
          <w:rStyle w:val="VerbatimChar"/>
        </w:rPr>
        <w:t xml:space="preserve">(§#)</w:t>
      </w:r>
      <w:r>
        <w:t xml:space="preserve"> </w:t>
      </w:r>
      <w:r>
        <w:t xml:space="preserve">= seção do protocolo ·</w:t>
      </w:r>
      <w:r>
        <w:t xml:space="preserve"> </w:t>
      </w:r>
      <w:r>
        <w:rPr>
          <w:bCs/>
          <w:b/>
        </w:rPr>
        <w:t xml:space="preserve">[PORTÃO]</w:t>
      </w:r>
      <w:r>
        <w:t xml:space="preserve"> </w:t>
      </w:r>
      <w:r>
        <w:t xml:space="preserve">= critério de saída da fase (não avançar sem cumprir).</w:t>
      </w:r>
    </w:p>
    <w:bookmarkStart w:id="20" w:name="fase-0-preparação-e-registro-do-estudo"/>
    <w:p>
      <w:pPr>
        <w:pStyle w:val="Heading1"/>
      </w:pPr>
      <w:r>
        <w:t xml:space="preserve">FASE 0 — Preparação e Registro do Estudo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A0.1</w:t>
      </w:r>
      <w:r>
        <w:t xml:space="preserve"> </w:t>
      </w:r>
      <w:r>
        <w:t xml:space="preserve">Formalizar o protocolo v3.0 [R1] (§1) [RF01, RF02]</w:t>
      </w:r>
    </w:p>
    <w:p>
      <w:pPr>
        <w:numPr>
          <w:ilvl w:val="1"/>
          <w:numId w:val="1002"/>
        </w:numPr>
        <w:pStyle w:val="Compact"/>
      </w:pPr>
      <w:r>
        <w:t xml:space="preserve">☐ A0.1.1 Corrigir numeração e referências internas do documento</w:t>
      </w:r>
    </w:p>
    <w:p>
      <w:pPr>
        <w:numPr>
          <w:ilvl w:val="1"/>
          <w:numId w:val="1002"/>
        </w:numPr>
        <w:pStyle w:val="Compact"/>
      </w:pPr>
      <w:r>
        <w:t xml:space="preserve">☐ A0.1.2 Submeter o protocolo ao orientador para revisão crítica (OR)</w:t>
      </w:r>
    </w:p>
    <w:p>
      <w:pPr>
        <w:numPr>
          <w:ilvl w:val="1"/>
          <w:numId w:val="1002"/>
        </w:numPr>
        <w:pStyle w:val="Compact"/>
      </w:pPr>
      <w:r>
        <w:t xml:space="preserve">☐ A0.1.3 Incorporar feedbacks e congelar a versão 3.0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A0.2</w:t>
      </w:r>
      <w:r>
        <w:t xml:space="preserve"> </w:t>
      </w:r>
      <w:r>
        <w:t xml:space="preserve">Registrar o protocolo no OSF [R1] (§13, §14.3) [RF05]</w:t>
      </w:r>
    </w:p>
    <w:p>
      <w:pPr>
        <w:numPr>
          <w:ilvl w:val="1"/>
          <w:numId w:val="1003"/>
        </w:numPr>
        <w:pStyle w:val="Compact"/>
      </w:pPr>
      <w:r>
        <w:t xml:space="preserve">☐ A0.2.1 Criar projeto OSF com snapshot do protocolo congelado</w:t>
      </w:r>
    </w:p>
    <w:p>
      <w:pPr>
        <w:numPr>
          <w:ilvl w:val="1"/>
          <w:numId w:val="1003"/>
        </w:numPr>
        <w:pStyle w:val="Compact"/>
      </w:pPr>
      <w:r>
        <w:t xml:space="preserve">☐ A0.2.2 Configurar estrutura de pastas: protocolo, buscas, extração, QA, codebook, logs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A0.3</w:t>
      </w:r>
      <w:r>
        <w:t xml:space="preserve"> </w:t>
      </w:r>
      <w:r>
        <w:t xml:space="preserve">Configurar o ambiente de trabalho [R1, R2] (§13) [RF01, RF51]</w:t>
      </w:r>
    </w:p>
    <w:p>
      <w:pPr>
        <w:numPr>
          <w:ilvl w:val="1"/>
          <w:numId w:val="1004"/>
        </w:numPr>
        <w:pStyle w:val="Compact"/>
      </w:pPr>
      <w:r>
        <w:t xml:space="preserve">☐ A0.3.1 Cadastrar equipe no sistema (R1, R2, R3, OR) com papéis e permissões</w:t>
      </w:r>
    </w:p>
    <w:p>
      <w:pPr>
        <w:numPr>
          <w:ilvl w:val="1"/>
          <w:numId w:val="1004"/>
        </w:numPr>
        <w:pStyle w:val="Compact"/>
      </w:pPr>
      <w:r>
        <w:t xml:space="preserve">☐ A0.3.2 Preencher o glossário operacional (§2) no sistema [RF06]</w:t>
      </w:r>
    </w:p>
    <w:p>
      <w:pPr>
        <w:numPr>
          <w:ilvl w:val="1"/>
          <w:numId w:val="1004"/>
        </w:numPr>
        <w:pStyle w:val="Compact"/>
      </w:pPr>
      <w:r>
        <w:t xml:space="preserve">☐ A0.3.3 Cadastrar RQs com classificação Easterbrook e PICOC [RF07, RF08]</w:t>
      </w:r>
    </w:p>
    <w:p>
      <w:pPr>
        <w:numPr>
          <w:ilvl w:val="1"/>
          <w:numId w:val="1004"/>
        </w:numPr>
        <w:pStyle w:val="Compact"/>
      </w:pPr>
      <w:r>
        <w:t xml:space="preserve">☐ A0.3.4 Cadastrar hipóteses H1/H2 e vereditos do evidence mapping [RF09, RF10]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A0.4</w:t>
      </w:r>
      <w:r>
        <w:t xml:space="preserve"> </w:t>
      </w:r>
      <w:r>
        <w:t xml:space="preserve">Definir o cronograma detalhado no sistema [R1] (§14.4) [RF04]</w:t>
      </w:r>
    </w:p>
    <w:p>
      <w:pPr>
        <w:pStyle w:val="FirstParagraph"/>
      </w:pPr>
      <w:r>
        <w:rPr>
          <w:bCs/>
          <w:b/>
        </w:rPr>
        <w:t xml:space="preserve">[PORTÃO 0]</w:t>
      </w:r>
      <w:r>
        <w:t xml:space="preserve"> </w:t>
      </w:r>
      <w:r>
        <w:t xml:space="preserve">Protocolo registrado no OSF; equipe configurada; glossário, RQs, PICOC e hipóteses cadastrados.</w:t>
      </w:r>
    </w:p>
    <w:bookmarkEnd w:id="20"/>
    <w:bookmarkStart w:id="21" w:name="fase-1-busca"/>
    <w:p>
      <w:pPr>
        <w:pStyle w:val="Heading1"/>
      </w:pPr>
      <w:r>
        <w:t xml:space="preserve">FASE 1 — Busca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A1.1</w:t>
      </w:r>
      <w:r>
        <w:t xml:space="preserve"> </w:t>
      </w:r>
      <w:r>
        <w:t xml:space="preserve">Validar a string de busca (test-set) [R1, R2] (§5.1) [RF13, RF17]</w:t>
      </w:r>
    </w:p>
    <w:p>
      <w:pPr>
        <w:numPr>
          <w:ilvl w:val="1"/>
          <w:numId w:val="1006"/>
        </w:numPr>
        <w:pStyle w:val="Compact"/>
      </w:pPr>
      <w:r>
        <w:t xml:space="preserve">☐ A1.1.1 Executar a string nas 6 bases (WoS, Scopus, IEEE, ACM, GS, arXiv)</w:t>
      </w:r>
    </w:p>
    <w:p>
      <w:pPr>
        <w:numPr>
          <w:ilvl w:val="1"/>
          <w:numId w:val="1006"/>
        </w:numPr>
        <w:pStyle w:val="Compact"/>
      </w:pPr>
      <w:r>
        <w:t xml:space="preserve">☐ A1.1.2 Verificar se os 4 seminais ([SX15], [SX21]–[SX23]) são recuperados em cada base</w:t>
      </w:r>
    </w:p>
    <w:p>
      <w:pPr>
        <w:numPr>
          <w:ilvl w:val="1"/>
          <w:numId w:val="1006"/>
        </w:numPr>
        <w:pStyle w:val="Compact"/>
      </w:pPr>
      <w:r>
        <w:t xml:space="preserve">☐ A1.1.3 Registrar quasi-sensibilidade por base; ajustar a string se houver falha</w:t>
      </w:r>
    </w:p>
    <w:p>
      <w:pPr>
        <w:numPr>
          <w:ilvl w:val="1"/>
          <w:numId w:val="1006"/>
        </w:numPr>
        <w:pStyle w:val="Compact"/>
      </w:pPr>
      <w:r>
        <w:t xml:space="preserve">☐ A1.1.4 Documentar ajustes no Log de Desvios [RF03]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A1.2</w:t>
      </w:r>
      <w:r>
        <w:t xml:space="preserve"> </w:t>
      </w:r>
      <w:r>
        <w:t xml:space="preserve">Executar as buscas definitivas [R1] (§5.2) [RF14, RF15]</w:t>
      </w:r>
    </w:p>
    <w:p>
      <w:pPr>
        <w:numPr>
          <w:ilvl w:val="1"/>
          <w:numId w:val="1007"/>
        </w:numPr>
        <w:pStyle w:val="Compact"/>
      </w:pPr>
      <w:r>
        <w:t xml:space="preserve">☐ A1.2.1 Executar a string adaptada em cada base, registrando data, campos e nº de resultados</w:t>
      </w:r>
    </w:p>
    <w:p>
      <w:pPr>
        <w:numPr>
          <w:ilvl w:val="1"/>
          <w:numId w:val="1007"/>
        </w:numPr>
        <w:pStyle w:val="Compact"/>
      </w:pPr>
      <w:r>
        <w:t xml:space="preserve">☐ A1.2.2 Baixar resultados em BibTeX/RIS/CSV por base</w:t>
      </w:r>
    </w:p>
    <w:p>
      <w:pPr>
        <w:numPr>
          <w:ilvl w:val="1"/>
          <w:numId w:val="1007"/>
        </w:numPr>
        <w:pStyle w:val="Compact"/>
      </w:pPr>
      <w:r>
        <w:t xml:space="preserve">☐ A1.2.3 Executar busca no Google Scholar (limite: 300 primeiros) e registrar</w:t>
      </w:r>
    </w:p>
    <w:p>
      <w:pPr>
        <w:numPr>
          <w:ilvl w:val="1"/>
          <w:numId w:val="1007"/>
        </w:numPr>
        <w:pStyle w:val="Compact"/>
      </w:pPr>
      <w:r>
        <w:t xml:space="preserve">☐ A1.2.4 Arquivar todos os resultados brutos (raw) no OSF e no sistema [RF15]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A1.3</w:t>
      </w:r>
      <w:r>
        <w:t xml:space="preserve"> </w:t>
      </w:r>
      <w:r>
        <w:t xml:space="preserve">Realizar a busca manual [R1] (§5.2.2) [RF18]</w:t>
      </w:r>
    </w:p>
    <w:p>
      <w:pPr>
        <w:numPr>
          <w:ilvl w:val="1"/>
          <w:numId w:val="1008"/>
        </w:numPr>
        <w:pStyle w:val="Compact"/>
      </w:pPr>
      <w:r>
        <w:t xml:space="preserve">☐ A1.3.1 Varrer os 7 veículos-alvo (2016–2026)</w:t>
      </w:r>
    </w:p>
    <w:p>
      <w:pPr>
        <w:numPr>
          <w:ilvl w:val="1"/>
          <w:numId w:val="1008"/>
        </w:numPr>
        <w:pStyle w:val="Compact"/>
      </w:pPr>
      <w:r>
        <w:t xml:space="preserve">☐ A1.3.2 Registrar veículo, período varrido e edições não varridas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A1.4</w:t>
      </w:r>
      <w:r>
        <w:t xml:space="preserve"> </w:t>
      </w:r>
      <w:r>
        <w:t xml:space="preserve">Importar e consolidar resultados no sistema [R1] (§3.4) [RF16]</w:t>
      </w:r>
    </w:p>
    <w:p>
      <w:pPr>
        <w:numPr>
          <w:ilvl w:val="1"/>
          <w:numId w:val="1009"/>
        </w:numPr>
        <w:pStyle w:val="Compact"/>
      </w:pPr>
      <w:r>
        <w:t xml:space="preserve">☐ A1.4.1 Importar todos os arquivos; validar mapeamento de metadados</w:t>
      </w:r>
    </w:p>
    <w:p>
      <w:pPr>
        <w:pStyle w:val="FirstParagraph"/>
      </w:pPr>
      <w:r>
        <w:rPr>
          <w:bCs/>
          <w:b/>
        </w:rPr>
        <w:t xml:space="preserve">[PORTÃO 1]</w:t>
      </w:r>
      <w:r>
        <w:t xml:space="preserve"> </w:t>
      </w:r>
      <w:r>
        <w:t xml:space="preserve">Test-set 100% recuperado em todas as bases; buscas executadas e documentadas; raw results arquivados.</w:t>
      </w:r>
    </w:p>
    <w:bookmarkEnd w:id="21"/>
    <w:bookmarkStart w:id="22" w:name="fase-2-deduplicação-e-pilotagem"/>
    <w:p>
      <w:pPr>
        <w:pStyle w:val="Heading1"/>
      </w:pPr>
      <w:r>
        <w:t xml:space="preserve">FASE 2 — Deduplicação e Pilotagem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A2.1</w:t>
      </w:r>
      <w:r>
        <w:t xml:space="preserve"> </w:t>
      </w:r>
      <w:r>
        <w:t xml:space="preserve">Deduplicar o pool de resultados [R1, R2] (§6.3) [RF20]</w:t>
      </w:r>
    </w:p>
    <w:p>
      <w:pPr>
        <w:numPr>
          <w:ilvl w:val="1"/>
          <w:numId w:val="1011"/>
        </w:numPr>
        <w:pStyle w:val="Compact"/>
      </w:pPr>
      <w:r>
        <w:t xml:space="preserve">☐ A2.1.1 Rodar detecção automática (DOI/título/similaridade)</w:t>
      </w:r>
    </w:p>
    <w:p>
      <w:pPr>
        <w:numPr>
          <w:ilvl w:val="1"/>
          <w:numId w:val="1011"/>
        </w:numPr>
        <w:pStyle w:val="Compact"/>
      </w:pPr>
      <w:r>
        <w:t xml:space="preserve">☐ A2.1.2 Revisar manualmente a fila de possíveis duplicados; registrar decisões</w:t>
      </w:r>
    </w:p>
    <w:p>
      <w:pPr>
        <w:numPr>
          <w:ilvl w:val="1"/>
          <w:numId w:val="1011"/>
        </w:numPr>
        <w:pStyle w:val="Compact"/>
      </w:pPr>
      <w:r>
        <w:t xml:space="preserve">☐ A2.1.3 Registrar o total inicial e o total pós-deduplicação (insumo PRISMA)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A2.2</w:t>
      </w:r>
      <w:r>
        <w:t xml:space="preserve"> </w:t>
      </w:r>
      <w:r>
        <w:t xml:space="preserve">Identificar múltiplas publicações do mesmo estudo [R1] (§6.3) [RF21]</w:t>
      </w:r>
    </w:p>
    <w:p>
      <w:pPr>
        <w:numPr>
          <w:ilvl w:val="1"/>
          <w:numId w:val="1012"/>
        </w:numPr>
        <w:pStyle w:val="Compact"/>
      </w:pPr>
      <w:r>
        <w:t xml:space="preserve">☐ A2.2.1 Agrupar versões (pré-print × conferência × journal)</w:t>
      </w:r>
    </w:p>
    <w:p>
      <w:pPr>
        <w:numPr>
          <w:ilvl w:val="1"/>
          <w:numId w:val="1012"/>
        </w:numPr>
        <w:pStyle w:val="Compact"/>
      </w:pPr>
      <w:r>
        <w:t xml:space="preserve">☐ A2.2.2 Definir o registro canônico (versão mais completa) por grupo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A2.3</w:t>
      </w:r>
      <w:r>
        <w:t xml:space="preserve"> </w:t>
      </w:r>
      <w:r>
        <w:t xml:space="preserve">Pilotar os critérios de seleção [R1, R2] (§5.3.1) [RF22, RF25]</w:t>
      </w:r>
    </w:p>
    <w:p>
      <w:pPr>
        <w:numPr>
          <w:ilvl w:val="1"/>
          <w:numId w:val="1013"/>
        </w:numPr>
        <w:pStyle w:val="Compact"/>
      </w:pPr>
      <w:r>
        <w:t xml:space="preserve">☐ A2.3.1 Selecionar aleatoriamente 20 estudos do pool</w:t>
      </w:r>
    </w:p>
    <w:p>
      <w:pPr>
        <w:numPr>
          <w:ilvl w:val="1"/>
          <w:numId w:val="1013"/>
        </w:numPr>
        <w:pStyle w:val="Compact"/>
      </w:pPr>
      <w:r>
        <w:t xml:space="preserve">☐ A2.3.2 Aplicar CI/CE de forma independente (R1 e R2), com think-aloud em ≥1 estudo</w:t>
      </w:r>
    </w:p>
    <w:p>
      <w:pPr>
        <w:numPr>
          <w:ilvl w:val="1"/>
          <w:numId w:val="1013"/>
        </w:numPr>
        <w:pStyle w:val="Compact"/>
      </w:pPr>
      <w:r>
        <w:t xml:space="preserve">☐ A2.3.3 Calcular κ da Fase 1; discutir todas as divergências</w:t>
      </w:r>
    </w:p>
    <w:p>
      <w:pPr>
        <w:numPr>
          <w:ilvl w:val="1"/>
          <w:numId w:val="1013"/>
        </w:numPr>
        <w:pStyle w:val="Compact"/>
      </w:pPr>
      <w:r>
        <w:t xml:space="preserve">☐ A2.3.4 Atualizar CI/CE e glossário conforme aprendizados; versionar alterações [RF02, RF06]</w:t>
      </w:r>
    </w:p>
    <w:p>
      <w:pPr>
        <w:numPr>
          <w:ilvl w:val="1"/>
          <w:numId w:val="1013"/>
        </w:numPr>
        <w:pStyle w:val="Compact"/>
      </w:pPr>
      <w:r>
        <w:t xml:space="preserve">☐ A2.3.5 Repetir se κ &lt; 0,6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A2.4</w:t>
      </w:r>
      <w:r>
        <w:t xml:space="preserve"> </w:t>
      </w:r>
      <w:r>
        <w:t xml:space="preserve">Pilotar o checklist de QA [R1, R2] (§7.5) [RF29, RF32]</w:t>
      </w:r>
    </w:p>
    <w:p>
      <w:pPr>
        <w:numPr>
          <w:ilvl w:val="1"/>
          <w:numId w:val="1014"/>
        </w:numPr>
        <w:pStyle w:val="Compact"/>
      </w:pPr>
      <w:r>
        <w:t xml:space="preserve">☐ A2.4.1 Aplicar o QA nos estudos da amostra piloto, em paralelo</w:t>
      </w:r>
    </w:p>
    <w:p>
      <w:pPr>
        <w:numPr>
          <w:ilvl w:val="1"/>
          <w:numId w:val="1014"/>
        </w:numPr>
        <w:pStyle w:val="Compact"/>
      </w:pPr>
      <w:r>
        <w:t xml:space="preserve">☐ A2.4.2 Calcular κ ponderado; resolver interpretações divergentes dos critérios</w:t>
      </w:r>
    </w:p>
    <w:p>
      <w:pPr>
        <w:numPr>
          <w:ilvl w:val="1"/>
          <w:numId w:val="1014"/>
        </w:numPr>
        <w:pStyle w:val="Compact"/>
      </w:pPr>
      <w:r>
        <w:t xml:space="preserve">☐ A2.4.3 Registrar o critério de decisão para itens N/A da amostra</w:t>
      </w:r>
    </w:p>
    <w:p>
      <w:pPr>
        <w:pStyle w:val="FirstParagraph"/>
      </w:pPr>
      <w:r>
        <w:rPr>
          <w:bCs/>
          <w:b/>
        </w:rPr>
        <w:t xml:space="preserve">[PORTÃO 2]</w:t>
      </w:r>
      <w:r>
        <w:t xml:space="preserve"> </w:t>
      </w:r>
      <w:r>
        <w:t xml:space="preserve">Deduplicação concluída com contagens registradas; κ Fase 1 ≥ 0,6; critérios de QA interpretados de forma consistente entre revisores.</w:t>
      </w:r>
    </w:p>
    <w:bookmarkEnd w:id="22"/>
    <w:bookmarkStart w:id="23" w:name="fase-3-triagem-fase-1-títuloresumo"/>
    <w:p>
      <w:pPr>
        <w:pStyle w:val="Heading1"/>
      </w:pPr>
      <w:r>
        <w:t xml:space="preserve">FASE 3 — Triagem Fase 1 (Título/Resumo)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A3.1</w:t>
      </w:r>
      <w:r>
        <w:t xml:space="preserve"> </w:t>
      </w:r>
      <w:r>
        <w:t xml:space="preserve">Distribuir lotes de triagem [R1] (§5.3.2) [RF52]</w:t>
      </w:r>
    </w:p>
    <w:p>
      <w:pPr>
        <w:numPr>
          <w:ilvl w:val="1"/>
          <w:numId w:val="1016"/>
        </w:numPr>
        <w:pStyle w:val="Compact"/>
      </w:pPr>
      <w:r>
        <w:t xml:space="preserve">☐ A3.1.1 Atribuir o pool completo a R1 e R2 (trabalho independente)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A3.2</w:t>
      </w:r>
      <w:r>
        <w:t xml:space="preserve"> </w:t>
      </w:r>
      <w:r>
        <w:t xml:space="preserve">Executar a triagem título/resumo [R1, R2 — em paralelo] (§5.3.2) [RF22]</w:t>
      </w:r>
    </w:p>
    <w:p>
      <w:pPr>
        <w:numPr>
          <w:ilvl w:val="1"/>
          <w:numId w:val="1017"/>
        </w:numPr>
        <w:pStyle w:val="Compact"/>
      </w:pPr>
      <w:r>
        <w:t xml:space="preserve">☐ A3.2.1 Votar por estudo: Incluir / Excluir / Incerto, referenciando o CI/CE acionado</w:t>
      </w:r>
    </w:p>
    <w:p>
      <w:pPr>
        <w:numPr>
          <w:ilvl w:val="1"/>
          <w:numId w:val="1017"/>
        </w:numPr>
        <w:pStyle w:val="Compact"/>
      </w:pPr>
      <w:r>
        <w:t xml:space="preserve">☐ A3.2.2 Calcular κ ao final da fase (R1)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A3.3</w:t>
      </w:r>
      <w:r>
        <w:t xml:space="preserve"> </w:t>
      </w:r>
      <w:r>
        <w:t xml:space="preserve">Aplicar a matriz de decisão A–F [sistema] (§5.3.3) [RF23]</w:t>
      </w:r>
    </w:p>
    <w:p>
      <w:pPr>
        <w:numPr>
          <w:ilvl w:val="1"/>
          <w:numId w:val="1018"/>
        </w:numPr>
        <w:pStyle w:val="Compact"/>
      </w:pPr>
      <w:r>
        <w:t xml:space="preserve">☐ A3.3.1 Confirmar exclusão automática apenas da combinação F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A3.4</w:t>
      </w:r>
      <w:r>
        <w:t xml:space="preserve"> </w:t>
      </w:r>
      <w:r>
        <w:t xml:space="preserve">Resolver divergências (combinações D/E) [R1, R2; R3 se persistir] (§5.3.3) [RF26]</w:t>
      </w:r>
    </w:p>
    <w:p>
      <w:pPr>
        <w:numPr>
          <w:ilvl w:val="1"/>
          <w:numId w:val="1019"/>
        </w:numPr>
        <w:pStyle w:val="Compact"/>
      </w:pPr>
      <w:r>
        <w:t xml:space="preserve">☐ A3.4.1 Reunião de consenso com registro da decisão e justificativa</w:t>
      </w:r>
    </w:p>
    <w:p>
      <w:pPr>
        <w:numPr>
          <w:ilvl w:val="1"/>
          <w:numId w:val="1019"/>
        </w:numPr>
        <w:pStyle w:val="Compact"/>
      </w:pPr>
      <w:r>
        <w:t xml:space="preserve">☐ A3.4.2 Escalonar ao R3 os casos não resolvidos; registrar a arbitragem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A3.5</w:t>
      </w:r>
      <w:r>
        <w:t xml:space="preserve"> </w:t>
      </w:r>
      <w:r>
        <w:t xml:space="preserve">Registrar contagens da fase (insumo PRISMA) [R1] (§14.1) [RF27]</w:t>
      </w:r>
    </w:p>
    <w:p>
      <w:pPr>
        <w:pStyle w:val="FirstParagraph"/>
      </w:pPr>
      <w:r>
        <w:rPr>
          <w:bCs/>
          <w:b/>
        </w:rPr>
        <w:t xml:space="preserve">[PORTÃO 3]</w:t>
      </w:r>
      <w:r>
        <w:t xml:space="preserve"> </w:t>
      </w:r>
      <w:r>
        <w:t xml:space="preserve">100% do pool votado por ambos os revisores; κ registrado; divergências resolvidas e documentadas; contagens salvas.</w:t>
      </w:r>
    </w:p>
    <w:bookmarkEnd w:id="23"/>
    <w:bookmarkStart w:id="24" w:name="fase-4-triagem-fase-2-texto-completo"/>
    <w:p>
      <w:pPr>
        <w:pStyle w:val="Heading1"/>
      </w:pPr>
      <w:r>
        <w:t xml:space="preserve">FASE 4 — Triagem Fase 2 (Texto Completo)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A4.1</w:t>
      </w:r>
      <w:r>
        <w:t xml:space="preserve"> </w:t>
      </w:r>
      <w:r>
        <w:t xml:space="preserve">Obter os textos completos [R1] (§5.3.2, CI6) [RF24]</w:t>
      </w:r>
    </w:p>
    <w:p>
      <w:pPr>
        <w:numPr>
          <w:ilvl w:val="1"/>
          <w:numId w:val="1021"/>
        </w:numPr>
        <w:pStyle w:val="Compact"/>
      </w:pPr>
      <w:r>
        <w:t xml:space="preserve">☐ A4.1.1 Baixar PDFs de todos os estudos que avançaram</w:t>
      </w:r>
    </w:p>
    <w:p>
      <w:pPr>
        <w:numPr>
          <w:ilvl w:val="1"/>
          <w:numId w:val="1021"/>
        </w:numPr>
        <w:pStyle w:val="Compact"/>
      </w:pPr>
      <w:r>
        <w:t xml:space="preserve">☐ A4.1.2 Solicitar por e-mail os indisponíveis; registrar os irrecuperáveis como excluídos (CE2)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A4.2</w:t>
      </w:r>
      <w:r>
        <w:t xml:space="preserve"> </w:t>
      </w:r>
      <w:r>
        <w:t xml:space="preserve">Executar a leitura completa e votação [R1, R2 — em paralelo] (§5.3.2) [RF24]</w:t>
      </w:r>
    </w:p>
    <w:p>
      <w:pPr>
        <w:numPr>
          <w:ilvl w:val="1"/>
          <w:numId w:val="1022"/>
        </w:numPr>
        <w:pStyle w:val="Compact"/>
      </w:pPr>
      <w:r>
        <w:t xml:space="preserve">☐ A4.2.1 Votar com justificativa obrigatória para exclusões (mapear ao CE)</w:t>
      </w:r>
    </w:p>
    <w:p>
      <w:pPr>
        <w:numPr>
          <w:ilvl w:val="1"/>
          <w:numId w:val="1022"/>
        </w:numPr>
        <w:pStyle w:val="Compact"/>
      </w:pPr>
      <w:r>
        <w:t xml:space="preserve">☐ A4.2.2 Recalcular κ da Fase 2 e registrar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A4.3</w:t>
      </w:r>
      <w:r>
        <w:t xml:space="preserve"> </w:t>
      </w:r>
      <w:r>
        <w:t xml:space="preserve">Resolver divergências da Fase 2 [R1, R2; R3 se persistir] (§5.3.3) [RF26]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A4.4</w:t>
      </w:r>
      <w:r>
        <w:t xml:space="preserve"> </w:t>
      </w:r>
      <w:r>
        <w:t xml:space="preserve">Consolidar o corpus final [R1] (§6.3)</w:t>
      </w:r>
    </w:p>
    <w:p>
      <w:pPr>
        <w:numPr>
          <w:ilvl w:val="1"/>
          <w:numId w:val="1023"/>
        </w:numPr>
        <w:pStyle w:val="Compact"/>
      </w:pPr>
      <w:r>
        <w:t xml:space="preserve">☐ A4.4.1 Identificar RSLs incluídas e marcá-las como subcamada [RF38]</w:t>
      </w:r>
    </w:p>
    <w:p>
      <w:pPr>
        <w:numPr>
          <w:ilvl w:val="1"/>
          <w:numId w:val="1023"/>
        </w:numPr>
        <w:pStyle w:val="Compact"/>
      </w:pPr>
      <w:r>
        <w:t xml:space="preserve">☐ A4.4.2 Registrar a lista completa de excluídos com razão (apêndice do relato) [RF27]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A4.5</w:t>
      </w:r>
      <w:r>
        <w:t xml:space="preserve"> </w:t>
      </w:r>
      <w:r>
        <w:t xml:space="preserve">Gerar o fluxograma PRISMA consolidado [R1] (§14.1) [RF27]</w:t>
      </w:r>
    </w:p>
    <w:p>
      <w:pPr>
        <w:pStyle w:val="FirstParagraph"/>
      </w:pPr>
      <w:r>
        <w:rPr>
          <w:bCs/>
          <w:b/>
        </w:rPr>
        <w:t xml:space="preserve">[PORTÃO 4]</w:t>
      </w:r>
      <w:r>
        <w:t xml:space="preserve"> </w:t>
      </w:r>
      <w:r>
        <w:t xml:space="preserve">Corpus final definido; κ Fase 2 ≥ 0,6; fluxograma PRISMA completo e salvo.</w:t>
      </w:r>
    </w:p>
    <w:bookmarkEnd w:id="24"/>
    <w:bookmarkStart w:id="25" w:name="fase-5-avaliação-de-qualidade"/>
    <w:p>
      <w:pPr>
        <w:pStyle w:val="Heading1"/>
      </w:pPr>
      <w:r>
        <w:t xml:space="preserve">FASE 5 — Avaliação de Qualidade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A5.1</w:t>
      </w:r>
      <w:r>
        <w:t xml:space="preserve"> </w:t>
      </w:r>
      <w:r>
        <w:t xml:space="preserve">Distribuir o QA [R1] (§7.5) [RF30, RF52]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A5.2</w:t>
      </w:r>
      <w:r>
        <w:t xml:space="preserve"> </w:t>
      </w:r>
      <w:r>
        <w:t xml:space="preserve">Aplicar o checklist de 10 critérios [R1, R2 — independente] (§7.4) [RF29, RF30]</w:t>
      </w:r>
    </w:p>
    <w:p>
      <w:pPr>
        <w:numPr>
          <w:ilvl w:val="1"/>
          <w:numId w:val="1025"/>
        </w:numPr>
        <w:pStyle w:val="Compact"/>
      </w:pPr>
      <w:r>
        <w:t xml:space="preserve">☐ A5.2.1 Pontuar cada critério (0/0,5/1) com justificativa</w:t>
      </w:r>
    </w:p>
    <w:p>
      <w:pPr>
        <w:numPr>
          <w:ilvl w:val="1"/>
          <w:numId w:val="1025"/>
        </w:numPr>
        <w:pStyle w:val="Compact"/>
      </w:pPr>
      <w:r>
        <w:t xml:space="preserve">☐ A5.2.2 Marcar itens N/A quando aplicável (Q6/Q7 para RSLs e teóricos)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A5.3</w:t>
      </w:r>
      <w:r>
        <w:t xml:space="preserve"> </w:t>
      </w:r>
      <w:r>
        <w:t xml:space="preserve">Calcular scores [sistema/R1] (§7.3) [RF31]</w:t>
      </w:r>
    </w:p>
    <w:p>
      <w:pPr>
        <w:numPr>
          <w:ilvl w:val="1"/>
          <w:numId w:val="1026"/>
        </w:numPr>
        <w:pStyle w:val="Compact"/>
      </w:pPr>
      <w:r>
        <w:t xml:space="preserve">☐ A5.3.1 Score total e por categoria, com recálculo do denominador quando houver N/A</w:t>
      </w:r>
    </w:p>
    <w:p>
      <w:pPr>
        <w:numPr>
          <w:ilvl w:val="1"/>
          <w:numId w:val="1026"/>
        </w:numPr>
        <w:pStyle w:val="Compact"/>
      </w:pPr>
      <w:r>
        <w:t xml:space="preserve">☐ A5.3.2 Classificar: ≥7,0 / 4,0–6,9 (flag ressalva) / &lt;4,0 (excluir — propósito P1)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A5.4</w:t>
      </w:r>
      <w:r>
        <w:t xml:space="preserve"> </w:t>
      </w:r>
      <w:r>
        <w:t xml:space="preserve">Resolver divergências [R1, R2; R3 se persistir] (§7.5) [RF32]</w:t>
      </w:r>
    </w:p>
    <w:p>
      <w:pPr>
        <w:numPr>
          <w:ilvl w:val="1"/>
          <w:numId w:val="1027"/>
        </w:numPr>
        <w:pStyle w:val="Compact"/>
      </w:pPr>
      <w:r>
        <w:t xml:space="preserve">☐ A5.4.1 Calcular κ ponderado; arbitrar divergências &gt;0,5 ponto por item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A5.5</w:t>
      </w:r>
      <w:r>
        <w:t xml:space="preserve"> </w:t>
      </w:r>
      <w:r>
        <w:t xml:space="preserve">Registrar exclusões por qualidade no Log de Desvios e no PRISMA [R1] [RF03, RF27]</w:t>
      </w:r>
    </w:p>
    <w:p>
      <w:pPr>
        <w:pStyle w:val="FirstParagraph"/>
      </w:pPr>
      <w:r>
        <w:rPr>
          <w:bCs/>
          <w:b/>
        </w:rPr>
        <w:t xml:space="preserve">[PORTÃO 5]</w:t>
      </w:r>
      <w:r>
        <w:t xml:space="preserve"> </w:t>
      </w:r>
      <w:r>
        <w:t xml:space="preserve">100% do corpus avaliado por 2 revisores; κ ponderado registrado; excluídos por qualidade documentados.</w:t>
      </w:r>
    </w:p>
    <w:bookmarkEnd w:id="25"/>
    <w:bookmarkStart w:id="26" w:name="fase-6-snowballing"/>
    <w:p>
      <w:pPr>
        <w:pStyle w:val="Heading1"/>
      </w:pPr>
      <w:r>
        <w:t xml:space="preserve">FASE 6 — Snowballing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A6.1</w:t>
      </w:r>
      <w:r>
        <w:t xml:space="preserve"> </w:t>
      </w:r>
      <w:r>
        <w:t xml:space="preserve">Executar backward snowballing (rodada 1) [R1] (§8) [RF19]</w:t>
      </w:r>
    </w:p>
    <w:p>
      <w:pPr>
        <w:numPr>
          <w:ilvl w:val="1"/>
          <w:numId w:val="1029"/>
        </w:numPr>
        <w:pStyle w:val="Compact"/>
      </w:pPr>
      <w:r>
        <w:t xml:space="preserve">☐ A6.1.1 Extrair referências dos estudos incluídos; filtrar candidatos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A6.2</w:t>
      </w:r>
      <w:r>
        <w:t xml:space="preserve"> </w:t>
      </w:r>
      <w:r>
        <w:t xml:space="preserve">Executar forward snowballing (rodada 1) [R1] (§8) [RF19]</w:t>
      </w:r>
    </w:p>
    <w:p>
      <w:pPr>
        <w:numPr>
          <w:ilvl w:val="1"/>
          <w:numId w:val="1030"/>
        </w:numPr>
        <w:pStyle w:val="Compact"/>
      </w:pPr>
      <w:r>
        <w:t xml:space="preserve">☐ A6.2.1 Levantar citantes via Scopus e WoS; filtrar candidatos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A6.3</w:t>
      </w:r>
      <w:r>
        <w:t xml:space="preserve"> </w:t>
      </w:r>
      <w:r>
        <w:t xml:space="preserve">Submeter candidatos ao fluxo completo [R1, R2] (§8) [RF28]</w:t>
      </w:r>
    </w:p>
    <w:p>
      <w:pPr>
        <w:numPr>
          <w:ilvl w:val="1"/>
          <w:numId w:val="1031"/>
        </w:numPr>
        <w:pStyle w:val="Compact"/>
      </w:pPr>
      <w:r>
        <w:t xml:space="preserve">☐ A6.3.1 Triagem (F1/F2) → QA → decisão de inclusão, conforme Fases 3–5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A6.4</w:t>
      </w:r>
      <w:r>
        <w:t xml:space="preserve"> </w:t>
      </w:r>
      <w:r>
        <w:t xml:space="preserve">Avaliar critério de parada [R1] (§8) [RF19]</w:t>
      </w:r>
    </w:p>
    <w:p>
      <w:pPr>
        <w:numPr>
          <w:ilvl w:val="1"/>
          <w:numId w:val="1032"/>
        </w:numPr>
        <w:pStyle w:val="Compact"/>
      </w:pPr>
      <w:r>
        <w:t xml:space="preserve">☐ A6.4.1 Se rodada 1 incluir estudos novos, executar rodada 2 (última)</w:t>
      </w:r>
    </w:p>
    <w:p>
      <w:pPr>
        <w:numPr>
          <w:ilvl w:val="1"/>
          <w:numId w:val="1032"/>
        </w:numPr>
        <w:pStyle w:val="Compact"/>
      </w:pPr>
      <w:r>
        <w:t xml:space="preserve">☐ A6.4.2 Registrar candidatos × incluídos por rodada e direção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A6.5</w:t>
      </w:r>
      <w:r>
        <w:t xml:space="preserve"> </w:t>
      </w:r>
      <w:r>
        <w:t xml:space="preserve">Avaliar pertinência do estudo terciário [R1, OR] (§8)</w:t>
      </w:r>
    </w:p>
    <w:p>
      <w:pPr>
        <w:numPr>
          <w:ilvl w:val="1"/>
          <w:numId w:val="1033"/>
        </w:numPr>
        <w:pStyle w:val="Compact"/>
      </w:pPr>
      <w:r>
        <w:t xml:space="preserve">☐ A6.5.1 Se ≥3 RSLs sobre MAS+XAI/RAI forem identificadas, avaliar aplicação do AMSTAR-2</w:t>
      </w:r>
    </w:p>
    <w:p>
      <w:pPr>
        <w:pStyle w:val="FirstParagraph"/>
      </w:pPr>
      <w:r>
        <w:rPr>
          <w:bCs/>
          <w:b/>
        </w:rPr>
        <w:t xml:space="preserve">[PORTÃO 6]</w:t>
      </w:r>
      <w:r>
        <w:t xml:space="preserve"> </w:t>
      </w:r>
      <w:r>
        <w:t xml:space="preserve">Snowballing encerrado (≤2 rodadas) com resultados documentados; corpus final atualizado.</w:t>
      </w:r>
    </w:p>
    <w:bookmarkEnd w:id="26"/>
    <w:bookmarkStart w:id="27" w:name="fase-7-extração-de-dados"/>
    <w:p>
      <w:pPr>
        <w:pStyle w:val="Heading1"/>
      </w:pPr>
      <w:r>
        <w:t xml:space="preserve">FASE 7 — Extração de Dados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A7.1</w:t>
      </w:r>
      <w:r>
        <w:t xml:space="preserve"> </w:t>
      </w:r>
      <w:r>
        <w:t xml:space="preserve">Imersão no corpus [R1, R2] (§9.1)</w:t>
      </w:r>
    </w:p>
    <w:p>
      <w:pPr>
        <w:numPr>
          <w:ilvl w:val="1"/>
          <w:numId w:val="1035"/>
        </w:numPr>
        <w:pStyle w:val="Compact"/>
      </w:pPr>
      <w:r>
        <w:t xml:space="preserve">☐ A7.1.1 Leitura integral de todos os estudos incluídos (ao menos 1×)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A7.2</w:t>
      </w:r>
      <w:r>
        <w:t xml:space="preserve"> </w:t>
      </w:r>
      <w:r>
        <w:t xml:space="preserve">Pilotar a extração dupla [R1, R2] (§9.1) [RF37]</w:t>
      </w:r>
    </w:p>
    <w:p>
      <w:pPr>
        <w:numPr>
          <w:ilvl w:val="1"/>
          <w:numId w:val="1036"/>
        </w:numPr>
        <w:pStyle w:val="Compact"/>
      </w:pPr>
      <w:r>
        <w:t xml:space="preserve">☐ A7.2.1 Extrair ≥10% do corpus de forma independente (Blocos A–I)</w:t>
      </w:r>
    </w:p>
    <w:p>
      <w:pPr>
        <w:numPr>
          <w:ilvl w:val="1"/>
          <w:numId w:val="1036"/>
        </w:numPr>
        <w:pStyle w:val="Compact"/>
      </w:pPr>
      <w:r>
        <w:t xml:space="preserve">☐ A7.2.2 Comparar e calcular concordância; refinar definições de campos ambíguos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A7.3</w:t>
      </w:r>
      <w:r>
        <w:t xml:space="preserve"> </w:t>
      </w:r>
      <w:r>
        <w:t xml:space="preserve">Extrair Bloco A — identificação bibliográfica e controles [R1] (§9.2) [RF34]</w:t>
      </w:r>
    </w:p>
    <w:p>
      <w:pPr>
        <w:numPr>
          <w:ilvl w:val="1"/>
          <w:numId w:val="1037"/>
        </w:numPr>
        <w:pStyle w:val="Compact"/>
      </w:pPr>
      <w:r>
        <w:t xml:space="preserve">☐ A7.3.1 Preencher Q-O1 a Q-O17, incluindo extrator, verificador, data, DOI, idioma, status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A7.4</w:t>
      </w:r>
      <w:r>
        <w:t xml:space="preserve"> </w:t>
      </w:r>
      <w:r>
        <w:t xml:space="preserve">Extrair Blocos B–F [R1] (§9.3–9.7) [RF33, RF35]</w:t>
      </w:r>
    </w:p>
    <w:p>
      <w:pPr>
        <w:numPr>
          <w:ilvl w:val="1"/>
          <w:numId w:val="1038"/>
        </w:numPr>
        <w:pStyle w:val="Compact"/>
      </w:pPr>
      <w:r>
        <w:t xml:space="preserve">☐ A7.4.1 MAS (B) · XAI (C) · RAI/Trust (D) · Métricas (E) · Domínio (F)</w:t>
      </w:r>
    </w:p>
    <w:p>
      <w:pPr>
        <w:numPr>
          <w:ilvl w:val="1"/>
          <w:numId w:val="1038"/>
        </w:numPr>
        <w:pStyle w:val="Compact"/>
      </w:pPr>
      <w:r>
        <w:t xml:space="preserve">☐ A7.4.2 Inserir citação textual + página para cada valor substantivo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A7.5</w:t>
      </w:r>
      <w:r>
        <w:t xml:space="preserve"> </w:t>
      </w:r>
      <w:r>
        <w:t xml:space="preserve">Extrair Bloco G — lacunas e direções futuras [R1] (§9.8)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A7.6</w:t>
      </w:r>
      <w:r>
        <w:t xml:space="preserve"> </w:t>
      </w:r>
      <w:r>
        <w:t xml:space="preserve">Extrair Bloco H — metodologia do estudo [R1] (§9.9)</w:t>
      </w:r>
    </w:p>
    <w:p>
      <w:pPr>
        <w:numPr>
          <w:ilvl w:val="1"/>
          <w:numId w:val="1039"/>
        </w:numPr>
        <w:pStyle w:val="Compact"/>
      </w:pPr>
      <w:r>
        <w:t xml:space="preserve">☐ A7.6.1 Tipo de pesquisa, research type (Wieringa), fase do ciclo, amostra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A7.7</w:t>
      </w:r>
      <w:r>
        <w:t xml:space="preserve"> </w:t>
      </w:r>
      <w:r>
        <w:t xml:space="preserve">Atribuir vereditos H1/H2 [R1, conferido por R2] (§9.10) [RF36]</w:t>
      </w:r>
    </w:p>
    <w:p>
      <w:pPr>
        <w:numPr>
          <w:ilvl w:val="1"/>
          <w:numId w:val="1040"/>
        </w:numPr>
        <w:pStyle w:val="Compact"/>
      </w:pPr>
      <w:r>
        <w:t xml:space="preserve">☐ A7.7.1 Veredito com citação de suporte (Q-I1, Q-I2); direção de efeito (Q-I3)</w:t>
      </w:r>
    </w:p>
    <w:p>
      <w:pPr>
        <w:numPr>
          <w:ilvl w:val="1"/>
          <w:numId w:val="1040"/>
        </w:numPr>
        <w:pStyle w:val="Compact"/>
      </w:pPr>
      <w:r>
        <w:t xml:space="preserve">☐ A7.7.2 Arbitragem pelo R3 em divergências de veredito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A7.8</w:t>
      </w:r>
      <w:r>
        <w:t xml:space="preserve"> </w:t>
      </w:r>
      <w:r>
        <w:t xml:space="preserve">Verificação cruzada completa [R2] (§9.1) [RF37]</w:t>
      </w:r>
    </w:p>
    <w:p>
      <w:pPr>
        <w:numPr>
          <w:ilvl w:val="1"/>
          <w:numId w:val="1041"/>
        </w:numPr>
        <w:pStyle w:val="Compact"/>
      </w:pPr>
      <w:r>
        <w:t xml:space="preserve">☐ A7.8.1 Conferir todos os registros extraídos contra os PDFs</w:t>
      </w:r>
    </w:p>
    <w:p>
      <w:pPr>
        <w:numPr>
          <w:ilvl w:val="0"/>
          <w:numId w:val="103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A7.9</w:t>
      </w:r>
      <w:r>
        <w:t xml:space="preserve"> </w:t>
      </w:r>
      <w:r>
        <w:t xml:space="preserve">Extrair subcamada de RSLs (formulário reduzido: referências + Bloco G) [R1] (§6.3) [RF38]</w:t>
      </w:r>
    </w:p>
    <w:p>
      <w:pPr>
        <w:pStyle w:val="FirstParagraph"/>
      </w:pPr>
      <w:r>
        <w:rPr>
          <w:bCs/>
          <w:b/>
        </w:rPr>
        <w:t xml:space="preserve">[PORTÃO 7]</w:t>
      </w:r>
      <w:r>
        <w:t xml:space="preserve"> </w:t>
      </w:r>
      <w:r>
        <w:t xml:space="preserve">100% do corpus extraído com controles preenchidos; verificação cruzada concluída; vereditos H1/H2 com citação e dupla conferência.</w:t>
      </w:r>
    </w:p>
    <w:bookmarkEnd w:id="27"/>
    <w:bookmarkStart w:id="28" w:name="fase-8-codificação-e-síntese-temática"/>
    <w:p>
      <w:pPr>
        <w:pStyle w:val="Heading1"/>
      </w:pPr>
      <w:r>
        <w:t xml:space="preserve">FASE 8 — Codificação e Síntese Temática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A8.1</w:t>
      </w:r>
      <w:r>
        <w:t xml:space="preserve"> </w:t>
      </w:r>
      <w:r>
        <w:t xml:space="preserve">Preparar o codebook inicial (start list integrada) [R1] (§10.2) [RF39]</w:t>
      </w:r>
    </w:p>
    <w:p>
      <w:pPr>
        <w:numPr>
          <w:ilvl w:val="1"/>
          <w:numId w:val="1043"/>
        </w:numPr>
        <w:pStyle w:val="Compact"/>
      </w:pPr>
      <w:r>
        <w:t xml:space="preserve">☐ A8.1.1 Importar categorias dos Blocos B–I como códigos dedutivos</w:t>
      </w:r>
    </w:p>
    <w:p>
      <w:pPr>
        <w:numPr>
          <w:ilvl w:val="1"/>
          <w:numId w:val="1043"/>
        </w:numPr>
        <w:pStyle w:val="Compact"/>
      </w:pPr>
      <w:r>
        <w:t xml:space="preserve">☐ A8.1.2 Adicionar a taxonomia de limitações (Bloco G) como start list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A8.2</w:t>
      </w:r>
      <w:r>
        <w:t xml:space="preserve"> </w:t>
      </w:r>
      <w:r>
        <w:t xml:space="preserve">Codificar o corpus [R1] (§10.2, passo 2) [RF40]</w:t>
      </w:r>
    </w:p>
    <w:p>
      <w:pPr>
        <w:numPr>
          <w:ilvl w:val="1"/>
          <w:numId w:val="1044"/>
        </w:numPr>
        <w:pStyle w:val="Compact"/>
      </w:pPr>
      <w:r>
        <w:t xml:space="preserve">☐ A8.2.1 Aplicar códigos a segmentos textuais com origem (estudo + página)</w:t>
      </w:r>
    </w:p>
    <w:p>
      <w:pPr>
        <w:numPr>
          <w:ilvl w:val="1"/>
          <w:numId w:val="1044"/>
        </w:numPr>
        <w:pStyle w:val="Compact"/>
      </w:pPr>
      <w:r>
        <w:t xml:space="preserve">☐ A8.2.2 Criar códigos emergentes conforme surgirem; documentar definições</w:t>
      </w:r>
    </w:p>
    <w:p>
      <w:pPr>
        <w:numPr>
          <w:ilvl w:val="1"/>
          <w:numId w:val="1044"/>
        </w:numPr>
        <w:pStyle w:val="Compact"/>
      </w:pPr>
      <w:r>
        <w:t xml:space="preserve">☐ A8.2.3 Registrar no codebook toda fusão/renomeação/exclusão de código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A8.3</w:t>
      </w:r>
      <w:r>
        <w:t xml:space="preserve"> </w:t>
      </w:r>
      <w:r>
        <w:t xml:space="preserve">Codificação dupla em amostra [R1, R2] (§10.4) [RF41]</w:t>
      </w:r>
    </w:p>
    <w:p>
      <w:pPr>
        <w:numPr>
          <w:ilvl w:val="1"/>
          <w:numId w:val="1045"/>
        </w:numPr>
        <w:pStyle w:val="Compact"/>
      </w:pPr>
      <w:r>
        <w:t xml:space="preserve">☐ A8.3.1 Ambos codificam 15–20% do corpus de forma independente</w:t>
      </w:r>
    </w:p>
    <w:p>
      <w:pPr>
        <w:numPr>
          <w:ilvl w:val="1"/>
          <w:numId w:val="1045"/>
        </w:numPr>
        <w:pStyle w:val="Compact"/>
      </w:pPr>
      <w:r>
        <w:t xml:space="preserve">☐ A8.3.2 Calcular κ (nominal) ou α de Krippendorff; resolver divergências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A8.4</w:t>
      </w:r>
      <w:r>
        <w:t xml:space="preserve"> </w:t>
      </w:r>
      <w:r>
        <w:t xml:space="preserve">Traduzir códigos em temas [R1, R2 em sessão conjunta] (§10.2, passo 3) [RF42]</w:t>
      </w:r>
    </w:p>
    <w:p>
      <w:pPr>
        <w:numPr>
          <w:ilvl w:val="1"/>
          <w:numId w:val="1046"/>
        </w:numPr>
        <w:pStyle w:val="Compact"/>
      </w:pPr>
      <w:r>
        <w:t xml:space="preserve">☐ A8.4.1 Agrupar códigos; reduzir sobreposição; validar contra os dados originais</w:t>
      </w:r>
    </w:p>
    <w:p>
      <w:pPr>
        <w:numPr>
          <w:ilvl w:val="1"/>
          <w:numId w:val="1046"/>
        </w:numPr>
        <w:pStyle w:val="Compact"/>
      </w:pPr>
      <w:r>
        <w:t xml:space="preserve">☐ A8.4.2 Verificar coerência, consistência e distinção dos temas (meta: 15–20)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A8.5</w:t>
      </w:r>
      <w:r>
        <w:t xml:space="preserve"> </w:t>
      </w:r>
      <w:r>
        <w:t xml:space="preserve">Construir temas de ordem superior e o modelo [R1, OR valida] (§10.2, passo 4) [RF42]</w:t>
      </w:r>
    </w:p>
    <w:p>
      <w:pPr>
        <w:numPr>
          <w:ilvl w:val="1"/>
          <w:numId w:val="1047"/>
        </w:numPr>
        <w:pStyle w:val="Compact"/>
      </w:pPr>
      <w:r>
        <w:t xml:space="preserve">☐ A8.5.1 Comparação entre estudos (tradução recíproca); conexão com RQs e teoria</w:t>
      </w:r>
    </w:p>
    <w:p>
      <w:pPr>
        <w:numPr>
          <w:ilvl w:val="1"/>
          <w:numId w:val="1047"/>
        </w:numPr>
        <w:pStyle w:val="Compact"/>
      </w:pPr>
      <w:r>
        <w:t xml:space="preserve">☐ A8.5.2 Explorar heterogeneidade (outcomes, desenhos, populações)</w:t>
      </w:r>
    </w:p>
    <w:p>
      <w:pPr>
        <w:numPr>
          <w:ilvl w:val="1"/>
          <w:numId w:val="1047"/>
        </w:numPr>
        <w:pStyle w:val="Compact"/>
      </w:pPr>
      <w:r>
        <w:t xml:space="preserve">☐ A8.5.3 Produzir mapa temático/taxonomia final (meta: 5–7 temas superiores)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A8.6</w:t>
      </w:r>
      <w:r>
        <w:t xml:space="preserve"> </w:t>
      </w:r>
      <w:r>
        <w:t xml:space="preserve">Consolidar o audit trail [R1] (§10.4) [RF43]</w:t>
      </w:r>
    </w:p>
    <w:p>
      <w:pPr>
        <w:numPr>
          <w:ilvl w:val="1"/>
          <w:numId w:val="1048"/>
        </w:numPr>
        <w:pStyle w:val="Compact"/>
      </w:pPr>
      <w:r>
        <w:t xml:space="preserve">☐ A8.6.1 Exportar o log de codificação do Atlas.TI para o pacote de replicação</w:t>
      </w:r>
    </w:p>
    <w:p>
      <w:pPr>
        <w:pStyle w:val="FirstParagraph"/>
      </w:pPr>
      <w:r>
        <w:rPr>
          <w:bCs/>
          <w:b/>
        </w:rPr>
        <w:t xml:space="preserve">[PORTÃO 8]</w:t>
      </w:r>
      <w:r>
        <w:t xml:space="preserve"> </w:t>
      </w:r>
      <w:r>
        <w:t xml:space="preserve">Codebook versionado; κ/α da amostra ≥ 0,6; mapa temático validado; audit trail completo.</w:t>
      </w:r>
    </w:p>
    <w:bookmarkEnd w:id="28"/>
    <w:bookmarkStart w:id="29" w:name="fase-9-análises"/>
    <w:p>
      <w:pPr>
        <w:pStyle w:val="Heading1"/>
      </w:pPr>
      <w:r>
        <w:t xml:space="preserve">FASE 9 — Análises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A9.1</w:t>
      </w:r>
      <w:r>
        <w:t xml:space="preserve"> </w:t>
      </w:r>
      <w:r>
        <w:t xml:space="preserve">Executar a bibliometria [R1] (§10.1) [RF44]</w:t>
      </w:r>
    </w:p>
    <w:p>
      <w:pPr>
        <w:numPr>
          <w:ilvl w:val="1"/>
          <w:numId w:val="1050"/>
        </w:numPr>
        <w:pStyle w:val="Compact"/>
      </w:pPr>
      <w:r>
        <w:t xml:space="preserve">☐ A9.1.1 Distribuições (ano, base, veículo, método, research type, afiliação, citações)</w:t>
      </w:r>
    </w:p>
    <w:p>
      <w:pPr>
        <w:numPr>
          <w:ilvl w:val="1"/>
          <w:numId w:val="1050"/>
        </w:numPr>
        <w:pStyle w:val="Compact"/>
      </w:pPr>
      <w:r>
        <w:t xml:space="preserve">☐ A9.1.2 Nuvens de palavras; redes de coocorrência, cocitação e coautoria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A9.2</w:t>
      </w:r>
      <w:r>
        <w:t xml:space="preserve"> </w:t>
      </w:r>
      <w:r>
        <w:t xml:space="preserve">Sintetizar as hipóteses [R1] (§3.3, §10.1-D) [RF45]</w:t>
      </w:r>
    </w:p>
    <w:p>
      <w:pPr>
        <w:numPr>
          <w:ilvl w:val="1"/>
          <w:numId w:val="1051"/>
        </w:numPr>
        <w:pStyle w:val="Compact"/>
      </w:pPr>
      <w:r>
        <w:t xml:space="preserve">☐ A9.2.1 Distribuição de vereditos H1/H2 ponderada pelo score de qualidade</w:t>
      </w:r>
    </w:p>
    <w:p>
      <w:pPr>
        <w:numPr>
          <w:ilvl w:val="1"/>
          <w:numId w:val="1051"/>
        </w:numPr>
        <w:pStyle w:val="Compact"/>
      </w:pPr>
      <w:r>
        <w:t xml:space="preserve">☐ A9.2.2 Reportar vereditos de estudos com ressalva separadamente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A9.3</w:t>
      </w:r>
      <w:r>
        <w:t xml:space="preserve"> </w:t>
      </w:r>
      <w:r>
        <w:t xml:space="preserve">Executar a análise de sensibilidade [R1] (§10.3) [RF46]</w:t>
      </w:r>
    </w:p>
    <w:p>
      <w:pPr>
        <w:numPr>
          <w:ilvl w:val="1"/>
          <w:numId w:val="1052"/>
        </w:numPr>
        <w:pStyle w:val="Compact"/>
      </w:pPr>
      <w:r>
        <w:t xml:space="preserve">☐ A9.3.1 Repetir análises por: qualidade (≥7,0), tipo de sistema (LLM vs. clássico), tipo de estudo, domínio, período (2016–2020 vs. 2021–2026), canal (com/sem pré-prints)</w:t>
      </w:r>
    </w:p>
    <w:p>
      <w:pPr>
        <w:numPr>
          <w:ilvl w:val="1"/>
          <w:numId w:val="1052"/>
        </w:numPr>
        <w:pStyle w:val="Compact"/>
      </w:pPr>
      <w:r>
        <w:t xml:space="preserve">☐ A9.3.2 Documentar onde os achados se mantêm ou mudam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A9.4</w:t>
      </w:r>
      <w:r>
        <w:t xml:space="preserve"> </w:t>
      </w:r>
      <w:r>
        <w:t xml:space="preserve">Avaliar viés de publicação [R1] (§10.5) [RF47]</w:t>
      </w:r>
    </w:p>
    <w:p>
      <w:pPr>
        <w:numPr>
          <w:ilvl w:val="1"/>
          <w:numId w:val="1053"/>
        </w:numPr>
        <w:pStyle w:val="Compact"/>
      </w:pPr>
      <w:r>
        <w:t xml:space="preserve">☐ A9.4.1 Comparar resultados por canal; analisar concentração de autoria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A9.5</w:t>
      </w:r>
      <w:r>
        <w:t xml:space="preserve"> </w:t>
      </w:r>
      <w:r>
        <w:t xml:space="preserve">Decidir sobre meta-análise [R1, OR] (§10.6)</w:t>
      </w:r>
    </w:p>
    <w:p>
      <w:pPr>
        <w:numPr>
          <w:ilvl w:val="1"/>
          <w:numId w:val="1054"/>
        </w:numPr>
        <w:pStyle w:val="Compact"/>
      </w:pPr>
      <w:r>
        <w:t xml:space="preserve">☐ A9.5.1 Verificar comparabilidade de desfechos; se inviável, adotar effect direction plot</w:t>
      </w:r>
    </w:p>
    <w:p>
      <w:pPr>
        <w:pStyle w:val="FirstParagraph"/>
      </w:pPr>
      <w:r>
        <w:rPr>
          <w:bCs/>
          <w:b/>
        </w:rPr>
        <w:t xml:space="preserve">[PORTÃO 9]</w:t>
      </w:r>
      <w:r>
        <w:t xml:space="preserve"> </w:t>
      </w:r>
      <w:r>
        <w:t xml:space="preserve">Todas as análises executadas e documentadas; resultados de sensibilidade e viés prontos para o relato.</w:t>
      </w:r>
    </w:p>
    <w:bookmarkEnd w:id="29"/>
    <w:bookmarkStart w:id="30" w:name="fase-10-relato"/>
    <w:p>
      <w:pPr>
        <w:pStyle w:val="Heading1"/>
      </w:pPr>
      <w:r>
        <w:t xml:space="preserve">FASE 10 — Relato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A10.1</w:t>
      </w:r>
      <w:r>
        <w:t xml:space="preserve"> </w:t>
      </w:r>
      <w:r>
        <w:t xml:space="preserve">Redigir o relato [R1] (§14.1) [RF48, RF49]</w:t>
      </w:r>
    </w:p>
    <w:p>
      <w:pPr>
        <w:numPr>
          <w:ilvl w:val="1"/>
          <w:numId w:val="1056"/>
        </w:numPr>
        <w:pStyle w:val="Compact"/>
      </w:pPr>
      <w:r>
        <w:t xml:space="preserve">☐ A10.1.1 Resumo estruturado (contexto, objetivos, métodos, resultados, conclusões)</w:t>
      </w:r>
    </w:p>
    <w:p>
      <w:pPr>
        <w:numPr>
          <w:ilvl w:val="1"/>
          <w:numId w:val="1056"/>
        </w:numPr>
        <w:pStyle w:val="Compact"/>
      </w:pPr>
      <w:r>
        <w:t xml:space="preserve">☐ A10.1.2 Introdução/Background; Questões de pesquisa (com classificação Easterbrook)</w:t>
      </w:r>
    </w:p>
    <w:p>
      <w:pPr>
        <w:numPr>
          <w:ilvl w:val="1"/>
          <w:numId w:val="1056"/>
        </w:numPr>
        <w:pStyle w:val="Compact"/>
      </w:pPr>
      <w:r>
        <w:t xml:space="preserve">☐ A10.1.3 Método (protocolo +</w:t>
      </w:r>
      <w:r>
        <w:t xml:space="preserve"> </w:t>
      </w:r>
      <w:r>
        <w:rPr>
          <w:bCs/>
          <w:b/>
        </w:rPr>
        <w:t xml:space="preserve">seção de desvios</w:t>
      </w:r>
      <w:r>
        <w:t xml:space="preserve"> </w:t>
      </w:r>
      <w:r>
        <w:t xml:space="preserve">— transplantar o Log §15)</w:t>
      </w:r>
    </w:p>
    <w:p>
      <w:pPr>
        <w:numPr>
          <w:ilvl w:val="1"/>
          <w:numId w:val="1056"/>
        </w:numPr>
        <w:pStyle w:val="Compact"/>
      </w:pPr>
      <w:r>
        <w:t xml:space="preserve">☐ A10.1.4 Estudos incluídos/excluídos + fluxograma PRISMA + lista de excluídos (apêndice)</w:t>
      </w:r>
    </w:p>
    <w:p>
      <w:pPr>
        <w:numPr>
          <w:ilvl w:val="1"/>
          <w:numId w:val="1056"/>
        </w:numPr>
        <w:pStyle w:val="Compact"/>
      </w:pPr>
      <w:r>
        <w:t xml:space="preserve">☐ A10.1.5 Resultados (bibliometria, síntese temática com citações, verificação de H1/H2)</w:t>
      </w:r>
    </w:p>
    <w:p>
      <w:pPr>
        <w:numPr>
          <w:ilvl w:val="1"/>
          <w:numId w:val="1056"/>
        </w:numPr>
        <w:pStyle w:val="Compact"/>
      </w:pPr>
      <w:r>
        <w:t xml:space="preserve">☐ A10.1.6 Discussão (forças/fraquezas da evidência, implicações para pesquisa e prática)</w:t>
      </w:r>
    </w:p>
    <w:p>
      <w:pPr>
        <w:numPr>
          <w:ilvl w:val="1"/>
          <w:numId w:val="1056"/>
        </w:numPr>
        <w:pStyle w:val="Compact"/>
      </w:pPr>
      <w:r>
        <w:t xml:space="preserve">☐ A10.1.7 Conclusões (recomendações, limitações, agenda futura — alimentada pelo Bloco G)</w:t>
      </w:r>
    </w:p>
    <w:p>
      <w:pPr>
        <w:numPr>
          <w:ilvl w:val="1"/>
          <w:numId w:val="1056"/>
        </w:numPr>
        <w:pStyle w:val="Compact"/>
      </w:pPr>
      <w:r>
        <w:t xml:space="preserve">☐ A10.1.8 Apêndices (formulário, checklist QA, planilha de vereditos, codebook)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A10.2</w:t>
      </w:r>
      <w:r>
        <w:t xml:space="preserve"> </w:t>
      </w:r>
      <w:r>
        <w:t xml:space="preserve">Incluir as ameaças à validade atualizadas [R1] (§12)</w:t>
      </w:r>
    </w:p>
    <w:p>
      <w:pPr>
        <w:numPr>
          <w:ilvl w:val="1"/>
          <w:numId w:val="1057"/>
        </w:numPr>
        <w:pStyle w:val="Compact"/>
      </w:pPr>
      <w:r>
        <w:t xml:space="preserve">☐ A10.2.1 Revisar §12 à luz de ameaças reais observadas na execução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A10.3</w:t>
      </w:r>
      <w:r>
        <w:t xml:space="preserve"> </w:t>
      </w:r>
      <w:r>
        <w:t xml:space="preserve">Incluir a declaração de uso de GenAI [R1] (§11) [RF59]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A10.4</w:t>
      </w:r>
      <w:r>
        <w:t xml:space="preserve"> </w:t>
      </w:r>
      <w:r>
        <w:t xml:space="preserve">Preencher e anexar checklists PRISMA 2020 e SEGRESS [R1] (§14.1) [RF50]</w:t>
      </w:r>
    </w:p>
    <w:p>
      <w:pPr>
        <w:numPr>
          <w:ilvl w:val="0"/>
          <w:numId w:val="105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A10.5</w:t>
      </w:r>
      <w:r>
        <w:t xml:space="preserve"> </w:t>
      </w:r>
      <w:r>
        <w:t xml:space="preserve">Revisão interna e externa [R2, OR]</w:t>
      </w:r>
    </w:p>
    <w:p>
      <w:pPr>
        <w:numPr>
          <w:ilvl w:val="1"/>
          <w:numId w:val="1058"/>
        </w:numPr>
        <w:pStyle w:val="Compact"/>
      </w:pPr>
      <w:r>
        <w:t xml:space="preserve">☐ A10.5.1 R2 revisa coerência entre método executado e método relatado</w:t>
      </w:r>
    </w:p>
    <w:p>
      <w:pPr>
        <w:numPr>
          <w:ilvl w:val="1"/>
          <w:numId w:val="1058"/>
        </w:numPr>
        <w:pStyle w:val="Compact"/>
      </w:pPr>
      <w:r>
        <w:t xml:space="preserve">☐ A10.5.2 OR valida contribuição de doutorado e Lacunas (RQ5)</w:t>
      </w:r>
    </w:p>
    <w:p>
      <w:pPr>
        <w:pStyle w:val="FirstParagraph"/>
      </w:pPr>
      <w:r>
        <w:rPr>
          <w:bCs/>
          <w:b/>
        </w:rPr>
        <w:t xml:space="preserve">[PORTÃO 10]</w:t>
      </w:r>
      <w:r>
        <w:t xml:space="preserve"> </w:t>
      </w:r>
      <w:r>
        <w:t xml:space="preserve">Relato completo, com desvios, ameaças, checklists e declaração de GenAI; validado pelo orientador.</w:t>
      </w:r>
    </w:p>
    <w:bookmarkEnd w:id="30"/>
    <w:bookmarkStart w:id="31" w:name="fase-11-replicação-e-disseminação"/>
    <w:p>
      <w:pPr>
        <w:pStyle w:val="Heading1"/>
      </w:pPr>
      <w:r>
        <w:t xml:space="preserve">FASE 11 — Replicação e Disseminação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A11.1</w:t>
      </w:r>
      <w:r>
        <w:t xml:space="preserve"> </w:t>
      </w:r>
      <w:r>
        <w:t xml:space="preserve">Consolidar o pacote de replicação [R1] (§14.3) [RF05, RNF03]</w:t>
      </w:r>
    </w:p>
    <w:p>
      <w:pPr>
        <w:numPr>
          <w:ilvl w:val="1"/>
          <w:numId w:val="1060"/>
        </w:numPr>
        <w:pStyle w:val="Compact"/>
      </w:pPr>
      <w:r>
        <w:t xml:space="preserve">☐ A11.1.1 Exportar: protocolo + versões, strings por base com datas, raw results, lista de excluídos com razão, extrações (A–I), QA com κ, codebook + log de codificação, log de desvios</w:t>
      </w:r>
    </w:p>
    <w:p>
      <w:pPr>
        <w:numPr>
          <w:ilvl w:val="1"/>
          <w:numId w:val="1060"/>
        </w:numPr>
        <w:pStyle w:val="Compact"/>
      </w:pPr>
      <w:r>
        <w:t xml:space="preserve">☐ A11.1.2 Depositar no OSF com versão congelada e DOI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A11.2</w:t>
      </w:r>
      <w:r>
        <w:t xml:space="preserve"> </w:t>
      </w:r>
      <w:r>
        <w:t xml:space="preserve">Preparar a submissão [R1] (§14.2)</w:t>
      </w:r>
    </w:p>
    <w:p>
      <w:pPr>
        <w:numPr>
          <w:ilvl w:val="1"/>
          <w:numId w:val="1061"/>
        </w:numPr>
        <w:pStyle w:val="Compact"/>
      </w:pPr>
      <w:r>
        <w:t xml:space="preserve">☐ A11.2.1 Formatar para o periódico-alvo (ex.: IST, JAAMAS, AI Review, ESWA)</w:t>
      </w:r>
    </w:p>
    <w:p>
      <w:pPr>
        <w:numPr>
          <w:ilvl w:val="1"/>
          <w:numId w:val="1061"/>
        </w:numPr>
        <w:pStyle w:val="Compact"/>
      </w:pPr>
      <w:r>
        <w:t xml:space="preserve">☐ A11.2.2 Submeter; incorporar revisões dos pareceristas</w:t>
      </w:r>
    </w:p>
    <w:p>
      <w:pPr>
        <w:numPr>
          <w:ilvl w:val="0"/>
          <w:numId w:val="105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A11.3</w:t>
      </w:r>
      <w:r>
        <w:t xml:space="preserve"> </w:t>
      </w:r>
      <w:r>
        <w:t xml:space="preserve">Difundir para praticantes [R1] (§14.2)</w:t>
      </w:r>
    </w:p>
    <w:p>
      <w:pPr>
        <w:numPr>
          <w:ilvl w:val="1"/>
          <w:numId w:val="1062"/>
        </w:numPr>
        <w:pStyle w:val="Compact"/>
      </w:pPr>
      <w:r>
        <w:t xml:space="preserve">☐ A11.3.1 Resumo executivo; apresentação em seminários/eventos nacionais</w:t>
      </w:r>
    </w:p>
    <w:p>
      <w:pPr>
        <w:pStyle w:val="FirstParagraph"/>
      </w:pPr>
      <w:r>
        <w:rPr>
          <w:bCs/>
          <w:b/>
        </w:rPr>
        <w:t xml:space="preserve">[PORTÃO 11]</w:t>
      </w:r>
      <w:r>
        <w:t xml:space="preserve"> </w:t>
      </w:r>
      <w:r>
        <w:t xml:space="preserve">Pacote de replicação público com DOI; artigo submetido.</w:t>
      </w:r>
    </w:p>
    <w:bookmarkEnd w:id="31"/>
    <w:bookmarkStart w:id="32" w:name="Xa71d13369517a78dc4fc6ca444ad3398cc13918"/>
    <w:p>
      <w:pPr>
        <w:pStyle w:val="Heading1"/>
      </w:pPr>
      <w:r>
        <w:t xml:space="preserve">Atividades Transversais (contínuas, todas as fases)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T1</w:t>
      </w:r>
      <w:r>
        <w:t xml:space="preserve"> </w:t>
      </w:r>
      <w:r>
        <w:t xml:space="preserve">Manter o Log de Desvios [R1] (§15) [RF03] —</w:t>
      </w:r>
      <w:r>
        <w:t xml:space="preserve"> </w:t>
      </w:r>
      <w:r>
        <w:rPr>
          <w:iCs/>
          <w:i/>
        </w:rPr>
        <w:t xml:space="preserve">a cada desvio, na hora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T2</w:t>
      </w:r>
      <w:r>
        <w:t xml:space="preserve"> </w:t>
      </w:r>
      <w:r>
        <w:t xml:space="preserve">Versionar alterações de protocolo, critérios, string e codebook [R1] (§5.6) [RF02, RF11, RF39]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T3</w:t>
      </w:r>
      <w:r>
        <w:t xml:space="preserve"> </w:t>
      </w:r>
      <w:r>
        <w:t xml:space="preserve">Registrar decisões de divergência no sistema (sem memória informal) [R1, R2, R3] [RF26, RF32, RF36]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T4</w:t>
      </w:r>
      <w:r>
        <w:t xml:space="preserve"> </w:t>
      </w:r>
      <w:r>
        <w:t xml:space="preserve">Backup e integridade dos dados [R1] [RNF12, RNF02]</w:t>
      </w:r>
    </w:p>
    <w:p>
      <w:pPr>
        <w:numPr>
          <w:ilvl w:val="0"/>
          <w:numId w:val="106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T5</w:t>
      </w:r>
      <w:r>
        <w:t xml:space="preserve"> </w:t>
      </w:r>
      <w:r>
        <w:t xml:space="preserve">Acompanhar o cronograma e registrar atrasos no Log de Desvios [R1] [RF04]</w:t>
      </w:r>
    </w:p>
    <w:bookmarkEnd w:id="32"/>
    <w:bookmarkStart w:id="33" w:name="resumo-das-fases-e-portões"/>
    <w:p>
      <w:pPr>
        <w:pStyle w:val="Heading1"/>
      </w:pPr>
      <w:r>
        <w:t xml:space="preserve">Resumo das Fases e Portões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650"/>
        <w:gridCol w:w="650"/>
        <w:gridCol w:w="2386"/>
        <w:gridCol w:w="3037"/>
        <w:gridCol w:w="1193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20"/>
              </w:rPr>
              <w:t xml:space="preserve">Fase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Nome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Atividades principais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Portão (critério de saída)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RFs-chave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Preparação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Protocolo congelado, OSF, glossário, RQs, hipóteses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Registro público concluído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RF01–RF10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Busca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Test-set, execução nas 6 bases, busca manual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Test-set 100%; raw arquivado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RF13–RF18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Deduplicação + Piloto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Duplicados, múltiplas versões, pilotagem CI/CE e QA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κ ≥ 0,6 na piloto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RF20–RF25, RF29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Triagem F1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Votação independente, matriz A–F, conflitos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100% votado; κ registrado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RF22–RF26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Triagem F2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PDFs, leitura completa, corpus final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Corpus definido; PRISMA pronto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RF24, RF27, RF38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QA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Dupla avaliação, scores, cortes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100% avaliado; κ ponderado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RF29–RF32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Snowballing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Backward/forward, ≤2 rodadas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Critério de parada aplicado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RF19, RF28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Extração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Imersão, Blocos A–I, vereditos, verificação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100% extraído e conferido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RF33–RF37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Codificação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Codebook, dupla em amostra, temas, modelo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κ/α ≥ 0,6; mapa validado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RF39–RF43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Análises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Bibliometria, hipóteses, sensibilidade, viés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Análises documentadas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RF44–RF47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Relato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Redação, ameaças, checklists, GenAI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Relato validado pelo 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RF48–RF50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Replicação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Pacote OSF, submissão, difusão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DOI público; artigo submetido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RF05, RNF03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Dependências críticas:</w:t>
      </w:r>
      <w:r>
        <w:t xml:space="preserve"> </w:t>
      </w:r>
      <w:r>
        <w:t xml:space="preserve">F2 → F3 → F4 → F5 são sequenciais rígidas (gate a gate). Fase 6 depende do corpus da Fase 4, mas pode rodar em paralelo ao início da Fase 5. Fases 8 e 9 podem parcialmente sobrepor (bibliometria não depende da codificação).</w:t>
      </w:r>
    </w:p>
    <w:bookmarkEnd w:id="33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eastAsia="Calibri" w:cs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 w:cs="Calibri"/>
      <w:color w:val="1F3A5F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eastAsia="Calibri" w:cs="Calibri"/>
      <w:b/>
      <w:bCs/>
      <w:color w:val="1F3A5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Atividades para Executar a RSL</dc:title>
  <dc:creator/>
  <cp:keywords/>
  <dcterms:created xsi:type="dcterms:W3CDTF">2026-09-29T18:31:38Z</dcterms:created>
  <dcterms:modified xsi:type="dcterms:W3CDTF">2026-09-29T18:31:38Z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Documento 3 de 4</vt:lpwstr>
  </property>
</Properties>
</file>