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PROTOCOLO DE REVISÃO SISTEMÁTICA DA LITERATURA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5597"/>
          <w:sz w:val="30"/>
          <w:szCs w:val="30"/>
        </w:rPr>
        <w:t xml:space="preserve">XAI for Multi-Agent Systems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Explicabilidade, Responsabilidade e Confiabilidade em Sistemas Multiagentes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Autor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Wladimir Farias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Versão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4.0 (revisada — alinhamento às diretrizes GUEST para uso de IA generativa)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Data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Tipo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Protocolo de Revisão Sistemática da Literatura (RSL)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Nível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Doutorado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5"/>
        <w:gridCol w:w="6276"/>
        <w:gridCol w:w="939"/>
        <w:gridCol w:w="1108"/>
      </w:tblGrid>
      <w:tr>
        <w:trPr>
          <w:cantSplit/>
          <w:tblHeader/>
        </w:trPr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6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11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25/03/2026</w:t>
            </w:r>
          </w:p>
        </w:tc>
        <w:tc>
          <w:tcPr>
            <w:tcW w:type="dxa" w:w="6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Criação do documento</w:t>
            </w:r>
          </w:p>
        </w:tc>
        <w:tc>
          <w:tcPr>
            <w:tcW w:type="dxa" w:w="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1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W. Farias</w:t>
            </w:r>
          </w:p>
        </w:tc>
      </w:tr>
      <w:tr>
        <w:trPr>
          <w:cantSplit/>
        </w:trPr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29/03/2026</w:t>
            </w:r>
          </w:p>
        </w:tc>
        <w:tc>
          <w:tcPr>
            <w:tcW w:type="dxa" w:w="6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Resultados da busca RSL (população e intervenção)</w:t>
            </w:r>
          </w:p>
        </w:tc>
        <w:tc>
          <w:tcPr>
            <w:tcW w:type="dxa" w:w="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1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W. Farias</w:t>
            </w:r>
          </w:p>
        </w:tc>
      </w:tr>
      <w:tr>
        <w:trPr>
          <w:cantSplit/>
        </w:trPr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08/04/2026</w:t>
            </w:r>
          </w:p>
        </w:tc>
        <w:tc>
          <w:tcPr>
            <w:tcW w:type="dxa" w:w="6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Inclusão das hipóteses</w:t>
            </w:r>
          </w:p>
        </w:tc>
        <w:tc>
          <w:tcPr>
            <w:tcW w:type="dxa" w:w="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1.2</w:t>
            </w:r>
          </w:p>
        </w:tc>
        <w:tc>
          <w:tcPr>
            <w:tcW w:type="dxa" w:w="11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W. Farias</w:t>
            </w:r>
          </w:p>
        </w:tc>
      </w:tr>
      <w:tr>
        <w:trPr>
          <w:cantSplit/>
        </w:trPr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19/04/2026</w:t>
            </w:r>
          </w:p>
        </w:tc>
        <w:tc>
          <w:tcPr>
            <w:tcW w:type="dxa" w:w="6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Inclusão do protocolo de coleta de dados</w:t>
            </w:r>
          </w:p>
        </w:tc>
        <w:tc>
          <w:tcPr>
            <w:tcW w:type="dxa" w:w="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1.3</w:t>
            </w:r>
          </w:p>
        </w:tc>
        <w:tc>
          <w:tcPr>
            <w:tcW w:type="dxa" w:w="11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W. Farias</w:t>
            </w:r>
          </w:p>
        </w:tc>
      </w:tr>
      <w:tr>
        <w:trPr>
          <w:cantSplit/>
        </w:trPr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15/05/2026</w:t>
            </w:r>
          </w:p>
        </w:tc>
        <w:tc>
          <w:tcPr>
            <w:tcW w:type="dxa" w:w="6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Revisão completa: PICOC, string de busca, CI/CE, CASP × Zhou, formulário de extração</w:t>
            </w:r>
          </w:p>
        </w:tc>
        <w:tc>
          <w:tcPr>
            <w:tcW w:type="dxa" w:w="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2.0</w:t>
            </w:r>
          </w:p>
        </w:tc>
        <w:tc>
          <w:tcPr>
            <w:tcW w:type="dxa" w:w="11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W. Farias</w:t>
            </w:r>
          </w:p>
        </w:tc>
      </w:tr>
      <w:tr>
        <w:trPr>
          <w:cantSplit/>
        </w:trPr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07/2026</w:t>
            </w:r>
          </w:p>
        </w:tc>
        <w:tc>
          <w:tcPr>
            <w:tcW w:type="dxa" w:w="6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Consolidação v3.0: correção de numeração e referências; hipótese fraca e estratégia de verificação; classificação Easterbrook das RQs; glossário operacional; string validada por test-set; pilotagem e regras de decisão de triagem; política para arXiv/duplicados/RSLs; propósitos P1–P5 e regra para itens N/A no QA; Blocos H e I de extração; síntese temática nos 5 passos (Cruzes &amp; Dybå) com confiabilidade de codificação; análise de sensibilidade; seções de uso de GenAI, relato/disseminação, log de desvios e cronograma</w:t>
            </w:r>
          </w:p>
        </w:tc>
        <w:tc>
          <w:tcPr>
            <w:tcW w:type="dxa" w:w="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3.0</w:t>
            </w:r>
          </w:p>
        </w:tc>
        <w:tc>
          <w:tcPr>
            <w:tcW w:type="dxa" w:w="11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W. Farias</w:t>
            </w:r>
          </w:p>
        </w:tc>
      </w:tr>
      <w:tr>
        <w:trPr>
          <w:cantSplit/>
        </w:trPr>
        <w:tc>
          <w:tcPr>
            <w:tcW w:type="dxa" w:w="13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29/09/2026</w:t>
            </w:r>
          </w:p>
        </w:tc>
        <w:tc>
          <w:tcPr>
            <w:tcW w:type="dxa" w:w="6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Versão 4.0: alinhamento às diretrizes GUEST (Kitchenham et al., 2026) — Seção 11 reestruturada (papel </w:t>
            </w:r>
            <w:r>
              <w:rPr>
                <w:i/>
                <w:iCs/>
                <w:sz w:val="19"/>
                <w:szCs w:val="19"/>
              </w:rPr>
              <w:t xml:space="preserve">Reviewer</w:t>
            </w:r>
            <w:r>
              <w:rPr>
                <w:sz w:val="19"/>
                <w:szCs w:val="19"/>
              </w:rPr>
              <w:t xml:space="preserve">, princípios G1–G6, usos permitidos/proibidos, log de uso de GenAI, gatilho de ampliação do uso); nova ameaça à validade (uso de GenAI); campo Q-O18 no Bloco A; pacote de replicação e relato atualizados; referência GUEST completada; referências-base do glossário (Seção 2 e Seção 16.1); </w:t>
            </w:r>
            <w:r>
              <w:rPr>
                <w:b/>
                <w:bCs/>
                <w:sz w:val="19"/>
                <w:szCs w:val="19"/>
              </w:rPr>
              <w:t xml:space="preserve">Apêndice B — Checklist GUEST</w:t>
            </w:r>
          </w:p>
        </w:tc>
        <w:tc>
          <w:tcPr>
            <w:tcW w:type="dxa" w:w="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4.0</w:t>
            </w:r>
          </w:p>
        </w:tc>
        <w:tc>
          <w:tcPr>
            <w:tcW w:type="dxa" w:w="11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W. Farias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1. Introdução</w:t>
      </w:r>
    </w:p>
    <w:p>
      <w:pPr>
        <w:spacing w:after="120" w:line="276"/>
      </w:pPr>
      <w:r>
        <w:t xml:space="preserve">Este documento apresenta o protocolo para a realização de uma Revisão Sistemática da Literatura (RSL) conduzida de forma rigorosa, seguindo as diretrizes de </w:t>
      </w:r>
      <w:r>
        <w:rPr>
          <w:b/>
          <w:bCs/>
        </w:rPr>
        <w:t xml:space="preserve">Kitchenham &amp; Charters (2007)</w:t>
      </w:r>
      <w:r>
        <w:t xml:space="preserve"> e o guia de relato </w:t>
      </w:r>
      <w:r>
        <w:rPr>
          <w:b/>
          <w:bCs/>
        </w:rPr>
        <w:t xml:space="preserve">SEGRESS</w:t>
      </w:r>
      <w:r>
        <w:t xml:space="preserve"> (Kitchenham et al., 2023).</w:t>
      </w:r>
    </w:p>
    <w:p>
      <w:pPr>
        <w:spacing w:after="120" w:line="276"/>
      </w:pPr>
      <w:r>
        <w:t xml:space="preserve">O objetivo é identificar, analisar, sintetizar, identificar lacunas e verificar tendências do conhecimento existente sobre sistemas baseados em IA (AI-based Systems) que utilizam Agentes Inteligentes (Agentic), Sistemas Multiagentes (MAS) e Ecossistemas Agênticos, no que diz respeito a como esses sistemas devem ser planejados, desenvolvidos e gerenciados de forma responsável, confiável e explicável.</w:t>
      </w:r>
    </w:p>
    <w:p>
      <w:pPr>
        <w:spacing w:after="120" w:line="276"/>
      </w:pPr>
      <w:r>
        <w:t xml:space="preserve">O fenômeno é estudado sob o prisma da Inteligência Artificial Explicável (XAI), da Inteligência Artificial Responsável (RAI) e da Confiabilidade (Trustworthiness), sem se limitar exclusivamente a essas dimensões.</w:t>
      </w:r>
    </w:p>
    <w:p>
      <w:pPr>
        <w:pStyle w:val="Heading1"/>
      </w:pPr>
      <w:r>
        <w:t xml:space="preserve">2. Glossário e Definições Operacionais</w:t>
      </w:r>
    </w:p>
    <w:p>
      <w:pPr>
        <w:spacing w:after="120" w:line="276"/>
      </w:pPr>
      <w:r>
        <w:t xml:space="preserve">As definições abaixo são </w:t>
      </w:r>
      <w:r>
        <w:rPr>
          <w:b/>
          <w:bCs/>
        </w:rPr>
        <w:t xml:space="preserve">operacionais</w:t>
      </w:r>
      <w:r>
        <w:t xml:space="preserve"> e orientam a aplicação consistente dos critérios de inclusão/exclusão (Seção 6), da extração (Seção 9) e da codificação (Seção 10). Cada termo é ancorado em fontes da literatura (coluna </w:t>
      </w:r>
      <w:r>
        <w:rPr>
          <w:i/>
          <w:iCs/>
        </w:rPr>
        <w:t xml:space="preserve">Referências-base</w:t>
      </w:r>
      <w:r>
        <w:t xml:space="preserve">; referências completas na Seção 16.1); as definições são </w:t>
      </w:r>
      <w:r>
        <w:rPr>
          <w:b/>
          <w:bCs/>
        </w:rPr>
        <w:t xml:space="preserve">adaptações operacionais</w:t>
      </w:r>
      <w:r>
        <w:t xml:space="preserve"> dessas fontes, e não citações literais.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2"/>
        <w:gridCol w:w="3879"/>
        <w:gridCol w:w="3667"/>
      </w:tblGrid>
      <w:tr>
        <w:trPr>
          <w:cantSplit/>
          <w:tblHeader/>
        </w:trPr>
        <w:tc>
          <w:tcPr>
            <w:tcW w:type="dxa" w:w="20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3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 operacional adotada neste protocolo</w:t>
            </w:r>
          </w:p>
        </w:tc>
        <w:tc>
          <w:tcPr>
            <w:tcW w:type="dxa" w:w="36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Referências-base</w:t>
            </w:r>
          </w:p>
        </w:tc>
      </w:tr>
      <w:tr>
        <w:trPr>
          <w:cantSplit/>
        </w:trPr>
        <w:tc>
          <w:tcPr>
            <w:tcW w:type="dxa" w:w="20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MAS (Sistema Multiagente)</w:t>
            </w:r>
          </w:p>
        </w:tc>
        <w:tc>
          <w:tcPr>
            <w:tcW w:type="dxa" w:w="3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Sistema composto por </w:t>
            </w:r>
            <w:r>
              <w:rPr>
                <w:b/>
                <w:bCs/>
                <w:sz w:val="19"/>
                <w:szCs w:val="19"/>
              </w:rPr>
              <w:t xml:space="preserve">≥ 2 agentes</w:t>
            </w:r>
            <w:r>
              <w:rPr>
                <w:sz w:val="19"/>
                <w:szCs w:val="19"/>
              </w:rPr>
              <w:t xml:space="preserve"> computacionais autônomos que interagem (cooperação, competição, negociação, coordenação), com arquitetura declarada ou inferível (centralizada, descentralizada, hierárquica, P2P).</w:t>
            </w:r>
          </w:p>
        </w:tc>
        <w:tc>
          <w:tcPr>
            <w:tcW w:type="dxa" w:w="36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Wooldridge &amp; Jennings (1995); Ferber (1999); Wooldridge (2009)</w:t>
            </w:r>
          </w:p>
        </w:tc>
      </w:tr>
      <w:tr>
        <w:trPr>
          <w:cantSplit/>
        </w:trPr>
        <w:tc>
          <w:tcPr>
            <w:tcW w:type="dxa" w:w="20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Ecossistema Agêntico</w:t>
            </w:r>
          </w:p>
        </w:tc>
        <w:tc>
          <w:tcPr>
            <w:tcW w:type="dxa" w:w="3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Rede </w:t>
            </w:r>
            <w:r>
              <w:rPr>
                <w:b/>
                <w:bCs/>
                <w:sz w:val="19"/>
                <w:szCs w:val="19"/>
              </w:rPr>
              <w:t xml:space="preserve">aberta e dinâmica</w:t>
            </w:r>
            <w:r>
              <w:rPr>
                <w:sz w:val="19"/>
                <w:szCs w:val="19"/>
              </w:rPr>
              <w:t xml:space="preserve"> de agentes — tipicamente com participação de LLMs — em que agentes, papéis e relacionamentos emergem/adaptam-se durante a operação; inclui orquestrações multi-LLM (ex.: pipelines de agentes, ambientes agent-to-agent).</w:t>
            </w:r>
          </w:p>
        </w:tc>
        <w:tc>
          <w:tcPr>
            <w:tcW w:type="dxa" w:w="36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Sapkota et al. (2025); Guo et al. (2024) — </w:t>
            </w:r>
            <w:r>
              <w:rPr>
                <w:i/>
                <w:iCs/>
                <w:sz w:val="19"/>
                <w:szCs w:val="19"/>
              </w:rPr>
              <w:t xml:space="preserve">sem definição consolidada na literatura; a definição é operacional</w:t>
            </w:r>
          </w:p>
        </w:tc>
      </w:tr>
      <w:tr>
        <w:trPr>
          <w:cantSplit/>
        </w:trPr>
        <w:tc>
          <w:tcPr>
            <w:tcW w:type="dxa" w:w="20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Agente LLM</w:t>
            </w:r>
          </w:p>
        </w:tc>
        <w:tc>
          <w:tcPr>
            <w:tcW w:type="dxa" w:w="3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Agente cujo núcleo de decisão/linguagem é um Modelo de Linguagem de Grande Escala (pré-treinado ou ajustado), podendo usar ferramentas, memória e planejamento.</w:t>
            </w:r>
          </w:p>
        </w:tc>
        <w:tc>
          <w:tcPr>
            <w:tcW w:type="dxa" w:w="36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Wang et al. (2024); Xi et al. (2023)</w:t>
            </w:r>
          </w:p>
        </w:tc>
      </w:tr>
      <w:tr>
        <w:trPr>
          <w:cantSplit/>
        </w:trPr>
        <w:tc>
          <w:tcPr>
            <w:tcW w:type="dxa" w:w="20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XAI (Explicabilidade)</w:t>
            </w:r>
          </w:p>
        </w:tc>
        <w:tc>
          <w:tcPr>
            <w:tcW w:type="dxa" w:w="3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Mecanismos que tornam compreensíveis o </w:t>
            </w:r>
            <w:r>
              <w:rPr>
                <w:b/>
                <w:bCs/>
                <w:sz w:val="19"/>
                <w:szCs w:val="19"/>
              </w:rPr>
              <w:t xml:space="preserve">raciocínio, decisão ou comportamento</w:t>
            </w:r>
            <w:r>
              <w:rPr>
                <w:sz w:val="19"/>
                <w:szCs w:val="19"/>
              </w:rPr>
              <w:t xml:space="preserve"> de agentes/sistemas, por design (by-design/ante-hoc) ou após o fato (post-hoc).</w:t>
            </w:r>
          </w:p>
        </w:tc>
        <w:tc>
          <w:tcPr>
            <w:tcW w:type="dxa" w:w="36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Arrieta et al. (2020); Doshi-Velez &amp; Kim (2017); Miller (2019); Guidotti et al. (2019)</w:t>
            </w:r>
          </w:p>
        </w:tc>
      </w:tr>
      <w:tr>
        <w:trPr>
          <w:cantSplit/>
        </w:trPr>
        <w:tc>
          <w:tcPr>
            <w:tcW w:type="dxa" w:w="20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RAI (Responsabilidade)</w:t>
            </w:r>
          </w:p>
        </w:tc>
        <w:tc>
          <w:tcPr>
            <w:tcW w:type="dxa" w:w="3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Princípios de fairness, accountability, transparência, privacidade, segurança e governança aplicados ao ciclo de vida do sistema.</w:t>
            </w:r>
          </w:p>
        </w:tc>
        <w:tc>
          <w:tcPr>
            <w:tcW w:type="dxa" w:w="36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Dignum (2019); Jobin et al. (2019); HLEG (2019)</w:t>
            </w:r>
          </w:p>
        </w:tc>
      </w:tr>
      <w:tr>
        <w:trPr>
          <w:cantSplit/>
        </w:trPr>
        <w:tc>
          <w:tcPr>
            <w:tcW w:type="dxa" w:w="20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Trustworthiness (Confiabilidade)</w:t>
            </w:r>
          </w:p>
        </w:tc>
        <w:tc>
          <w:tcPr>
            <w:tcW w:type="dxa" w:w="3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Propriedade composta (robustez, segurança, rastreabilidade, auditabilidade, calibração de confiança) que fundamenta a </w:t>
            </w:r>
            <w:r>
              <w:rPr>
                <w:b/>
                <w:bCs/>
                <w:sz w:val="19"/>
                <w:szCs w:val="19"/>
              </w:rPr>
              <w:t xml:space="preserve">confiança (trust)</w:t>
            </w:r>
            <w:r>
              <w:rPr>
                <w:sz w:val="19"/>
                <w:szCs w:val="19"/>
              </w:rPr>
              <w:t xml:space="preserve"> de usuários, outros agentes e reguladores.</w:t>
            </w:r>
          </w:p>
        </w:tc>
        <w:tc>
          <w:tcPr>
            <w:tcW w:type="dxa" w:w="36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HLEG (2019); NIST (2023); Li et al. (2023); </w:t>
            </w:r>
            <w:r>
              <w:rPr>
                <w:i/>
                <w:iCs/>
                <w:sz w:val="19"/>
                <w:szCs w:val="19"/>
              </w:rPr>
              <w:t xml:space="preserve">confiança clássica em MAS:</w:t>
            </w:r>
            <w:r>
              <w:rPr>
                <w:sz w:val="19"/>
                <w:szCs w:val="19"/>
              </w:rPr>
              <w:t xml:space="preserve"> Ramchurn et al. (2004); Sabater &amp; Sierra (2005)</w:t>
            </w:r>
          </w:p>
        </w:tc>
      </w:tr>
      <w:tr>
        <w:trPr>
          <w:cantSplit/>
        </w:trPr>
        <w:tc>
          <w:tcPr>
            <w:tcW w:type="dxa" w:w="20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Explicação post-hoc vs. by-design</w:t>
            </w:r>
          </w:p>
        </w:tc>
        <w:tc>
          <w:tcPr>
            <w:tcW w:type="dxa" w:w="3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Post-hoc: técnica aplicada após o modelo/agente produzir a saída (ex.: SHAP, LIME, contrafactuais). By-design: o mecanismo de explicação é parte integrante da arquitetura (ex.: argumentação, planejamento interpretável).</w:t>
            </w:r>
          </w:p>
        </w:tc>
        <w:tc>
          <w:tcPr>
            <w:tcW w:type="dxa" w:w="36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Lipton (2018); Rudin (2019); Arrieta et al. (2020); </w:t>
            </w:r>
            <w:r>
              <w:rPr>
                <w:i/>
                <w:iCs/>
                <w:sz w:val="19"/>
                <w:szCs w:val="19"/>
              </w:rPr>
              <w:t xml:space="preserve">técnicas:</w:t>
            </w:r>
            <w:r>
              <w:rPr>
                <w:sz w:val="19"/>
                <w:szCs w:val="19"/>
              </w:rPr>
              <w:t xml:space="preserve"> Ribeiro et al. (2016); Lundberg &amp; Lee (2017); Wachter et al. (2018)</w:t>
            </w:r>
          </w:p>
        </w:tc>
      </w:tr>
      <w:tr>
        <w:trPr>
          <w:cantSplit/>
        </w:trPr>
        <w:tc>
          <w:tcPr>
            <w:tcW w:type="dxa" w:w="20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Comportamento emergente</w:t>
            </w:r>
          </w:p>
        </w:tc>
        <w:tc>
          <w:tcPr>
            <w:tcW w:type="dxa" w:w="3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Padrão coletivo não programado explicitamente em nenhum agente individual, resultante das interações.</w:t>
            </w:r>
          </w:p>
        </w:tc>
        <w:tc>
          <w:tcPr>
            <w:tcW w:type="dxa" w:w="36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Holland (1998); De Wolf &amp; Holvoet (2005)</w:t>
            </w:r>
          </w:p>
        </w:tc>
      </w:tr>
      <w:tr>
        <w:trPr>
          <w:cantSplit/>
        </w:trPr>
        <w:tc>
          <w:tcPr>
            <w:tcW w:type="dxa" w:w="20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Stakeholder da explicação</w:t>
            </w:r>
          </w:p>
        </w:tc>
        <w:tc>
          <w:tcPr>
            <w:tcW w:type="dxa" w:w="3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Destinatário da explicação: usuário final, desenvolvedor, operador, gestor, regulador, auditor ou outro agente.</w:t>
            </w:r>
          </w:p>
        </w:tc>
        <w:tc>
          <w:tcPr>
            <w:tcW w:type="dxa" w:w="36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Langer et al. (2021); Anjomshoae et al. (2019)</w:t>
            </w:r>
          </w:p>
        </w:tc>
      </w:tr>
      <w:tr>
        <w:trPr>
          <w:cantSplit/>
        </w:trPr>
        <w:tc>
          <w:tcPr>
            <w:tcW w:type="dxa" w:w="20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RSL / Estudo primário / secundário / terciário</w:t>
            </w:r>
          </w:p>
        </w:tc>
        <w:tc>
          <w:tcPr>
            <w:tcW w:type="dxa" w:w="3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RSL: revisão secundária que segue metodologia explícita. Estudo primário: investigação empírica original. Terciário: revisão de revisões.</w:t>
            </w:r>
          </w:p>
        </w:tc>
        <w:tc>
          <w:tcPr>
            <w:tcW w:type="dxa" w:w="36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Kitchenham &amp; Charters (2007); Kitchenham et al. (2010)</w:t>
            </w:r>
          </w:p>
        </w:tc>
      </w:tr>
    </w:tbl>
    <w:p>
      <w:pPr>
        <w:spacing w:after="140"/>
      </w:pPr>
    </w:p>
    <w:p>
      <w:pPr>
        <w:pBdr>
          <w:left w:val="single" w:color="E0A800" w:sz="18" w:space="8"/>
        </w:pBdr>
        <w:shd w:fill="FFF4D6" w:color="auto" w:val="clear"/>
        <w:spacing w:after="160" w:before="80" w:line="276"/>
        <w:ind w:left="200" w:right="200"/>
      </w:pPr>
      <w:r>
        <w:rPr>
          <w:b/>
          <w:bCs/>
          <w:sz w:val="21"/>
          <w:szCs w:val="21"/>
        </w:rPr>
        <w:t xml:space="preserve">Nota de validade de construto:</w:t>
      </w:r>
      <w:r>
        <w:rPr>
          <w:sz w:val="21"/>
          <w:szCs w:val="21"/>
        </w:rPr>
        <w:t xml:space="preserve"> "explicabilidade" não será tratada como sinônimo de "interpretabilidade", "transparência" ou "accountability". Os códigos do Atlas.TI (Bloco C/D) registram qual dimensão o estudo primário de fato operacionaliza.</w:t>
      </w:r>
    </w:p>
    <w:p>
      <w:pPr>
        <w:pStyle w:val="Heading1"/>
      </w:pPr>
      <w:r>
        <w:t xml:space="preserve">3. Hipóteses</w:t>
      </w:r>
    </w:p>
    <w:p>
      <w:pPr>
        <w:spacing w:after="120" w:line="276"/>
      </w:pPr>
      <w:r>
        <w:t xml:space="preserve">As hipóteses são verificadas por </w:t>
      </w:r>
      <w:r>
        <w:rPr>
          <w:b/>
          <w:bCs/>
        </w:rPr>
        <w:t xml:space="preserve">mapeamento de evidência</w:t>
      </w:r>
      <w:r>
        <w:t xml:space="preserve"> (evidence mapping) sobre o corpus incluído — não por teste estatístico — conforme detalhado na Seção 3.3.</w:t>
      </w:r>
    </w:p>
    <w:p>
      <w:pPr>
        <w:pStyle w:val="Heading2"/>
      </w:pPr>
      <w:r>
        <w:t xml:space="preserve">3.1 Hipótese forte (H1)</w:t>
      </w:r>
    </w:p>
    <w:p>
      <w:pPr>
        <w:pBdr>
          <w:left w:val="single" w:color="2E5597" w:sz="24" w:space="10"/>
        </w:pBdr>
        <w:shd w:fill="DCE6F2" w:color="auto" w:val="clear"/>
        <w:spacing w:after="180" w:before="100" w:line="276"/>
        <w:ind w:left="360" w:right="360"/>
      </w:pPr>
      <w:r>
        <w:rPr>
          <w:b/>
          <w:bCs/>
          <w:color w:val="1F3864"/>
          <w:sz w:val="23"/>
          <w:szCs w:val="23"/>
        </w:rPr>
        <w:t xml:space="preserve">A integração de mecanismos de Explicabilidade (XAI) na arquitetura de Sistemas Multiagentes melhora significativamente a transparência e a confiabilidade em sistemas baseados em agentes.</w:t>
      </w:r>
    </w:p>
    <w:p>
      <w:pPr>
        <w:spacing w:after="120" w:line="276"/>
      </w:pPr>
      <w:r>
        <w:rPr>
          <w:b/>
          <w:bCs/>
        </w:rPr>
        <w:t xml:space="preserve">Variáveis da hipótese forte: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Variável Independente</w:t>
      </w:r>
      <w:r>
        <w:t xml:space="preserve"> (o que é feito): integração de XAI (ex.: agentes que justificam suas ações, dashboards visuais, logs detalhados, modelos interpretáveis, argumentação).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Variáveis Dependentes</w:t>
      </w:r>
      <w:r>
        <w:t xml:space="preserve"> (o que é medido/o efeito):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i/>
          <w:iCs/>
        </w:rPr>
        <w:t xml:space="preserve">Transparência</w:t>
      </w:r>
      <w:r>
        <w:t xml:space="preserve">: o quão visível é o estado interno e o raciocínio do agente.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i/>
          <w:iCs/>
        </w:rPr>
        <w:t xml:space="preserve">Confiança (trust)</w:t>
      </w:r>
      <w:r>
        <w:t xml:space="preserve">: a predisposição do usuário ou de outros agentes em aceitar a recomendação.</w:t>
      </w:r>
    </w:p>
    <w:p>
      <w:pPr>
        <w:pStyle w:val="Heading2"/>
      </w:pPr>
      <w:r>
        <w:t xml:space="preserve">3.2 Hipótese fraca (H2)</w:t>
      </w:r>
    </w:p>
    <w:p>
      <w:pPr>
        <w:pBdr>
          <w:left w:val="single" w:color="E0A800" w:sz="18" w:space="8"/>
        </w:pBdr>
        <w:shd w:fill="FFF4D6" w:color="auto" w:val="clear"/>
        <w:spacing w:after="160" w:before="80" w:line="276"/>
        <w:ind w:left="200" w:right="200"/>
      </w:pPr>
      <w:r>
        <w:rPr>
          <w:b/>
          <w:bCs/>
          <w:sz w:val="21"/>
          <w:szCs w:val="21"/>
        </w:rPr>
        <w:t xml:space="preserve">As abordagens clássicas de confiança em MAS (reputação, certificação, criptografia, monitoramento) não são suficientes para ecossistemas agênticos baseados em LLMs</w:t>
      </w:r>
      <w:r>
        <w:rPr>
          <w:sz w:val="21"/>
          <w:szCs w:val="21"/>
        </w:rPr>
        <w:t xml:space="preserve">, em razão da opacidade do raciocínio, da variabilidade das saídas e da emergência de comportamentos não programados.</w:t>
      </w:r>
    </w:p>
    <w:p>
      <w:pPr>
        <w:spacing w:after="120" w:line="276"/>
      </w:pPr>
      <w:r>
        <w:rPr>
          <w:b/>
          <w:bCs/>
        </w:rPr>
        <w:t xml:space="preserve">Variáveis da hipótese fraca: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Variável Independente</w:t>
      </w:r>
      <w:r>
        <w:t xml:space="preserve">: tipo de mecanismo de confiança adotado (clássico — reputação/certificação/criptografia/monitoramento — vs. mecanismos integrados a XAI).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Variável Dependente</w:t>
      </w:r>
      <w:r>
        <w:t xml:space="preserve">: suficiência declarada ou demonstrada do mecanismo para o contexto de agentes LLM (presença de limitações reportadas, falhas de confiança, necessidade de mecanismos adicionais).</w:t>
      </w:r>
    </w:p>
    <w:p>
      <w:pPr>
        <w:pStyle w:val="Heading2"/>
      </w:pPr>
      <w:r>
        <w:t xml:space="preserve">3.3 Estratégia de verificação das hipóteses</w:t>
      </w:r>
    </w:p>
    <w:p>
      <w:pPr>
        <w:spacing w:after="120" w:line="276"/>
      </w:pPr>
      <w:r>
        <w:t xml:space="preserve">Como uma RSL é um estudo secundário, cada estudo primário incluído é classificado em relação a cada hipótese, com suporte textual (citação + página, campo Q-I1/Q-I2 do Bloco I):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7"/>
        <w:gridCol w:w="7251"/>
      </w:tblGrid>
      <w:tr>
        <w:trPr>
          <w:cantSplit/>
          <w:tblHeader/>
        </w:trPr>
        <w:tc>
          <w:tcPr>
            <w:tcW w:type="dxa" w:w="23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Veredito</w:t>
            </w:r>
          </w:p>
        </w:tc>
        <w:tc>
          <w:tcPr>
            <w:tcW w:type="dxa" w:w="7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 operacional</w:t>
            </w:r>
          </w:p>
        </w:tc>
      </w:tr>
      <w:tr>
        <w:trPr>
          <w:cantSplit/>
        </w:trPr>
        <w:tc>
          <w:tcPr>
            <w:tcW w:type="dxa" w:w="23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Suporta</w:t>
            </w:r>
          </w:p>
        </w:tc>
        <w:tc>
          <w:tcPr>
            <w:tcW w:type="dxa" w:w="7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Evidência empírica ou argumentação formal favorável à hipótese, com medição ou demonstração no contexto MAS/agêntico.</w:t>
            </w:r>
          </w:p>
        </w:tc>
      </w:tr>
      <w:tr>
        <w:trPr>
          <w:cantSplit/>
        </w:trPr>
        <w:tc>
          <w:tcPr>
            <w:tcW w:type="dxa" w:w="23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Parcialmente suporta</w:t>
            </w:r>
          </w:p>
        </w:tc>
        <w:tc>
          <w:tcPr>
            <w:tcW w:type="dxa" w:w="7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Evidência favorável em condições restritas, ou apenas argumentativa, sem medição.</w:t>
            </w:r>
          </w:p>
        </w:tc>
      </w:tr>
      <w:tr>
        <w:trPr>
          <w:cantSplit/>
        </w:trPr>
        <w:tc>
          <w:tcPr>
            <w:tcW w:type="dxa" w:w="23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Refuta</w:t>
            </w:r>
          </w:p>
        </w:tc>
        <w:tc>
          <w:tcPr>
            <w:tcW w:type="dxa" w:w="7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Evidência empírica em contrário, com medição ou demonstração.</w:t>
            </w:r>
          </w:p>
        </w:tc>
      </w:tr>
      <w:tr>
        <w:trPr>
          <w:cantSplit/>
        </w:trPr>
        <w:tc>
          <w:tcPr>
            <w:tcW w:type="dxa" w:w="23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Inconclusivo</w:t>
            </w:r>
          </w:p>
        </w:tc>
        <w:tc>
          <w:tcPr>
            <w:tcW w:type="dxa" w:w="72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 estudo aborda o tema sem permitir inferência em qualquer direção.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t xml:space="preserve">Regras de agregação: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 veredito de cada estudo é </w:t>
      </w:r>
      <w:r>
        <w:rPr>
          <w:b/>
          <w:bCs/>
        </w:rPr>
        <w:t xml:space="preserve">ponderado pelo score de qualidade</w:t>
      </w:r>
      <w:r>
        <w:t xml:space="preserve"> (Seção 7): estudos com nota ≥ 7,0 pesam mais na síntese; estudos com ressalva metodológica (4,0–6,9) são reportados separadamente.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 síntese reporta a </w:t>
      </w:r>
      <w:r>
        <w:rPr>
          <w:b/>
          <w:bCs/>
        </w:rPr>
        <w:t xml:space="preserve">distribuição de vereditos por subcorpus</w:t>
      </w:r>
      <w:r>
        <w:t xml:space="preserve"> (MAS clássico vs. agente LLM; domínio; período) — ver análise de sensibilidade (Seção 10.3).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Contradições entre estudos são </w:t>
      </w:r>
      <w:r>
        <w:rPr>
          <w:b/>
          <w:bCs/>
        </w:rPr>
        <w:t xml:space="preserve">explicitadas e investigadas</w:t>
      </w:r>
      <w:r>
        <w:t xml:space="preserve"> (fontes prováveis de heterogeneidade), não suprimidas.</w:t>
      </w:r>
    </w:p>
    <w:p>
      <w:pPr>
        <w:pStyle w:val="Heading1"/>
      </w:pPr>
      <w:r>
        <w:t xml:space="preserve">4. Questões de Pesquisa</w:t>
      </w:r>
    </w:p>
    <w:p>
      <w:pPr>
        <w:pStyle w:val="Heading2"/>
      </w:pPr>
      <w:r>
        <w:t xml:space="preserve">4.1 Questões de pesquisa e classificação (Easterbrook et al., 2008)</w:t>
      </w:r>
    </w:p>
    <w:p>
      <w:pPr>
        <w:spacing w:after="120" w:line="276"/>
      </w:pPr>
      <w:r>
        <w:t xml:space="preserve">As questões foram organizadas hierarquicamente: a questão geral orienta a revisão, e as questões específicas delimitam os focos analíticos. Cada questão específica é classificada quanto ao seu propósito epistêmico: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95"/>
        <w:gridCol w:w="1605"/>
        <w:gridCol w:w="3338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Questão de pesquisa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QG</w:t>
            </w:r>
          </w:p>
        </w:tc>
        <w:tc>
          <w:tcPr>
            <w:tcW w:type="dxa" w:w="3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Qual é o estado da arte na aplicação de XAI, RAI e Trustworthiness em MAS e ecossistemas agênticos, com ênfase em tomada de decisão distribuída?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Descritiva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Caracteriza o panorama existente (o quê, onde, quanto).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RQ1</w:t>
            </w:r>
          </w:p>
        </w:tc>
        <w:tc>
          <w:tcPr>
            <w:tcW w:type="dxa" w:w="3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Como XAI, RAI e Trustworthiness são aplicados e integrados em arquiteturas de MAS e ecossistemas agênticos?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Descritiva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Caracteriza práticas, técnicas e pontos de integração arquitetural (Blocos B–C).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RQ2</w:t>
            </w:r>
          </w:p>
        </w:tc>
        <w:tc>
          <w:tcPr>
            <w:tcW w:type="dxa" w:w="3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Quais são as limitações das abordagens clássicas de confiança em MAS quando aplicadas a ecossistemas agênticos baseados em LLMs?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Explicativa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Busca explicações para falhas/insuficiências de mecanismos clássicos no novo contexto (Bloco D; alimenta H2).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RQ3</w:t>
            </w:r>
          </w:p>
        </w:tc>
        <w:tc>
          <w:tcPr>
            <w:tcW w:type="dxa" w:w="3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Quais mecanismos, métricas e métodos de avaliação foram propostos para XAI e Trustworthiness em cenários de tomada de decisão distribuída e comportamentos emergentes?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Descritiva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Inventário e categorização de mecanismos, métricas e desenhos de avaliação (Bloco E).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RQ4</w:t>
            </w:r>
          </w:p>
        </w:tc>
        <w:tc>
          <w:tcPr>
            <w:tcW w:type="dxa" w:w="3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Como os requisitos de explicabilidade e confiança variam conforme o domínio de aplicação e o perfil dos stakeholders?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Explicativa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Investiga a relação condicional entre contexto (domínio/stakeholder) e requisitos (Blokos F).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RQ5</w:t>
            </w:r>
          </w:p>
        </w:tc>
        <w:tc>
          <w:tcPr>
            <w:tcW w:type="dxa" w:w="3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Quais lacunas de pesquisa existem na interseção de XAI/RAI com MAS e ecossistemas agênticos?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Exploratória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Identifica áreas pouco exploradas e oportunidades de pesquisa futura (Bloco G).</w:t>
            </w:r>
          </w:p>
        </w:tc>
      </w:tr>
    </w:tbl>
    <w:p>
      <w:pPr>
        <w:spacing w:after="140"/>
      </w:pPr>
    </w:p>
    <w:p>
      <w:pPr>
        <w:pBdr>
          <w:left w:val="single" w:color="E0A800" w:sz="18" w:space="8"/>
        </w:pBdr>
        <w:shd w:fill="FFF4D6" w:color="auto" w:val="clear"/>
        <w:spacing w:after="160" w:before="80" w:line="276"/>
        <w:ind w:left="200" w:right="200"/>
      </w:pPr>
      <w:r>
        <w:rPr>
          <w:b/>
          <w:bCs/>
          <w:sz w:val="21"/>
          <w:szCs w:val="21"/>
        </w:rPr>
        <w:t xml:space="preserve">Nota:</w:t>
      </w:r>
      <w:r>
        <w:rPr>
          <w:sz w:val="21"/>
          <w:szCs w:val="21"/>
        </w:rPr>
        <w:t xml:space="preserve"> o desdobramento preditivo (ex.: "sob quais condições abordagens clássicas deixarão de ser suficientes") é tratado dentro da verificação da hipótese H2 (Seção 3.3, item 3 — sensibilidade por subcorpus), não como RQ separada.</w:t>
      </w:r>
    </w:p>
    <w:p>
      <w:pPr>
        <w:spacing w:after="120" w:line="276"/>
      </w:pPr>
      <w:r>
        <w:rPr>
          <w:b/>
          <w:bCs/>
        </w:rPr>
        <w:t xml:space="preserve">RQ5 foi adicionada na versão 2.0 do protocolo</w:t>
      </w:r>
      <w:r>
        <w:t xml:space="preserve"> e é fundamental para um trabalho de doutorado: explicita lacunas e oportunidades de pesquisa.</w:t>
      </w:r>
    </w:p>
    <w:p>
      <w:pPr>
        <w:pStyle w:val="Heading2"/>
      </w:pPr>
      <w:r>
        <w:t xml:space="preserve">4.2 Protocolo PICOC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81"/>
        <w:gridCol w:w="4257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  <w:tc>
          <w:tcPr>
            <w:tcW w:type="dxa" w:w="4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Sub-questões de extração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Population</w:t>
            </w:r>
          </w:p>
        </w:tc>
        <w:tc>
          <w:tcPr>
            <w:tcW w:type="dxa" w:w="3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Sistemas Multiagentes (MAS), Ecossistemas Agênticos e Agentes baseados em LLM</w:t>
            </w:r>
          </w:p>
        </w:tc>
        <w:tc>
          <w:tcPr>
            <w:tcW w:type="dxa" w:w="4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Q1. Qual a arquitetura do MAS? Q2. Qual o tipo de agente predominante? Q3. O sistema utiliza LLMs como agentes?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Intervention</w:t>
            </w:r>
          </w:p>
        </w:tc>
        <w:tc>
          <w:tcPr>
            <w:tcW w:type="dxa" w:w="3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Explainable AI (XAI), Responsible AI (RAI) e Trustworthiness</w:t>
            </w:r>
          </w:p>
        </w:tc>
        <w:tc>
          <w:tcPr>
            <w:tcW w:type="dxa" w:w="4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Q4. Quais técnicas de XAI são aplicadas em MAS? Q5. Quais frameworks e abordagens são utilizados? Q6. A explicação é post-hoc ou by-design?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Comparison</w:t>
            </w:r>
          </w:p>
        </w:tc>
        <w:tc>
          <w:tcPr>
            <w:tcW w:type="dxa" w:w="3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MAS sem mecanismos de XAI/RAI e abordagens clássicas de confiança</w:t>
            </w:r>
          </w:p>
        </w:tc>
        <w:tc>
          <w:tcPr>
            <w:tcW w:type="dxa" w:w="4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Q7. Sistemas com XAI são mais confiáveis e transparentes? Q8. Abordagens clássicas de confiança são suficientes para ecossistemas baseados em LLM?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Outcome</w:t>
            </w:r>
          </w:p>
        </w:tc>
        <w:tc>
          <w:tcPr>
            <w:tcW w:type="dxa" w:w="3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Transparência, Confiabilidade, Rastreabilidade, Auditabilidade e Conformidade regulatória</w:t>
            </w:r>
          </w:p>
        </w:tc>
        <w:tc>
          <w:tcPr>
            <w:tcW w:type="dxa" w:w="4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Q9. Quais métricas de XAI são utilizadas? Q10. Quais métricas de confiança são utilizadas? Q11. Como a avaliação é conduzida?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Context</w:t>
            </w:r>
          </w:p>
        </w:tc>
        <w:tc>
          <w:tcPr>
            <w:tcW w:type="dxa" w:w="3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Público: desenvolvedores, operadores, usuários finais, gestores, reguladores. Domínio: saúde, finanças, indústria, governo, educação, sistemas críticos</w:t>
            </w:r>
          </w:p>
        </w:tc>
        <w:tc>
          <w:tcPr>
            <w:tcW w:type="dxa" w:w="4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Q12. Para quem é explicado e qual o perfil do stakeholder? Q13. Como diferentes públicos são impactados? Q14. Em qual domínio o sistema foi avaliado? Q15. Os requisitos de XAI variam por domínio ou stakeholder?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b/>
          <w:bCs/>
        </w:rPr>
        <w:t xml:space="preserve">Traçabilidade:</w:t>
      </w:r>
      <w:r>
        <w:t xml:space="preserve"> cada RQ está vinculada aos blocos de extração (Seção 9) e às análises (Seção 10), conforme indicado em cada bloco.</w:t>
      </w:r>
    </w:p>
    <w:p>
      <w:pPr>
        <w:pStyle w:val="Heading1"/>
      </w:pPr>
      <w:r>
        <w:t xml:space="preserve">5. Estratégia de Busca</w:t>
      </w:r>
    </w:p>
    <w:p>
      <w:pPr>
        <w:pStyle w:val="Heading2"/>
      </w:pPr>
      <w:r>
        <w:t xml:space="preserve">5.1 String de Busca</w:t>
      </w:r>
    </w:p>
    <w:p>
      <w:pPr>
        <w:spacing w:after="120" w:line="276"/>
      </w:pPr>
      <w:r>
        <w:t xml:space="preserve">A string foi construída a partir das palavras-chave dos estudos seminais [SX15], [SX21], [SX22] e [SX23], com precedência lógica corrigida e termos expandidos para LLMs como agentes (RQ2) e Trustworthy AI (RQ1).</w:t>
      </w:r>
    </w:p>
    <w:p>
      <w:pPr>
        <w:spacing w:after="120" w:line="276"/>
      </w:pPr>
      <w:r>
        <w:rPr>
          <w:b/>
          <w:bCs/>
        </w:rPr>
        <w:t xml:space="preserve">Correções da v3.0:</w:t>
      </w:r>
      <w:r>
        <w:t xml:space="preserve"> remoção do termo isolado </w:t>
      </w:r>
      <w:r>
        <w:rPr>
          <w:rFonts w:ascii="Consolas" w:cs="Consolas" w:eastAsia="Consolas" w:hAnsi="Consolas"/>
          <w:sz w:val="20"/>
          <w:szCs w:val="20"/>
        </w:rPr>
        <w:t xml:space="preserve">MAS</w:t>
      </w:r>
      <w:r>
        <w:t xml:space="preserve"> (alta ambiguidade — gera falsos positivos como </w:t>
      </w:r>
      <w:r>
        <w:rPr>
          <w:i/>
          <w:iCs/>
        </w:rPr>
        <w:t xml:space="preserve">Monte Carlo Simulation</w:t>
      </w:r>
      <w:r>
        <w:t xml:space="preserve">, </w:t>
      </w:r>
      <w:r>
        <w:rPr>
          <w:i/>
          <w:iCs/>
        </w:rPr>
        <w:t xml:space="preserve">Material Adverse Situation</w:t>
      </w:r>
      <w:r>
        <w:t xml:space="preserve">); wildcard padronizado.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("Explainable AI" OR "XAI" OR "Interpretable AI" OR "AI explainability"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 OR "Explainability" OR "Responsible AI" OR "RAI" OR "Ethical AI"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 OR "AI governance" OR "algorithmic accountability" OR "Trustworthy AI"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 OR "Trustworthy" OR "AI transparency")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AND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("multi-agent system*" OR "multiagent" OR "agentic AI" OR "AI agent*"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 OR "autonomous agent*" OR "agentic ecosystem*" OR "agent-based system*"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 OR "LLM agent*" OR "LLM-based agent*" OR "large language model agent*")</w:t>
      </w:r>
    </w:p>
    <w:p>
      <w:pPr>
        <w:pBdr>
          <w:left w:val="single" w:color="E0A800" w:sz="18" w:space="8"/>
        </w:pBdr>
        <w:shd w:fill="FFF4D6" w:color="auto" w:val="clear"/>
        <w:spacing w:after="160" w:before="80" w:line="276"/>
        <w:ind w:left="200" w:right="200"/>
      </w:pPr>
      <w:r>
        <w:rPr>
          <w:b/>
          <w:bCs/>
          <w:sz w:val="21"/>
          <w:szCs w:val="21"/>
        </w:rPr>
        <w:t xml:space="preserve">Regra sobre "MAS":</w:t>
      </w:r>
      <w:r>
        <w:rPr>
          <w:sz w:val="21"/>
          <w:szCs w:val="21"/>
        </w:rPr>
        <w:t xml:space="preserve"> se a análise de sensibilidade da busca (Seção 5.4) indicar perda relevante de recall, o termo </w:t>
      </w:r>
      <w:r>
        <w:rPr>
          <w:rFonts w:ascii="Consolas" w:cs="Consolas" w:eastAsia="Consolas" w:hAnsi="Consolas"/>
          <w:sz w:val="19"/>
          <w:szCs w:val="19"/>
        </w:rPr>
        <w:t xml:space="preserve">MAS</w:t>
      </w:r>
      <w:r>
        <w:rPr>
          <w:sz w:val="21"/>
          <w:szCs w:val="21"/>
        </w:rPr>
        <w:t xml:space="preserve"> poderá ser adicionado </w:t>
      </w:r>
      <w:r>
        <w:rPr>
          <w:b/>
          <w:bCs/>
          <w:sz w:val="21"/>
          <w:szCs w:val="21"/>
        </w:rPr>
        <w:t xml:space="preserve">restrito ao campo título</w:t>
      </w:r>
      <w:r>
        <w:rPr>
          <w:sz w:val="21"/>
          <w:szCs w:val="21"/>
        </w:rPr>
        <w:t xml:space="preserve">, apenas em bases que suportem restrição por campo. A decisão será registrada no Log de Desvios (Seção 15).</w:t>
      </w:r>
    </w:p>
    <w:p>
      <w:pPr>
        <w:spacing w:after="120" w:line="276"/>
      </w:pPr>
      <w:r>
        <w:rPr>
          <w:b/>
          <w:bCs/>
        </w:rPr>
        <w:t xml:space="preserve">Validação da string (test-set):</w:t>
      </w:r>
      <w:r>
        <w:t xml:space="preserve"> os quatro estudos seminais </w:t>
      </w:r>
      <w:r>
        <w:rPr>
          <w:b/>
          <w:bCs/>
        </w:rPr>
        <w:t xml:space="preserve">[SX15], [SX21], [SX22], [SX23] devem ser recuperados</w:t>
      </w:r>
      <w:r>
        <w:t xml:space="preserve"> pela string em cada base antes da busca definitiva (quasi-sensibilidade). Falha em recuperar qualquer seminal exige revisão da string, registrada no Log de Desvios.</w:t>
      </w:r>
    </w:p>
    <w:p>
      <w:pPr>
        <w:pStyle w:val="Heading2"/>
      </w:pPr>
      <w:r>
        <w:t xml:space="preserve">5.2 Bases de Dados</w:t>
      </w:r>
    </w:p>
    <w:p>
      <w:pPr>
        <w:pStyle w:val="Heading3"/>
      </w:pPr>
      <w:r>
        <w:t xml:space="preserve">5.2.1 Busca Automática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6"/>
        <w:gridCol w:w="2952"/>
        <w:gridCol w:w="1720"/>
        <w:gridCol w:w="3490"/>
      </w:tblGrid>
      <w:tr>
        <w:trPr>
          <w:cantSplit/>
          <w:tblHeader/>
        </w:trPr>
        <w:tc>
          <w:tcPr>
            <w:tcW w:type="dxa" w:w="1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</w:t>
            </w:r>
          </w:p>
        </w:tc>
        <w:tc>
          <w:tcPr>
            <w:tcW w:type="dxa" w:w="29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  <w:tc>
          <w:tcPr>
            <w:tcW w:type="dxa" w:w="1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Campos pesquisados</w:t>
            </w:r>
          </w:p>
        </w:tc>
        <w:tc>
          <w:tcPr>
            <w:tcW w:type="dxa" w:w="3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Restrição temporal</w:t>
            </w:r>
          </w:p>
        </w:tc>
      </w:tr>
      <w:tr>
        <w:trPr>
          <w:cantSplit/>
        </w:trPr>
        <w:tc>
          <w:tcPr>
            <w:tcW w:type="dxa" w:w="1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Web of Science</w:t>
            </w:r>
          </w:p>
        </w:tc>
        <w:tc>
          <w:tcPr>
            <w:tcW w:type="dxa" w:w="29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Cobertura ampla, fator de impacto, citações</w:t>
            </w:r>
          </w:p>
        </w:tc>
        <w:tc>
          <w:tcPr>
            <w:tcW w:type="dxa" w:w="1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Topic (título, resumo, keywords)</w:t>
            </w:r>
          </w:p>
        </w:tc>
        <w:tc>
          <w:tcPr>
            <w:tcW w:type="dxa" w:w="3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2016–2026</w:t>
            </w:r>
          </w:p>
        </w:tc>
      </w:tr>
      <w:tr>
        <w:trPr>
          <w:cantSplit/>
        </w:trPr>
        <w:tc>
          <w:tcPr>
            <w:tcW w:type="dxa" w:w="1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Scopus</w:t>
            </w:r>
          </w:p>
        </w:tc>
        <w:tc>
          <w:tcPr>
            <w:tcW w:type="dxa" w:w="29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Multidisciplinar, alto impacto, rastreamento de citações</w:t>
            </w:r>
          </w:p>
        </w:tc>
        <w:tc>
          <w:tcPr>
            <w:tcW w:type="dxa" w:w="1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TITLE-ABS-KEY</w:t>
            </w:r>
          </w:p>
        </w:tc>
        <w:tc>
          <w:tcPr>
            <w:tcW w:type="dxa" w:w="3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2016–2026</w:t>
            </w:r>
          </w:p>
        </w:tc>
      </w:tr>
      <w:tr>
        <w:trPr>
          <w:cantSplit/>
        </w:trPr>
        <w:tc>
          <w:tcPr>
            <w:tcW w:type="dxa" w:w="1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IEEE Xplore</w:t>
            </w:r>
          </w:p>
        </w:tc>
        <w:tc>
          <w:tcPr>
            <w:tcW w:type="dxa" w:w="29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Principal fonte de Engenharia de Software e sistemas autônomos</w:t>
            </w:r>
          </w:p>
        </w:tc>
        <w:tc>
          <w:tcPr>
            <w:tcW w:type="dxa" w:w="1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All Metadata</w:t>
            </w:r>
          </w:p>
        </w:tc>
        <w:tc>
          <w:tcPr>
            <w:tcW w:type="dxa" w:w="3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2016–2026</w:t>
            </w:r>
          </w:p>
        </w:tc>
      </w:tr>
      <w:tr>
        <w:trPr>
          <w:cantSplit/>
        </w:trPr>
        <w:tc>
          <w:tcPr>
            <w:tcW w:type="dxa" w:w="1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ACM Digital Library</w:t>
            </w:r>
          </w:p>
        </w:tc>
        <w:tc>
          <w:tcPr>
            <w:tcW w:type="dxa" w:w="29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Ciência da computação e MAS</w:t>
            </w:r>
          </w:p>
        </w:tc>
        <w:tc>
          <w:tcPr>
            <w:tcW w:type="dxa" w:w="1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Title, Abstract &amp; Keywords</w:t>
            </w:r>
          </w:p>
        </w:tc>
        <w:tc>
          <w:tcPr>
            <w:tcW w:type="dxa" w:w="3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2016–2026</w:t>
            </w:r>
          </w:p>
        </w:tc>
      </w:tr>
      <w:tr>
        <w:trPr>
          <w:cantSplit/>
        </w:trPr>
        <w:tc>
          <w:tcPr>
            <w:tcW w:type="dxa" w:w="1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Google Scholar</w:t>
            </w:r>
          </w:p>
        </w:tc>
        <w:tc>
          <w:tcPr>
            <w:tcW w:type="dxa" w:w="29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Literatura cinza, pré-prints e teses</w:t>
            </w:r>
          </w:p>
        </w:tc>
        <w:tc>
          <w:tcPr>
            <w:tcW w:type="dxa" w:w="1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Título + resumo</w:t>
            </w:r>
          </w:p>
        </w:tc>
        <w:tc>
          <w:tcPr>
            <w:tcW w:type="dxa" w:w="3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2016–2026 — </w:t>
            </w:r>
            <w:r>
              <w:rPr>
                <w:b/>
                <w:bCs/>
                <w:sz w:val="19"/>
                <w:szCs w:val="19"/>
              </w:rPr>
              <w:t xml:space="preserve">limitado aos primeiros 300 resultados por execução</w:t>
            </w:r>
            <w:r>
              <w:rPr>
                <w:sz w:val="19"/>
                <w:szCs w:val="19"/>
              </w:rPr>
              <w:t xml:space="preserve">, documentados</w:t>
            </w:r>
          </w:p>
        </w:tc>
      </w:tr>
      <w:tr>
        <w:trPr>
          <w:cantSplit/>
        </w:trPr>
        <w:tc>
          <w:tcPr>
            <w:tcW w:type="dxa" w:w="1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arXiv (cs.MA, cs.AI, cs.CL)</w:t>
            </w:r>
          </w:p>
        </w:tc>
        <w:tc>
          <w:tcPr>
            <w:tcW w:type="dxa" w:w="29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Literatura emergente sobre LLM agents e ecossistemas agênticos</w:t>
            </w:r>
          </w:p>
        </w:tc>
        <w:tc>
          <w:tcPr>
            <w:tcW w:type="dxa" w:w="1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All fields</w:t>
            </w:r>
          </w:p>
        </w:tc>
        <w:tc>
          <w:tcPr>
            <w:tcW w:type="dxa" w:w="3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2016–2026 — ver política na Seção 6.3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5.2.2 Busca Manual (veículos-alvo)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Autonomous Agents and Multi-Agent Systems (JAAMAS) — Springer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Transactions on Autonomous and Adaptive Systems (TADS) — ACM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Expert Systems with Applications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Information Sciences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International Conference on Autonomous Agents and Multiagent Systems (AAMAS)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KES Conference on Agent and Multi-Agent Systems — Technologies and Applications (KES-AMSTA)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International Conference on Multi-Agent Systems for Collaborative Intelligence (ICMSCI) — IEEE</w:t>
      </w:r>
    </w:p>
    <w:p>
      <w:pPr>
        <w:pStyle w:val="Heading2"/>
      </w:pPr>
      <w:r>
        <w:t xml:space="preserve">5.3 Processo de Seleção</w:t>
      </w:r>
    </w:p>
    <w:p>
      <w:pPr>
        <w:spacing w:after="120" w:line="276"/>
      </w:pPr>
      <w:r>
        <w:t xml:space="preserve">O processo ocorre em </w:t>
      </w:r>
      <w:r>
        <w:rPr>
          <w:b/>
          <w:bCs/>
        </w:rPr>
        <w:t xml:space="preserve">duas fases independentes</w:t>
      </w:r>
      <w:r>
        <w:t xml:space="preserve">, conduzidas por dois revisores, com resolução de conflitos por discussão ou terceiro revisor. A ferramenta </w:t>
      </w:r>
      <w:r>
        <w:rPr>
          <w:b/>
          <w:bCs/>
        </w:rPr>
        <w:t xml:space="preserve">Rayyan</w:t>
      </w:r>
      <w:r>
        <w:t xml:space="preserve"> é utilizada para gestão colaborativa da triagem.</w:t>
      </w:r>
    </w:p>
    <w:p>
      <w:pPr>
        <w:pStyle w:val="Heading3"/>
      </w:pPr>
      <w:r>
        <w:t xml:space="preserve">5.3.1 Pilotagem dos critérios (obrigatória antes da Fase 1)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Selecionar </w:t>
      </w:r>
      <w:r>
        <w:rPr>
          <w:b/>
          <w:bCs/>
        </w:rPr>
        <w:t xml:space="preserve">aleatoriamente 20 estudos</w:t>
      </w:r>
      <w:r>
        <w:t xml:space="preserve"> do pool de resultados.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Aplicar CI/CE (Seção 6) de forma independente pelos dois revisores (protocolo </w:t>
      </w:r>
      <w:r>
        <w:rPr>
          <w:i/>
          <w:iCs/>
        </w:rPr>
        <w:t xml:space="preserve">think-aloud</w:t>
      </w:r>
      <w:r>
        <w:t xml:space="preserve">: um revisor verbaliza a aplicação dos critérios a um estudo para alinhar interpretação).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Calcular o </w:t>
      </w:r>
      <w:r>
        <w:rPr>
          <w:b/>
          <w:bCs/>
        </w:rPr>
        <w:t xml:space="preserve">κ de Cohen por fase</w:t>
      </w:r>
      <w:r>
        <w:t xml:space="preserve"> e discutir todas as divergências; atualizar CI/CE e o glossário (Seção 2) se necessário.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Repetir até </w:t>
      </w:r>
      <w:r>
        <w:rPr>
          <w:b/>
          <w:bCs/>
        </w:rPr>
        <w:t xml:space="preserve">κ ≥ 0,6</w:t>
      </w:r>
      <w:r>
        <w:t xml:space="preserve"> na Fase 1 antes de iniciar a triagem completa.</w:t>
      </w:r>
    </w:p>
    <w:p>
      <w:pPr>
        <w:pStyle w:val="Heading3"/>
      </w:pPr>
      <w:r>
        <w:t xml:space="preserve">5.3.2 Fases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Fase 1 — Triagem de títulos e resumos:</w:t>
      </w:r>
      <w:r>
        <w:t xml:space="preserve"> aplicação dos critérios de inclusão e exclusão sobre título, resumo e palavras-chave. Cada revisor classifica cada estudo como </w:t>
      </w:r>
      <w:r>
        <w:rPr>
          <w:b/>
          <w:bCs/>
        </w:rPr>
        <w:t xml:space="preserve">Incluir / Excluir / Incerto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Fase 2 — Leitura completa:</w:t>
      </w:r>
      <w:r>
        <w:t xml:space="preserve"> leitura do texto integral para confirmar elegibilidade, com recálculo do κ nesta fase. Os estudos aprovados compõem o corpus final.</w:t>
      </w:r>
    </w:p>
    <w:p>
      <w:pPr>
        <w:pStyle w:val="Heading3"/>
      </w:pPr>
      <w:r>
        <w:t xml:space="preserve">5.3.3 Regras de decisão da triagem (matriz de combinações)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3"/>
        <w:gridCol w:w="2496"/>
        <w:gridCol w:w="2323"/>
        <w:gridCol w:w="2496"/>
      </w:tblGrid>
      <w:tr>
        <w:trPr>
          <w:cantSplit/>
          <w:tblHeader/>
        </w:trPr>
        <w:tc>
          <w:tcPr>
            <w:tcW w:type="dxa" w:w="2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R2: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Incluir</w:t>
            </w:r>
          </w:p>
        </w:tc>
        <w:tc>
          <w:tcPr>
            <w:tcW w:type="dxa" w:w="2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R2: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Incerto</w:t>
            </w:r>
          </w:p>
        </w:tc>
        <w:tc>
          <w:tcPr>
            <w:tcW w:type="dxa" w:w="2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R2: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Excluir</w:t>
            </w:r>
          </w:p>
        </w:tc>
      </w:tr>
      <w:tr>
        <w:trPr>
          <w:cantSplit/>
        </w:trPr>
        <w:tc>
          <w:tcPr>
            <w:tcW w:type="dxa" w:w="2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R1: Incluir</w:t>
            </w:r>
          </w:p>
        </w:tc>
        <w:tc>
          <w:tcPr>
            <w:tcW w:type="dxa" w:w="2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 — Incluído</w:t>
            </w:r>
          </w:p>
        </w:tc>
        <w:tc>
          <w:tcPr>
            <w:tcW w:type="dxa" w:w="2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B — Avança</w:t>
            </w:r>
          </w:p>
        </w:tc>
        <w:tc>
          <w:tcPr>
            <w:tcW w:type="dxa" w:w="2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D — Avança</w:t>
            </w:r>
          </w:p>
        </w:tc>
      </w:tr>
      <w:tr>
        <w:trPr>
          <w:cantSplit/>
        </w:trPr>
        <w:tc>
          <w:tcPr>
            <w:tcW w:type="dxa" w:w="2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R1: Incerto</w:t>
            </w:r>
          </w:p>
        </w:tc>
        <w:tc>
          <w:tcPr>
            <w:tcW w:type="dxa" w:w="2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B — Avança</w:t>
            </w:r>
          </w:p>
        </w:tc>
        <w:tc>
          <w:tcPr>
            <w:tcW w:type="dxa" w:w="2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C — Avança</w:t>
            </w:r>
          </w:p>
        </w:tc>
        <w:tc>
          <w:tcPr>
            <w:tcW w:type="dxa" w:w="2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E — Avança</w:t>
            </w:r>
          </w:p>
        </w:tc>
      </w:tr>
      <w:tr>
        <w:trPr>
          <w:cantSplit/>
        </w:trPr>
        <w:tc>
          <w:tcPr>
            <w:tcW w:type="dxa" w:w="2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R1: Excluir</w:t>
            </w:r>
          </w:p>
        </w:tc>
        <w:tc>
          <w:tcPr>
            <w:tcW w:type="dxa" w:w="2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D — Avança</w:t>
            </w:r>
          </w:p>
        </w:tc>
        <w:tc>
          <w:tcPr>
            <w:tcW w:type="dxa" w:w="2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E — Avança</w:t>
            </w:r>
          </w:p>
        </w:tc>
        <w:tc>
          <w:tcPr>
            <w:tcW w:type="dxa" w:w="24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F — </w:t>
            </w:r>
            <w:r>
              <w:rPr>
                <w:b/>
                <w:bCs/>
                <w:sz w:val="19"/>
                <w:szCs w:val="19"/>
              </w:rPr>
              <w:t xml:space="preserve">Excluído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Estratégia adotada (inclusiva):</w:t>
      </w:r>
      <w:r>
        <w:t xml:space="preserve"> avançam para a fase seguinte as combinações </w:t>
      </w:r>
      <w:r>
        <w:rPr>
          <w:b/>
          <w:bCs/>
        </w:rPr>
        <w:t xml:space="preserve">A–E</w:t>
      </w:r>
      <w:r>
        <w:t xml:space="preserve"> (qualquer dúvida preserva o estudo); apenas </w:t>
      </w:r>
      <w:r>
        <w:rPr>
          <w:b/>
          <w:bCs/>
        </w:rPr>
        <w:t xml:space="preserve">F</w:t>
      </w:r>
      <w:r>
        <w:t xml:space="preserve"> (ambos excluem) é eliminado. O custo de revisão adicional é aceito em troca de menor risco de perda de evidência.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Combinações D/E são resolvidas em reunião de consenso; persistindo a divergência, o terceiro revisor arbitra.</w:t>
      </w:r>
    </w:p>
    <w:p>
      <w:pPr>
        <w:pStyle w:val="Heading3"/>
      </w:pPr>
      <w:r>
        <w:t xml:space="preserve">5.3.4 Concordância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Fase 1 (título/resumo):</w:t>
      </w:r>
      <w:r>
        <w:t xml:space="preserve"> κ de Cohen — κ ≥ 0,6 aceitável; κ ≥ 0,8 excelente.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Fase 2 (texto completo):</w:t>
      </w:r>
      <w:r>
        <w:t xml:space="preserve"> recálculo do κ nesta fase, reportado no relato final.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Avaliação de qualidade (Seção 7):</w:t>
      </w:r>
      <w:r>
        <w:t xml:space="preserve"> </w:t>
      </w:r>
      <w:r>
        <w:rPr>
          <w:b/>
          <w:bCs/>
        </w:rPr>
        <w:t xml:space="preserve">κ ponderado</w:t>
      </w:r>
      <w:r>
        <w:t xml:space="preserve"> (peso linear, escala 0/0,5/1), dada a natureza ordinal da escala.</w:t>
      </w:r>
    </w:p>
    <w:p>
      <w:pPr>
        <w:pStyle w:val="Heading2"/>
      </w:pPr>
      <w:r>
        <w:t xml:space="preserve">5.4 Documentação e Retenção da Busca</w:t>
      </w:r>
    </w:p>
    <w:p>
      <w:pPr>
        <w:spacing w:after="120" w:line="276"/>
      </w:pPr>
      <w:r>
        <w:t xml:space="preserve">Conforme Kitchenham &amp; Charters (2007, Tabela 2 e §6.1.4):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8"/>
        <w:gridCol w:w="7760"/>
      </w:tblGrid>
      <w:tr>
        <w:trPr>
          <w:cantSplit/>
          <w:tblHeader/>
        </w:trPr>
        <w:tc>
          <w:tcPr>
            <w:tcW w:type="dxa" w:w="1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7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Documentação obrigatória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Base de dados</w:t>
            </w:r>
          </w:p>
        </w:tc>
        <w:tc>
          <w:tcPr>
            <w:tcW w:type="dxa" w:w="7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Nome, campos pesquisados, string adaptada à sintaxe, </w:t>
            </w:r>
            <w:r>
              <w:rPr>
                <w:b/>
                <w:bCs/>
                <w:sz w:val="19"/>
                <w:szCs w:val="19"/>
              </w:rPr>
              <w:t xml:space="preserve">data de execução</w:t>
            </w:r>
            <w:r>
              <w:rPr>
                <w:sz w:val="19"/>
                <w:szCs w:val="19"/>
              </w:rPr>
              <w:t xml:space="preserve">, anos cobertos, nº de resultados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Busca manual</w:t>
            </w:r>
          </w:p>
        </w:tc>
        <w:tc>
          <w:tcPr>
            <w:tcW w:type="dxa" w:w="7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Nome do veículo, período varrido, edições/editions não varridas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Google Scholar</w:t>
            </w:r>
          </w:p>
        </w:tc>
        <w:tc>
          <w:tcPr>
            <w:tcW w:type="dxa" w:w="7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Data, nº de resultados retidos (limite 300) e justificativa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Snowballing</w:t>
            </w:r>
          </w:p>
        </w:tc>
        <w:tc>
          <w:tcPr>
            <w:tcW w:type="dxa" w:w="7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Rodadas, direção (backward/forward), nº de estudos candidatos e incluídos por rodada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Geral</w:t>
            </w:r>
          </w:p>
        </w:tc>
        <w:tc>
          <w:tcPr>
            <w:tcW w:type="dxa" w:w="7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Resultados não filtrados (raw results) arquivados no OSF</w:t>
            </w:r>
            <w:r>
              <w:rPr>
                <w:sz w:val="19"/>
                <w:szCs w:val="19"/>
              </w:rPr>
              <w:t xml:space="preserve"> para possível reanálise; alterações na string documentadas e justificadas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6. Critérios de Inclusão e Exclusão</w:t>
      </w:r>
    </w:p>
    <w:p>
      <w:pPr>
        <w:spacing w:after="120" w:line="276"/>
      </w:pPr>
      <w:r>
        <w:t xml:space="preserve">Os artigos devem ter sido publicados entre </w:t>
      </w:r>
      <w:r>
        <w:rPr>
          <w:b/>
          <w:bCs/>
        </w:rPr>
        <w:t xml:space="preserve">2016 e 2026</w:t>
      </w:r>
      <w:r>
        <w:t xml:space="preserve"> (justificativa: consolidação da XAI moderna pós-LIME/SHAP e do campo de agentic AI; marco documentado), escritos em inglês, português ou chinês, e devem usar o termo "agente" no contexto computacional, excluindo os sentidos biológico e econômico.</w:t>
      </w:r>
    </w:p>
    <w:p>
      <w:pPr>
        <w:pStyle w:val="Heading2"/>
      </w:pPr>
      <w:r>
        <w:t xml:space="preserve">6.1 Critérios de Inclusão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"/>
        <w:gridCol w:w="8682"/>
      </w:tblGrid>
      <w:tr>
        <w:trPr>
          <w:cantSplit/>
          <w:tblHeader/>
        </w:trPr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6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</w:tr>
      <w:tr>
        <w:trPr>
          <w:cantSplit/>
        </w:trPr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CI1</w:t>
            </w:r>
          </w:p>
        </w:tc>
        <w:tc>
          <w:tcPr>
            <w:tcW w:type="dxa" w:w="86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Aborda explicitamente MAS, ecossistemas agênticos, colaboração, coordenação, autonomia ou emergência de comportamentos em contextos de IA (conforme definições da Seção 2).</w:t>
            </w:r>
          </w:p>
        </w:tc>
      </w:tr>
      <w:tr>
        <w:trPr>
          <w:cantSplit/>
        </w:trPr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CI2</w:t>
            </w:r>
          </w:p>
        </w:tc>
        <w:tc>
          <w:tcPr>
            <w:tcW w:type="dxa" w:w="86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Aborda explicitamente XAI, RAI, Confiança (Trust) ou Ética.</w:t>
            </w:r>
          </w:p>
        </w:tc>
      </w:tr>
      <w:tr>
        <w:trPr>
          <w:cantSplit/>
        </w:trPr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CI3</w:t>
            </w:r>
          </w:p>
        </w:tc>
        <w:tc>
          <w:tcPr>
            <w:tcW w:type="dxa" w:w="86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Estudo de caso, arquitetura proposta, survey ou revisão sistemática que trate diretamente de MAS + XAI/RAI.</w:t>
            </w:r>
          </w:p>
        </w:tc>
      </w:tr>
      <w:tr>
        <w:trPr>
          <w:cantSplit/>
        </w:trPr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CI4</w:t>
            </w:r>
          </w:p>
        </w:tc>
        <w:tc>
          <w:tcPr>
            <w:tcW w:type="dxa" w:w="86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Publicado entre 2016 e 2026.</w:t>
            </w:r>
          </w:p>
        </w:tc>
      </w:tr>
      <w:tr>
        <w:trPr>
          <w:cantSplit/>
        </w:trPr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CI5</w:t>
            </w:r>
          </w:p>
        </w:tc>
        <w:tc>
          <w:tcPr>
            <w:tcW w:type="dxa" w:w="86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Artigo de periódico, anais de conferência, workshop revisado por pares, tese ou dissertação — </w:t>
            </w:r>
            <w:r>
              <w:rPr>
                <w:b/>
                <w:bCs/>
                <w:sz w:val="19"/>
                <w:szCs w:val="19"/>
              </w:rPr>
              <w:t xml:space="preserve">ou pré-print arXiv elegível conforme Seção 6.3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CI6</w:t>
            </w:r>
          </w:p>
        </w:tc>
        <w:tc>
          <w:tcPr>
            <w:tcW w:type="dxa" w:w="86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Texto completo disponível para acesso.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6.2 Critérios de Exclusão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"/>
        <w:gridCol w:w="8693"/>
      </w:tblGrid>
      <w:tr>
        <w:trPr>
          <w:cantSplit/>
          <w:tblHeader/>
        </w:trPr>
        <w:tc>
          <w:tcPr>
            <w:tcW w:type="dxa" w:w="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</w:tr>
      <w:tr>
        <w:trPr>
          <w:cantSplit/>
        </w:trPr>
        <w:tc>
          <w:tcPr>
            <w:tcW w:type="dxa" w:w="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CE1</w:t>
            </w:r>
          </w:p>
        </w:tc>
        <w:tc>
          <w:tcPr>
            <w:tcW w:type="dxa" w:w="8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Artigos duplicados (ver regra de múltiplas publicações, Seção 6.3).</w:t>
            </w:r>
          </w:p>
        </w:tc>
      </w:tr>
      <w:tr>
        <w:trPr>
          <w:cantSplit/>
        </w:trPr>
        <w:tc>
          <w:tcPr>
            <w:tcW w:type="dxa" w:w="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CE2</w:t>
            </w:r>
          </w:p>
        </w:tc>
        <w:tc>
          <w:tcPr>
            <w:tcW w:type="dxa" w:w="8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Texto completo não disponível integralmente.</w:t>
            </w:r>
          </w:p>
        </w:tc>
      </w:tr>
      <w:tr>
        <w:trPr>
          <w:cantSplit/>
        </w:trPr>
        <w:tc>
          <w:tcPr>
            <w:tcW w:type="dxa" w:w="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CE3</w:t>
            </w:r>
          </w:p>
        </w:tc>
        <w:tc>
          <w:tcPr>
            <w:tcW w:type="dxa" w:w="8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Livros, capítulos de livros e relatórios técnicos (exceto teses e dissertações).</w:t>
            </w:r>
          </w:p>
        </w:tc>
      </w:tr>
      <w:tr>
        <w:trPr>
          <w:cantSplit/>
        </w:trPr>
        <w:tc>
          <w:tcPr>
            <w:tcW w:type="dxa" w:w="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CE4</w:t>
            </w:r>
          </w:p>
        </w:tc>
        <w:tc>
          <w:tcPr>
            <w:tcW w:type="dxa" w:w="8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Trabalhos com agentes isolados (single-agent) que não interagem em ecossistema ou MAS, exceto quando usados como baseline comparativo.</w:t>
            </w:r>
          </w:p>
        </w:tc>
      </w:tr>
      <w:tr>
        <w:trPr>
          <w:cantSplit/>
        </w:trPr>
        <w:tc>
          <w:tcPr>
            <w:tcW w:type="dxa" w:w="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CE5</w:t>
            </w:r>
          </w:p>
        </w:tc>
        <w:tc>
          <w:tcPr>
            <w:tcW w:type="dxa" w:w="8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Artigos que não abordam Trust, XAI ou Responsabilidade.</w:t>
            </w:r>
          </w:p>
        </w:tc>
      </w:tr>
      <w:tr>
        <w:trPr>
          <w:cantSplit/>
        </w:trPr>
        <w:tc>
          <w:tcPr>
            <w:tcW w:type="dxa" w:w="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CE6</w:t>
            </w:r>
          </w:p>
        </w:tc>
        <w:tc>
          <w:tcPr>
            <w:tcW w:type="dxa" w:w="8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Estudos que discutem explicabilidade em contextos não computacionais (filosofia, psicologia, biologia).</w:t>
            </w:r>
          </w:p>
        </w:tc>
      </w:tr>
      <w:tr>
        <w:trPr>
          <w:cantSplit/>
        </w:trPr>
        <w:tc>
          <w:tcPr>
            <w:tcW w:type="dxa" w:w="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CE7</w:t>
            </w:r>
          </w:p>
        </w:tc>
        <w:tc>
          <w:tcPr>
            <w:tcW w:type="dxa" w:w="8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XAI aplicado exclusivamente a modelos preditivos isolados (ex.: SHAP em classificadores) sem vínculo com MAS ou agentes.</w:t>
            </w:r>
          </w:p>
        </w:tc>
      </w:tr>
      <w:tr>
        <w:trPr>
          <w:cantSplit/>
        </w:trPr>
        <w:tc>
          <w:tcPr>
            <w:tcW w:type="dxa" w:w="9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CE8</w:t>
            </w:r>
          </w:p>
        </w:tc>
        <w:tc>
          <w:tcPr>
            <w:tcW w:type="dxa" w:w="8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Estudos que usam "agente" apenas no sentido genérico de software agent (ex.: agentes HTTP, agentes de busca web), sem arquitetura MAS.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6.3 Regras Especiais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1"/>
        <w:gridCol w:w="6507"/>
      </w:tblGrid>
      <w:tr>
        <w:trPr>
          <w:cantSplit/>
          <w:tblHeader/>
        </w:trPr>
        <w:tc>
          <w:tcPr>
            <w:tcW w:type="dxa" w:w="3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  <w:tc>
          <w:tcPr>
            <w:tcW w:type="dxa" w:w="6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3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Pré-prints (arXiv)</w:t>
            </w:r>
          </w:p>
        </w:tc>
        <w:tc>
          <w:tcPr>
            <w:tcW w:type="dxa" w:w="6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Diante da velocidade do campo, pré-prints do arXiv </w:t>
            </w:r>
            <w:r>
              <w:rPr>
                <w:b/>
                <w:bCs/>
                <w:sz w:val="19"/>
                <w:szCs w:val="19"/>
              </w:rPr>
              <w:t xml:space="preserve">são elegíveis</w:t>
            </w:r>
            <w:r>
              <w:rPr>
                <w:sz w:val="19"/>
                <w:szCs w:val="19"/>
              </w:rPr>
              <w:t xml:space="preserve"> (desvio consciente do critério estrito de revisão por pares, justificado pela relevância do tema), com as salvaguardas: (i) marcados como </w:t>
            </w:r>
            <w:r>
              <w:rPr>
                <w:i/>
                <w:iCs/>
                <w:sz w:val="19"/>
                <w:szCs w:val="19"/>
              </w:rPr>
              <w:t xml:space="preserve">pré-print</w:t>
            </w:r>
            <w:r>
              <w:rPr>
                <w:sz w:val="19"/>
                <w:szCs w:val="19"/>
              </w:rPr>
              <w:t xml:space="preserve"> no Bloco A; (ii) </w:t>
            </w:r>
            <w:r>
              <w:rPr>
                <w:b/>
                <w:bCs/>
                <w:sz w:val="19"/>
                <w:szCs w:val="19"/>
              </w:rPr>
              <w:t xml:space="preserve">selecionados apenas para subcorpus</w:t>
            </w:r>
            <w:r>
              <w:rPr>
                <w:sz w:val="19"/>
                <w:szCs w:val="19"/>
              </w:rPr>
              <w:t xml:space="preserve"> e tratados em análise de sensibilidade; (iii) se existir versão publicada, prevalece a publicada.</w:t>
            </w:r>
          </w:p>
        </w:tc>
      </w:tr>
      <w:tr>
        <w:trPr>
          <w:cantSplit/>
        </w:trPr>
        <w:tc>
          <w:tcPr>
            <w:tcW w:type="dxa" w:w="3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Múltiplas publicações do mesmo estudo</w:t>
            </w:r>
          </w:p>
        </w:tc>
        <w:tc>
          <w:tcPr>
            <w:tcW w:type="dxa" w:w="6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Quando o mesmo estudo aparece em múltiplas fontes (conferência → journal estendido): usa-se a </w:t>
            </w:r>
            <w:r>
              <w:rPr>
                <w:b/>
                <w:bCs/>
                <w:sz w:val="19"/>
                <w:szCs w:val="19"/>
              </w:rPr>
              <w:t xml:space="preserve">versão mais completa</w:t>
            </w:r>
            <w:r>
              <w:rPr>
                <w:sz w:val="19"/>
                <w:szCs w:val="19"/>
              </w:rPr>
              <w:t xml:space="preserve">; ambas as ocorrências são registradas no Bloco A (Q-O10) e contam </w:t>
            </w:r>
            <w:r>
              <w:rPr>
                <w:b/>
                <w:bCs/>
                <w:sz w:val="19"/>
                <w:szCs w:val="19"/>
              </w:rPr>
              <w:t xml:space="preserve">uma única vez</w:t>
            </w:r>
            <w:r>
              <w:rPr>
                <w:sz w:val="19"/>
                <w:szCs w:val="19"/>
              </w:rPr>
              <w:t xml:space="preserve"> na síntese.</w:t>
            </w:r>
          </w:p>
        </w:tc>
      </w:tr>
      <w:tr>
        <w:trPr>
          <w:cantSplit/>
        </w:trPr>
        <w:tc>
          <w:tcPr>
            <w:tcW w:type="dxa" w:w="3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Duplicados entre bases</w:t>
            </w:r>
          </w:p>
        </w:tc>
        <w:tc>
          <w:tcPr>
            <w:tcW w:type="dxa" w:w="6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Identificados no Rayyan por DOI/título; estado </w:t>
            </w:r>
            <w:r>
              <w:rPr>
                <w:i/>
                <w:iCs/>
                <w:sz w:val="19"/>
                <w:szCs w:val="19"/>
              </w:rPr>
              <w:t xml:space="preserve">Duplicated</w:t>
            </w:r>
            <w:r>
              <w:rPr>
                <w:sz w:val="19"/>
                <w:szCs w:val="19"/>
              </w:rPr>
              <w:t xml:space="preserve"> registrado com apontamento para o registro canônico.</w:t>
            </w:r>
          </w:p>
        </w:tc>
      </w:tr>
      <w:tr>
        <w:trPr>
          <w:cantSplit/>
        </w:trPr>
        <w:tc>
          <w:tcPr>
            <w:tcW w:type="dxa" w:w="3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Idioma chinês</w:t>
            </w:r>
          </w:p>
        </w:tc>
        <w:tc>
          <w:tcPr>
            <w:tcW w:type="dxa" w:w="6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Avaliação conduzida por revisor com proficiência; se indisponível, tradução automática </w:t>
            </w:r>
            <w:r>
              <w:rPr>
                <w:b/>
                <w:bCs/>
                <w:sz w:val="19"/>
                <w:szCs w:val="19"/>
              </w:rPr>
              <w:t xml:space="preserve">com verificação humana</w:t>
            </w:r>
            <w:r>
              <w:rPr>
                <w:sz w:val="19"/>
                <w:szCs w:val="19"/>
              </w:rPr>
              <w:t xml:space="preserve"> das seções usadas na extração; limitação registrada.</w:t>
            </w:r>
          </w:p>
        </w:tc>
      </w:tr>
      <w:tr>
        <w:trPr>
          <w:cantSplit/>
        </w:trPr>
        <w:tc>
          <w:tcPr>
            <w:tcW w:type="dxa" w:w="3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RSLs incluídas (via CI3)</w:t>
            </w:r>
          </w:p>
        </w:tc>
        <w:tc>
          <w:tcPr>
            <w:tcW w:type="dxa" w:w="6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Revisões secundárias não recebem os Blocos B–F (não se aplicam); compõem </w:t>
            </w:r>
            <w:r>
              <w:rPr>
                <w:b/>
                <w:bCs/>
                <w:sz w:val="19"/>
                <w:szCs w:val="19"/>
              </w:rPr>
              <w:t xml:space="preserve">subcamada própria</w:t>
            </w:r>
            <w:r>
              <w:rPr>
                <w:sz w:val="19"/>
                <w:szCs w:val="19"/>
              </w:rPr>
              <w:t xml:space="preserve">: (i) fonte de snowballing das referências; (ii) insumo direto do Bloco G (lacunas); (iii) listadas e sintetizadas separadamente nos resultados, sem contagem como evidência primária.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7. Avaliação de Qualidade</w:t>
      </w:r>
    </w:p>
    <w:p>
      <w:pPr>
        <w:pStyle w:val="Heading2"/>
      </w:pPr>
      <w:r>
        <w:t xml:space="preserve">7.1 Propósitos da avaliação de qualidade (Zhou et al., 2015)</w:t>
      </w:r>
    </w:p>
    <w:p>
      <w:pPr>
        <w:spacing w:after="120" w:line="276"/>
      </w:pPr>
      <w:r>
        <w:t xml:space="preserve">O QA é conduzido com propósitos explícitos (evitando o "uso cego" identificado por Zhou et al.):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579"/>
      </w:tblGrid>
      <w:tr>
        <w:trPr>
          <w:cantSplit/>
          <w:tblHeader/>
        </w:trP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7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Aplicação neste protocolo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P1 — Seleção</w:t>
            </w:r>
          </w:p>
        </w:tc>
        <w:tc>
          <w:tcPr>
            <w:tcW w:type="dxa" w:w="7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Critério adicional de inclusão/exclusão: score &lt; 4,0 → exclusão.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P3 — Ponderação</w:t>
            </w:r>
          </w:p>
        </w:tc>
        <w:tc>
          <w:tcPr>
            <w:tcW w:type="dxa" w:w="7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Peso na verificação das hipóteses (Seção 3.3) e na síntese.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P4 — Interpretação</w:t>
            </w:r>
          </w:p>
        </w:tc>
        <w:tc>
          <w:tcPr>
            <w:tcW w:type="dxa" w:w="7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Análise por categoria (Reporting/Rigor/Credibility/Relevance) e análise de sensibilidade (Seção 10.3).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P2/P5</w:t>
            </w:r>
          </w:p>
        </w:tc>
        <w:tc>
          <w:tcPr>
            <w:tcW w:type="dxa" w:w="7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P2 (explicar diferenças entre resultados) e P5 (recomendações) serão avaliados quanto à viabilidade durante a condução e, se adotados, registrados no Log de Desvios.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7.2 Instrumento</w:t>
      </w:r>
    </w:p>
    <w:p>
      <w:pPr>
        <w:spacing w:after="120" w:line="276"/>
      </w:pPr>
      <w:r>
        <w:t xml:space="preserve">Segue o framework de </w:t>
      </w:r>
      <w:r>
        <w:rPr>
          <w:b/>
          <w:bCs/>
        </w:rPr>
        <w:t xml:space="preserve">Zhou et al. (2015, EASE)</w:t>
      </w:r>
      <w:r>
        <w:t xml:space="preserve"> — organizado em quatro categorias: </w:t>
      </w:r>
      <w:r>
        <w:rPr>
          <w:b/>
          <w:bCs/>
        </w:rPr>
        <w:t xml:space="preserve">Reporting, Rigor, Credibility e Relevance</w:t>
      </w:r>
      <w:r>
        <w:t xml:space="preserve"> — adaptado ao contexto de XAI em MAS, com </w:t>
      </w:r>
      <w:r>
        <w:rPr>
          <w:b/>
          <w:bCs/>
        </w:rPr>
        <w:t xml:space="preserve">10 critérios</w:t>
      </w:r>
      <w:r>
        <w:t xml:space="preserve">. </w:t>
      </w:r>
      <w:r>
        <w:rPr>
          <w:i/>
          <w:iCs/>
        </w:rPr>
        <w:t xml:space="preserve">(Referência corrigida em relação à v2.0: o framework de quatro aspectos provém do tertiary study de Zhou et al., EASE'15.)</w:t>
      </w:r>
    </w:p>
    <w:p>
      <w:pPr>
        <w:pStyle w:val="Heading2"/>
      </w:pPr>
      <w:r>
        <w:t xml:space="preserve">7.3 Escala e regras de pontuação</w:t>
      </w:r>
    </w:p>
    <w:p>
      <w:pPr>
        <w:spacing w:after="120" w:line="276"/>
      </w:pPr>
      <w:r>
        <w:t xml:space="preserve">Cada critério é pontuado em escala ordinal: </w:t>
      </w:r>
      <w:r>
        <w:rPr>
          <w:b/>
          <w:bCs/>
        </w:rPr>
        <w:t xml:space="preserve">0 = Não · 0,5 = Parcial · 1 = Sim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Pontuação total (máximo 10 pontos):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"/>
        <w:gridCol w:w="2974"/>
        <w:gridCol w:w="5640"/>
      </w:tblGrid>
      <w:tr>
        <w:trPr>
          <w:cantSplit/>
          <w:tblHeader/>
        </w:trPr>
        <w:tc>
          <w:tcPr>
            <w:tcW w:type="dxa" w:w="1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Faixa</w:t>
            </w:r>
          </w:p>
        </w:tc>
        <w:tc>
          <w:tcPr>
            <w:tcW w:type="dxa" w:w="2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Consequência</w:t>
            </w:r>
          </w:p>
        </w:tc>
      </w:tr>
      <w:tr>
        <w:trPr>
          <w:cantSplit/>
        </w:trPr>
        <w:tc>
          <w:tcPr>
            <w:tcW w:type="dxa" w:w="1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≥ 7,0</w:t>
            </w:r>
          </w:p>
        </w:tc>
        <w:tc>
          <w:tcPr>
            <w:tcW w:type="dxa" w:w="2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Alta qualidade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Peso pleno na síntese e na verificação das hipóteses</w:t>
            </w:r>
          </w:p>
        </w:tc>
      </w:tr>
      <w:tr>
        <w:trPr>
          <w:cantSplit/>
        </w:trPr>
        <w:tc>
          <w:tcPr>
            <w:tcW w:type="dxa" w:w="1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4,0 – 6,9</w:t>
            </w:r>
          </w:p>
        </w:tc>
        <w:tc>
          <w:tcPr>
            <w:tcW w:type="dxa" w:w="2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Moderada (com ressalva metodológica)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Incluído com </w:t>
            </w:r>
            <w:r>
              <w:rPr>
                <w:b/>
                <w:bCs/>
                <w:sz w:val="19"/>
                <w:szCs w:val="19"/>
              </w:rPr>
              <w:t xml:space="preserve">flag de ressalva</w:t>
            </w:r>
            <w:r>
              <w:rPr>
                <w:sz w:val="19"/>
                <w:szCs w:val="19"/>
              </w:rPr>
              <w:t xml:space="preserve">; reportado separadamente na análise de sensibilidade</w:t>
            </w:r>
          </w:p>
        </w:tc>
      </w:tr>
      <w:tr>
        <w:trPr>
          <w:cantSplit/>
        </w:trPr>
        <w:tc>
          <w:tcPr>
            <w:tcW w:type="dxa" w:w="1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&lt; 4,0</w:t>
            </w:r>
          </w:p>
        </w:tc>
        <w:tc>
          <w:tcPr>
            <w:tcW w:type="dxa" w:w="2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Baixa qualidade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Excluído</w:t>
            </w:r>
            <w:r>
              <w:rPr>
                <w:sz w:val="19"/>
                <w:szCs w:val="19"/>
              </w:rPr>
              <w:t xml:space="preserve"> (propósito P1)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b/>
          <w:bCs/>
        </w:rPr>
        <w:t xml:space="preserve">Regra para itens N/A:</w:t>
      </w:r>
      <w:r>
        <w:t xml:space="preserve"> se um critério não for aplicável ao tipo de estudo (ex.: Q6 exige MAS caracterizado — irrelevante para uma RSL), o item é marcado </w:t>
      </w:r>
      <w:r>
        <w:rPr>
          <w:b/>
          <w:bCs/>
        </w:rPr>
        <w:t xml:space="preserve">N/A</w:t>
      </w:r>
      <w:r>
        <w:t xml:space="preserve"> e </w:t>
      </w:r>
      <w:r>
        <w:rPr>
          <w:b/>
          <w:bCs/>
        </w:rPr>
        <w:t xml:space="preserve">excluído do denominador</w:t>
      </w:r>
      <w:r>
        <w:t xml:space="preserve">. A pontuação do estudo é recalculada como:</w:t>
      </w:r>
    </w:p>
    <w:p>
      <w:pPr>
        <w:shd w:fill="DCE6F2" w:color="auto" w:val="clear"/>
        <w:spacing w:after="160" w:before="100"/>
        <w:jc w:val="center"/>
      </w:pPr>
      <w:r>
        <w:rPr>
          <w:b/>
          <w:bCs/>
          <w:color w:val="1F3864"/>
          <w:sz w:val="22"/>
          <w:szCs w:val="22"/>
        </w:rPr>
        <w:t xml:space="preserve">Score ajustado = (Σ pontos obtidos / Σ pontos possíveis considerando apenas itens aplicáveis) × 10</w:t>
      </w:r>
    </w:p>
    <w:p>
      <w:pPr>
        <w:spacing w:after="120" w:line="276"/>
      </w:pPr>
      <w:r>
        <w:t xml:space="preserve">A contagem de N/A por estudo é reportada nos resultados, pois a concentração de N/A pode indicar limitações na caracterização do próprio corpus.</w:t>
      </w:r>
    </w:p>
    <w:p>
      <w:pPr>
        <w:pStyle w:val="Heading2"/>
      </w:pPr>
      <w:r>
        <w:t xml:space="preserve">7.4 Checklist de qualidade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2"/>
        <w:gridCol w:w="1395"/>
        <w:gridCol w:w="3177"/>
        <w:gridCol w:w="2834"/>
      </w:tblGrid>
      <w:tr>
        <w:trPr>
          <w:cantSplit/>
          <w:tblHeader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 Zhou</w:t>
            </w:r>
          </w:p>
        </w:tc>
        <w:tc>
          <w:tcPr>
            <w:tcW w:type="dxa" w:w="3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 de qualidade</w:t>
            </w:r>
          </w:p>
        </w:tc>
        <w:tc>
          <w:tcPr>
            <w:tcW w:type="dxa" w:w="2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 de verificação (0 / 0,5 / 1)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Reporting — clareza e completude do relato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Q1</w:t>
            </w:r>
          </w:p>
        </w:tc>
        <w:tc>
          <w:tcPr>
            <w:tcW w:type="dxa" w:w="13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Reporting</w:t>
            </w:r>
          </w:p>
        </w:tc>
        <w:tc>
          <w:tcPr>
            <w:tcW w:type="dxa" w:w="3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 objetivo e a questão de pesquisa estão claramente definidos?</w:t>
            </w:r>
          </w:p>
        </w:tc>
        <w:tc>
          <w:tcPr>
            <w:tcW w:type="dxa" w:w="2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= objetivo explícito e alinhado às RQs · 0,5 = objetivo presente mas impreciso · 0 = ausente ou vago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Q2</w:t>
            </w:r>
          </w:p>
        </w:tc>
        <w:tc>
          <w:tcPr>
            <w:tcW w:type="dxa" w:w="13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Reporting</w:t>
            </w:r>
          </w:p>
        </w:tc>
        <w:tc>
          <w:tcPr>
            <w:tcW w:type="dxa" w:w="3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 conclusões são suportadas pelos dados e respondem às questões de pesquisa?</w:t>
            </w:r>
          </w:p>
        </w:tc>
        <w:tc>
          <w:tcPr>
            <w:tcW w:type="dxa" w:w="2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= conclusões derivadas dos dados · 0,5 = parcialmente fundamentadas · 0 = sem suporte nos dados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Q3</w:t>
            </w:r>
          </w:p>
        </w:tc>
        <w:tc>
          <w:tcPr>
            <w:tcW w:type="dxa" w:w="13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Reporting</w:t>
            </w:r>
          </w:p>
        </w:tc>
        <w:tc>
          <w:tcPr>
            <w:tcW w:type="dxa" w:w="3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 ameaças à validade são identificadas e discutidas?</w:t>
            </w:r>
          </w:p>
        </w:tc>
        <w:tc>
          <w:tcPr>
            <w:tcW w:type="dxa" w:w="2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= ameaças com mitigações · 0,5 = mencionadas sem mitigação · 0 = não discutidas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Rigor — adequação metodológica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Q4</w:t>
            </w:r>
          </w:p>
        </w:tc>
        <w:tc>
          <w:tcPr>
            <w:tcW w:type="dxa" w:w="13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Rigor</w:t>
            </w:r>
          </w:p>
        </w:tc>
        <w:tc>
          <w:tcPr>
            <w:tcW w:type="dxa" w:w="3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 design do estudo é adequado ao objetivo?</w:t>
            </w:r>
          </w:p>
        </w:tc>
        <w:tc>
          <w:tcPr>
            <w:tcW w:type="dxa" w:w="2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= design justificado e coerente com as RQs · 0,5 = adequado mas não justificado · 0 = inadequado ou ausente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Q5</w:t>
            </w:r>
          </w:p>
        </w:tc>
        <w:tc>
          <w:tcPr>
            <w:tcW w:type="dxa" w:w="13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Rigor</w:t>
            </w:r>
          </w:p>
        </w:tc>
        <w:tc>
          <w:tcPr>
            <w:tcW w:type="dxa" w:w="3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 método de coleta de dados é descrito e justificado?</w:t>
            </w:r>
          </w:p>
        </w:tc>
        <w:tc>
          <w:tcPr>
            <w:tcW w:type="dxa" w:w="2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= método detalhado e justificado · 0,5 = descrito sem justificativa · 0 = não descrito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Q6</w:t>
            </w:r>
          </w:p>
        </w:tc>
        <w:tc>
          <w:tcPr>
            <w:tcW w:type="dxa" w:w="13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Rigor</w:t>
            </w:r>
          </w:p>
        </w:tc>
        <w:tc>
          <w:tcPr>
            <w:tcW w:type="dxa" w:w="3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 MAS é caracterizado (tipo de agente, número, interações, arquitetura)?</w:t>
            </w:r>
          </w:p>
        </w:tc>
        <w:tc>
          <w:tcPr>
            <w:tcW w:type="dxa" w:w="2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= MAS completamente descrito · 0,5 = descrição parcial · 0 = não caracterizado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Q7</w:t>
            </w:r>
          </w:p>
        </w:tc>
        <w:tc>
          <w:tcPr>
            <w:tcW w:type="dxa" w:w="13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Rigor</w:t>
            </w:r>
          </w:p>
        </w:tc>
        <w:tc>
          <w:tcPr>
            <w:tcW w:type="dxa" w:w="3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abordagem de XAI está vinculada à arquitetura do MAS?</w:t>
            </w:r>
          </w:p>
        </w:tc>
        <w:tc>
          <w:tcPr>
            <w:tcW w:type="dxa" w:w="2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= vínculo explícito e justificado · 0,5 = relação implícita ou parcial · 0 = XAI tratada de forma isolada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Credibility — confiabilidade e validade dos resultados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Q8</w:t>
            </w:r>
          </w:p>
        </w:tc>
        <w:tc>
          <w:tcPr>
            <w:tcW w:type="dxa" w:w="13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Credibility</w:t>
            </w:r>
          </w:p>
        </w:tc>
        <w:tc>
          <w:tcPr>
            <w:tcW w:type="dxa" w:w="3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Os requisitos de XAI/RAI/Trust são explicitamente definidos ou operacionalizados?</w:t>
            </w:r>
          </w:p>
        </w:tc>
        <w:tc>
          <w:tcPr>
            <w:tcW w:type="dxa" w:w="2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= requisitos formalizados e mensuráveis · 0,5 = mencionados sem formalização · 0 = ausentes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Relevance — valor e aplicabilidade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Q9</w:t>
            </w:r>
          </w:p>
        </w:tc>
        <w:tc>
          <w:tcPr>
            <w:tcW w:type="dxa" w:w="13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Relevance</w:t>
            </w:r>
          </w:p>
        </w:tc>
        <w:tc>
          <w:tcPr>
            <w:tcW w:type="dxa" w:w="3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 papel dos stakeholders na explicabilidade é discutido?</w:t>
            </w:r>
          </w:p>
        </w:tc>
        <w:tc>
          <w:tcPr>
            <w:tcW w:type="dxa" w:w="2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= stakeholders identificados com impacto descrito · 0,5 = mencionados sem aprofundamento · 0 = não discutidos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Q10</w:t>
            </w:r>
          </w:p>
        </w:tc>
        <w:tc>
          <w:tcPr>
            <w:tcW w:type="dxa" w:w="13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Relevance</w:t>
            </w:r>
          </w:p>
        </w:tc>
        <w:tc>
          <w:tcPr>
            <w:tcW w:type="dxa" w:w="3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 estudo identifica lacunas ou direções futuras em XAI para MAS?</w:t>
            </w:r>
          </w:p>
        </w:tc>
        <w:tc>
          <w:tcPr>
            <w:tcW w:type="dxa" w:w="2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= lacunas explícitas com direções futuras · 0,5 = lacunas superficiais · 0 = não abordadas</w:t>
            </w:r>
          </w:p>
        </w:tc>
      </w:tr>
    </w:tbl>
    <w:p>
      <w:pPr>
        <w:spacing w:after="140"/>
      </w:pPr>
    </w:p>
    <w:p>
      <w:pPr>
        <w:pBdr>
          <w:left w:val="single" w:color="E0A800" w:sz="18" w:space="8"/>
        </w:pBdr>
        <w:shd w:fill="FFF4D6" w:color="auto" w:val="clear"/>
        <w:spacing w:after="160" w:before="80" w:line="276"/>
        <w:ind w:left="200" w:right="200"/>
      </w:pPr>
      <w:r>
        <w:rPr>
          <w:b/>
          <w:bCs/>
          <w:sz w:val="21"/>
          <w:szCs w:val="21"/>
        </w:rPr>
        <w:t xml:space="preserve">Itens N/A previstos:</w:t>
      </w:r>
      <w:r>
        <w:rPr>
          <w:sz w:val="21"/>
          <w:szCs w:val="21"/>
        </w:rPr>
        <w:t xml:space="preserve"> Q6 e Q7 são N/A para RSLs e estudos puramente conceituais (ver regra da Seção 6.3 sobre subcamada de RSLs); Q9 é N/A quando o estudo não envolve stakeholders humanos por design (ex.: contribuição puramente teórica), caso documentado em extração.</w:t>
      </w:r>
    </w:p>
    <w:p>
      <w:pPr>
        <w:pStyle w:val="Heading2"/>
      </w:pPr>
      <w:r>
        <w:t xml:space="preserve">7.5 Procedimento de avaliação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Dupla avaliação independente</w:t>
      </w:r>
      <w:r>
        <w:t xml:space="preserve"> de cada estudo incluído, pelos dois revisores.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Concordância medida por </w:t>
      </w:r>
      <w:r>
        <w:rPr>
          <w:b/>
          <w:bCs/>
        </w:rPr>
        <w:t xml:space="preserve">κ ponderado</w:t>
      </w:r>
      <w:r>
        <w:t xml:space="preserve"> (peso linear sobre a escala 0/0,5/1), reportado no relato final.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Divergências de até 0,5 ponto em item individual são resolvidas por discussão; divergências maiores ou persistentes são </w:t>
      </w:r>
      <w:r>
        <w:rPr>
          <w:b/>
          <w:bCs/>
        </w:rPr>
        <w:t xml:space="preserve">arbitradas pelo terceiro revisor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Cada estudo recebe, além do score total, a </w:t>
      </w:r>
      <w:r>
        <w:rPr>
          <w:b/>
          <w:bCs/>
        </w:rPr>
        <w:t xml:space="preserve">pontuação por categoria</w:t>
      </w:r>
      <w:r>
        <w:t xml:space="preserve"> (Reporting / Rigor / Credibility / Relevance), que alimenta a análise de sensibilidade (Seção 10.3).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A planilha de QA (incluindo as notas </w:t>
      </w:r>
      <w:r>
        <w:rPr>
          <w:rFonts w:ascii="Consolas" w:cs="Consolas" w:eastAsia="Consolas" w:hAnsi="Consolas"/>
          <w:sz w:val="20"/>
          <w:szCs w:val="20"/>
        </w:rPr>
        <w:t xml:space="preserve">na</w:t>
      </w:r>
      <w:r>
        <w:t xml:space="preserve"> e sua justificativa) integra o pacote de replicação (Seção 14).</w:t>
      </w:r>
    </w:p>
    <w:p>
      <w:pPr>
        <w:pStyle w:val="Heading1"/>
      </w:pPr>
      <w:r>
        <w:t xml:space="preserve">8. Snowballing</w:t>
      </w:r>
    </w:p>
    <w:p>
      <w:pPr>
        <w:spacing w:after="120" w:line="276"/>
      </w:pPr>
      <w:r>
        <w:t xml:space="preserve">Após a composição do corpus final, será aplicada a técnica de snowballing em duas direções, </w:t>
      </w:r>
      <w:r>
        <w:rPr>
          <w:b/>
          <w:bCs/>
        </w:rPr>
        <w:t xml:space="preserve">limitada a 2 rodadas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7"/>
        <w:gridCol w:w="6346"/>
        <w:gridCol w:w="2095"/>
      </w:tblGrid>
      <w:tr>
        <w:trPr>
          <w:cantSplit/>
          <w:tblHeader/>
        </w:trPr>
        <w:tc>
          <w:tcPr>
            <w:tcW w:type="dxa" w:w="11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Direção</w:t>
            </w:r>
          </w:p>
        </w:tc>
        <w:tc>
          <w:tcPr>
            <w:tcW w:type="dxa" w:w="6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Procedimento</w:t>
            </w:r>
          </w:p>
        </w:tc>
        <w:tc>
          <w:tcPr>
            <w:tcW w:type="dxa" w:w="2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Ferramentas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Backward</w:t>
            </w:r>
          </w:p>
        </w:tc>
        <w:tc>
          <w:tcPr>
            <w:tcW w:type="dxa" w:w="6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Análise das referências bibliográficas dos estudos incluídos para identificar estudos relevantes não capturados pela busca automática</w:t>
            </w:r>
          </w:p>
        </w:tc>
        <w:tc>
          <w:tcPr>
            <w:tcW w:type="dxa" w:w="2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Listas de referências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Forward</w:t>
            </w:r>
          </w:p>
        </w:tc>
        <w:tc>
          <w:tcPr>
            <w:tcW w:type="dxa" w:w="6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Análise dos estudos que citam os artigos incluídos</w:t>
            </w:r>
          </w:p>
        </w:tc>
        <w:tc>
          <w:tcPr>
            <w:tcW w:type="dxa" w:w="2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Scopus e Web of Science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b/>
          <w:bCs/>
        </w:rPr>
        <w:t xml:space="preserve">Regras operacionais: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Cada estudo candidato ao snowballing passa pelas </w:t>
      </w:r>
      <w:r>
        <w:rPr>
          <w:b/>
          <w:bCs/>
        </w:rPr>
        <w:t xml:space="preserve">mesmas fases de seleção</w:t>
      </w:r>
      <w:r>
        <w:t xml:space="preserve"> (Seção 5.3) e pela avaliação de qualidade (Seção 7).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origem de entrada de cada estudo é registrada no Bloco A (Q-O10): </w:t>
      </w:r>
      <w:r>
        <w:rPr>
          <w:i/>
          <w:iCs/>
        </w:rPr>
        <w:t xml:space="preserve">busca automática / snowballing backward / snowballing forward / indicação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Critério de parada:</w:t>
      </w:r>
      <w:r>
        <w:t xml:space="preserve"> ao final de cada rodada, se nenhuma nova rodada acrescentar estudos relevantes, o snowballing é encerrado (mínimo 1 rodada, máximo 2).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Os resultados por rodada (candidatos × incluídos) integram a documentação da busca (Seção 5.4) e o fluxograma PRISMA (Seção 14).</w:t>
      </w:r>
    </w:p>
    <w:p>
      <w:pPr>
        <w:spacing w:after="120" w:line="276"/>
      </w:pPr>
      <w:r>
        <w:rPr>
          <w:b/>
          <w:bCs/>
        </w:rPr>
        <w:t xml:space="preserve">Critério para estudo terciário:</w:t>
      </w:r>
      <w:r>
        <w:t xml:space="preserve"> caso sejam identificadas </w:t>
      </w:r>
      <w:r>
        <w:rPr>
          <w:b/>
          <w:bCs/>
        </w:rPr>
        <w:t xml:space="preserve">3 ou mais RSLs</w:t>
      </w:r>
      <w:r>
        <w:t xml:space="preserve"> sobre MAS + XAI/RAI, será avaliada a pertinência de uma revisão de revisões, utilizando o </w:t>
      </w:r>
      <w:r>
        <w:rPr>
          <w:b/>
          <w:bCs/>
        </w:rPr>
        <w:t xml:space="preserve">AMSTAR-2</w:t>
      </w:r>
      <w:r>
        <w:t xml:space="preserve"> para avaliação de qualidade das revisões encontradas. Essa avaliação é reportada como </w:t>
      </w:r>
      <w:r>
        <w:rPr>
          <w:b/>
          <w:bCs/>
        </w:rPr>
        <w:t xml:space="preserve">seção separada</w:t>
      </w:r>
      <w:r>
        <w:t xml:space="preserve"> dos resultados, sem contagem dupla de evidência (ver Seção 6.3).</w:t>
      </w:r>
    </w:p>
    <w:p>
      <w:pPr>
        <w:pStyle w:val="Heading1"/>
      </w:pPr>
      <w:r>
        <w:t xml:space="preserve">9. Protocolo de Extração de Dados</w:t>
      </w:r>
    </w:p>
    <w:p>
      <w:pPr>
        <w:pStyle w:val="Heading2"/>
      </w:pPr>
      <w:r>
        <w:t xml:space="preserve">9.1 Organização geral</w:t>
      </w:r>
    </w:p>
    <w:p>
      <w:pPr>
        <w:spacing w:after="120" w:line="276"/>
      </w:pPr>
      <w:r>
        <w:t xml:space="preserve">As informações são extraídas conforme protocolo organizado em </w:t>
      </w:r>
      <w:r>
        <w:rPr>
          <w:b/>
          <w:bCs/>
        </w:rPr>
        <w:t xml:space="preserve">9 blocos temáticos</w:t>
      </w:r>
      <w:r>
        <w:t xml:space="preserve"> (A–I), cada um ancorado a uma ou mais questões de pesquisa. A extração é realizada na planilha </w:t>
      </w:r>
      <w:r>
        <w:rPr>
          <w:rFonts w:ascii="Consolas" w:cs="Consolas" w:eastAsia="Consolas" w:hAnsi="Consolas"/>
          <w:sz w:val="20"/>
          <w:szCs w:val="20"/>
        </w:rPr>
        <w:t xml:space="preserve">ficha_extracao_xai_mas.xlsx</w:t>
      </w:r>
      <w:r>
        <w:t xml:space="preserve"> e os dados são codificados no Atlas.TI utilizando o codebook </w:t>
      </w:r>
      <w:r>
        <w:rPr>
          <w:rFonts w:ascii="Consolas" w:cs="Consolas" w:eastAsia="Consolas" w:hAnsi="Consolas"/>
          <w:sz w:val="20"/>
          <w:szCs w:val="20"/>
        </w:rPr>
        <w:t xml:space="preserve">codebook_atlas_xai_mas.xlsx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Cadeia de evidência (rastreabilidade):</w:t>
      </w:r>
      <w:r>
        <w:t xml:space="preserve"> cada dado extraído de valor substantivo deve ser acompanhado de </w:t>
      </w:r>
      <w:r>
        <w:rPr>
          <w:b/>
          <w:bCs/>
        </w:rPr>
        <w:t xml:space="preserve">citação textual + número de página/seção</w:t>
      </w:r>
      <w:r>
        <w:t xml:space="preserve"> no estudo primário. Isso habilita verificação posterior, auditabilidade e eventuais reanálises por outros pesquisadores.</w:t>
      </w:r>
    </w:p>
    <w:p>
      <w:pPr>
        <w:spacing w:after="120" w:line="276"/>
      </w:pPr>
      <w:r>
        <w:rPr>
          <w:b/>
          <w:bCs/>
        </w:rPr>
        <w:t xml:space="preserve">Dupla extração:</w:t>
      </w:r>
      <w:r>
        <w:t xml:space="preserve"> sempre que viável, a extração de blocos substantivos (B, C, D, E, I) é realizada de forma </w:t>
      </w:r>
      <w:r>
        <w:rPr>
          <w:b/>
          <w:bCs/>
        </w:rPr>
        <w:t xml:space="preserve">independente por dois revisores</w:t>
      </w:r>
      <w:r>
        <w:t xml:space="preserve"> em subconjunto piloto (≥ 10% do corpus); divergências são resolvidas por consenso ou arbitragem do terceiro revisor. Para o corpus completo, adota-se extração única com </w:t>
      </w:r>
      <w:r>
        <w:rPr>
          <w:b/>
          <w:bCs/>
        </w:rPr>
        <w:t xml:space="preserve">verificação cruzada</w:t>
      </w:r>
      <w:r>
        <w:t xml:space="preserve"> (segundo revisor confere os campos preenchidos) — prática recomendada por Kitchenham &amp; Charters (2007, §6.4.3).</w:t>
      </w:r>
    </w:p>
    <w:p>
      <w:pPr>
        <w:spacing w:after="120" w:line="276"/>
      </w:pPr>
      <w:r>
        <w:rPr>
          <w:b/>
          <w:bCs/>
        </w:rPr>
        <w:t xml:space="preserve">Imersão prévia:</w:t>
      </w:r>
      <w:r>
        <w:t xml:space="preserve"> antes do início da extração, ambos os revisores leem o conjunto completo de estudos ao menos uma vez (recomendação de Cruzes &amp; Dybå, 2011, para a síntese temática).</w:t>
      </w:r>
    </w:p>
    <w:p>
      <w:pPr>
        <w:pStyle w:val="Heading2"/>
      </w:pPr>
      <w:r>
        <w:t xml:space="preserve">9.2 Bloco A — Identificação bibliográfica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"/>
        <w:gridCol w:w="3494"/>
        <w:gridCol w:w="5370"/>
      </w:tblGrid>
      <w:tr>
        <w:trPr>
          <w:cantSplit/>
          <w:tblHeader/>
        </w:trPr>
        <w:tc>
          <w:tcPr>
            <w:tcW w:type="dxa" w:w="7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Valores / Exemplo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Q-O1</w:t>
            </w:r>
          </w:p>
        </w:tc>
        <w:tc>
          <w:tcPr>
            <w:tcW w:type="dxa" w:w="3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Título do estudo</w:t>
            </w:r>
          </w:p>
        </w:tc>
        <w:tc>
          <w:tcPr>
            <w:tcW w:type="dxa" w:w="5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Texto livre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Q-O2</w:t>
            </w:r>
          </w:p>
        </w:tc>
        <w:tc>
          <w:tcPr>
            <w:tcW w:type="dxa" w:w="3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Ano de publicação</w:t>
            </w:r>
          </w:p>
        </w:tc>
        <w:tc>
          <w:tcPr>
            <w:tcW w:type="dxa" w:w="5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2016–2026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Q-O3</w:t>
            </w:r>
          </w:p>
        </w:tc>
        <w:tc>
          <w:tcPr>
            <w:tcW w:type="dxa" w:w="3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Autores</w:t>
            </w:r>
          </w:p>
        </w:tc>
        <w:tc>
          <w:tcPr>
            <w:tcW w:type="dxa" w:w="5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Sobrenome, Inicial.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Q-O4</w:t>
            </w:r>
          </w:p>
        </w:tc>
        <w:tc>
          <w:tcPr>
            <w:tcW w:type="dxa" w:w="3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Afiliação institucional</w:t>
            </w:r>
          </w:p>
        </w:tc>
        <w:tc>
          <w:tcPr>
            <w:tcW w:type="dxa" w:w="5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Universidade / Empresa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Q-O5</w:t>
            </w:r>
          </w:p>
        </w:tc>
        <w:tc>
          <w:tcPr>
            <w:tcW w:type="dxa" w:w="3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País da afiliação</w:t>
            </w:r>
          </w:p>
        </w:tc>
        <w:tc>
          <w:tcPr>
            <w:tcW w:type="dxa" w:w="5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Brasil / EUA / China...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Q-O6</w:t>
            </w:r>
          </w:p>
        </w:tc>
        <w:tc>
          <w:tcPr>
            <w:tcW w:type="dxa" w:w="3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Veículo de publicação</w:t>
            </w:r>
          </w:p>
        </w:tc>
        <w:tc>
          <w:tcPr>
            <w:tcW w:type="dxa" w:w="5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Journal / Conferência / Tese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Q-O7</w:t>
            </w:r>
          </w:p>
        </w:tc>
        <w:tc>
          <w:tcPr>
            <w:tcW w:type="dxa" w:w="3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Tipo de contribuição</w:t>
            </w:r>
          </w:p>
        </w:tc>
        <w:tc>
          <w:tcPr>
            <w:tcW w:type="dxa" w:w="5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Survey / Experimento / Estudo de caso / Arquitetura proposta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Q-O8</w:t>
            </w:r>
          </w:p>
        </w:tc>
        <w:tc>
          <w:tcPr>
            <w:tcW w:type="dxa" w:w="3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Número de citações</w:t>
            </w:r>
          </w:p>
        </w:tc>
        <w:tc>
          <w:tcPr>
            <w:tcW w:type="dxa" w:w="5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Valor numérico (Scopus ou WoS)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Q-O9</w:t>
            </w:r>
          </w:p>
        </w:tc>
        <w:tc>
          <w:tcPr>
            <w:tcW w:type="dxa" w:w="3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Base de dados de origem</w:t>
            </w:r>
          </w:p>
        </w:tc>
        <w:tc>
          <w:tcPr>
            <w:tcW w:type="dxa" w:w="5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IEEE / ACM / Scopus / WoS / arXiv / Manual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Q-O10</w:t>
            </w:r>
          </w:p>
        </w:tc>
        <w:tc>
          <w:tcPr>
            <w:tcW w:type="dxa" w:w="3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Forma de entrada no corpus</w:t>
            </w:r>
          </w:p>
        </w:tc>
        <w:tc>
          <w:tcPr>
            <w:tcW w:type="dxa" w:w="5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Busca automática / Snowballing backward / Snowballing forward / Indicação — </w:t>
            </w:r>
            <w:r>
              <w:rPr>
                <w:b/>
                <w:bCs/>
                <w:sz w:val="19"/>
                <w:szCs w:val="19"/>
              </w:rPr>
              <w:t xml:space="preserve">+ registro de versões múltiplas do mesmo estudo, se houver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Q-O11</w:t>
            </w:r>
          </w:p>
        </w:tc>
        <w:tc>
          <w:tcPr>
            <w:tcW w:type="dxa" w:w="3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Extrator</w:t>
            </w:r>
          </w:p>
        </w:tc>
        <w:tc>
          <w:tcPr>
            <w:tcW w:type="dxa" w:w="5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Nome do revisor que realizou a extração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Q-O12</w:t>
            </w:r>
          </w:p>
        </w:tc>
        <w:tc>
          <w:tcPr>
            <w:tcW w:type="dxa" w:w="3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Verificador</w:t>
            </w:r>
          </w:p>
        </w:tc>
        <w:tc>
          <w:tcPr>
            <w:tcW w:type="dxa" w:w="5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Nome do revisor que conferiu a extração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Q-O13</w:t>
            </w:r>
          </w:p>
        </w:tc>
        <w:tc>
          <w:tcPr>
            <w:tcW w:type="dxa" w:w="3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 da extração</w:t>
            </w:r>
          </w:p>
        </w:tc>
        <w:tc>
          <w:tcPr>
            <w:tcW w:type="dxa" w:w="5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DD/MM/AAAA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Q-O14</w:t>
            </w:r>
          </w:p>
        </w:tc>
        <w:tc>
          <w:tcPr>
            <w:tcW w:type="dxa" w:w="3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Identificador do estudo (DOI/URL)</w:t>
            </w:r>
          </w:p>
        </w:tc>
        <w:tc>
          <w:tcPr>
            <w:tcW w:type="dxa" w:w="5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DOI ou URL canônica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Q-O15</w:t>
            </w:r>
          </w:p>
        </w:tc>
        <w:tc>
          <w:tcPr>
            <w:tcW w:type="dxa" w:w="3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Idioma</w:t>
            </w:r>
          </w:p>
        </w:tc>
        <w:tc>
          <w:tcPr>
            <w:tcW w:type="dxa" w:w="5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Inglês / Português / Chinês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Q-O16</w:t>
            </w:r>
          </w:p>
        </w:tc>
        <w:tc>
          <w:tcPr>
            <w:tcW w:type="dxa" w:w="3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 de publicação</w:t>
            </w:r>
          </w:p>
        </w:tc>
        <w:tc>
          <w:tcPr>
            <w:tcW w:type="dxa" w:w="5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Publicado (peer-reviewed) / Pré-print arXiv / Tese/Dissertação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Q-O17</w:t>
            </w:r>
          </w:p>
        </w:tc>
        <w:tc>
          <w:tcPr>
            <w:tcW w:type="dxa" w:w="3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Notas livres</w:t>
            </w:r>
          </w:p>
        </w:tc>
        <w:tc>
          <w:tcPr>
            <w:tcW w:type="dxa" w:w="5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Espaço para observações do extrator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Q-O18</w:t>
            </w:r>
          </w:p>
        </w:tc>
        <w:tc>
          <w:tcPr>
            <w:tcW w:type="dxa" w:w="3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Objetivo declarado do estudo </w:t>
            </w:r>
            <w:r>
              <w:rPr>
                <w:i/>
                <w:iCs/>
                <w:sz w:val="19"/>
                <w:szCs w:val="19"/>
              </w:rPr>
              <w:t xml:space="preserve">(novo na v4.0; GUEST Ext1)</w:t>
            </w:r>
          </w:p>
        </w:tc>
        <w:tc>
          <w:tcPr>
            <w:tcW w:type="dxa" w:w="5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Texto livre (objetivo/questão de pesquisa declarada pelos autores)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9.3 Bloco B — Caracterização do MAS (RQ1 · RQ2 · RQ3)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"/>
        <w:gridCol w:w="3205"/>
        <w:gridCol w:w="5567"/>
      </w:tblGrid>
      <w:tr>
        <w:trPr>
          <w:cantSplit/>
          <w:tblHeader/>
        </w:trP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5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Valores / Exemplo</w:t>
            </w:r>
          </w:p>
        </w:tc>
      </w:tr>
      <w:tr>
        <w:trPr>
          <w:cantSplit/>
        </w:trP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Q-B1</w:t>
            </w:r>
          </w:p>
        </w:tc>
        <w:tc>
          <w:tcPr>
            <w:tcW w:type="dxa" w:w="3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Tipo de sistema</w:t>
            </w:r>
          </w:p>
        </w:tc>
        <w:tc>
          <w:tcPr>
            <w:tcW w:type="dxa" w:w="55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MAS clássico / Ecossistema agêntico / Agente único (baseline) / Híbrido</w:t>
            </w:r>
          </w:p>
        </w:tc>
      </w:tr>
      <w:tr>
        <w:trPr>
          <w:cantSplit/>
        </w:trP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Q-B2</w:t>
            </w:r>
          </w:p>
        </w:tc>
        <w:tc>
          <w:tcPr>
            <w:tcW w:type="dxa" w:w="3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Tipo de agente predominante</w:t>
            </w:r>
          </w:p>
        </w:tc>
        <w:tc>
          <w:tcPr>
            <w:tcW w:type="dxa" w:w="55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Reativo / Deliberativo / BDI / LLM-based / Híbrido</w:t>
            </w:r>
          </w:p>
        </w:tc>
      </w:tr>
      <w:tr>
        <w:trPr>
          <w:cantSplit/>
        </w:trP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Q-B3</w:t>
            </w:r>
          </w:p>
        </w:tc>
        <w:tc>
          <w:tcPr>
            <w:tcW w:type="dxa" w:w="3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 sistema utiliza LLMs como agentes?</w:t>
            </w:r>
          </w:p>
        </w:tc>
        <w:tc>
          <w:tcPr>
            <w:tcW w:type="dxa" w:w="55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 / Não / Parcial — registrar modelo (GPT, LLaMA, Gemini...)</w:t>
            </w:r>
          </w:p>
        </w:tc>
      </w:tr>
      <w:tr>
        <w:trPr>
          <w:cantSplit/>
        </w:trP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Q-B4</w:t>
            </w:r>
          </w:p>
        </w:tc>
        <w:tc>
          <w:tcPr>
            <w:tcW w:type="dxa" w:w="3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Número de agentes</w:t>
            </w:r>
          </w:p>
        </w:tc>
        <w:tc>
          <w:tcPr>
            <w:tcW w:type="dxa" w:w="55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2–5 / 6–20 / 20+ / Não especificado</w:t>
            </w:r>
          </w:p>
        </w:tc>
      </w:tr>
      <w:tr>
        <w:trPr>
          <w:cantSplit/>
        </w:trP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Q-B5</w:t>
            </w:r>
          </w:p>
        </w:tc>
        <w:tc>
          <w:tcPr>
            <w:tcW w:type="dxa" w:w="3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Tipo de interação entre agentes</w:t>
            </w:r>
          </w:p>
        </w:tc>
        <w:tc>
          <w:tcPr>
            <w:tcW w:type="dxa" w:w="55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Cooperação / Competição / Negociação / Coordenação / Emergente</w:t>
            </w:r>
          </w:p>
        </w:tc>
      </w:tr>
      <w:tr>
        <w:trPr>
          <w:cantSplit/>
        </w:trP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Q-B6</w:t>
            </w:r>
          </w:p>
        </w:tc>
        <w:tc>
          <w:tcPr>
            <w:tcW w:type="dxa" w:w="3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Comportamento emergente é tratado?</w:t>
            </w:r>
          </w:p>
        </w:tc>
        <w:tc>
          <w:tcPr>
            <w:tcW w:type="dxa" w:w="55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 (modelado) / Sim (mencionado) / Não / Não especificado</w:t>
            </w:r>
          </w:p>
        </w:tc>
      </w:tr>
      <w:tr>
        <w:trPr>
          <w:cantSplit/>
        </w:trPr>
        <w:tc>
          <w:tcPr>
            <w:tcW w:type="dxa" w:w="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Q-B7</w:t>
            </w:r>
          </w:p>
        </w:tc>
        <w:tc>
          <w:tcPr>
            <w:tcW w:type="dxa" w:w="3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Arquitetura do MAS</w:t>
            </w:r>
          </w:p>
        </w:tc>
        <w:tc>
          <w:tcPr>
            <w:tcW w:type="dxa" w:w="55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Centralizada / Descentralizada / Hierárquica / P2P / Não especificada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9.4 Bloco C — Explicabilidade (XAI) (RQ1 · RQ2 · RQ3 · RQ4)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70"/>
        <w:gridCol w:w="6008"/>
      </w:tblGrid>
      <w:tr>
        <w:trPr>
          <w:cantSplit/>
          <w:tblHeader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0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Valores / Exemplo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Q-C1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 que é explicado</w:t>
            </w:r>
          </w:p>
        </w:tc>
        <w:tc>
          <w:tcPr>
            <w:tcW w:type="dxa" w:w="60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Decisão individual / Comportamento coletivo / Política do agente / Resultado emergente / Raciocínio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Q-C2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Para quem é explicado (stakeholder)</w:t>
            </w:r>
          </w:p>
        </w:tc>
        <w:tc>
          <w:tcPr>
            <w:tcW w:type="dxa" w:w="60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Usuário final / Regulador / Desenvolvedor / Outro agente / Auditoria / Não especificado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Q-C3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Técnica XAI utilizada</w:t>
            </w:r>
          </w:p>
        </w:tc>
        <w:tc>
          <w:tcPr>
            <w:tcW w:type="dxa" w:w="60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LIME / SHAP / Contrafactual / Saliência / Regras / Argumentação / Narrativa / Outro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Q-C4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Escopo da explicação</w:t>
            </w:r>
          </w:p>
        </w:tc>
        <w:tc>
          <w:tcPr>
            <w:tcW w:type="dxa" w:w="60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Local (agente individual) / Global (sistema) / Ambos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Q-C5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Momento da explicação</w:t>
            </w:r>
          </w:p>
        </w:tc>
        <w:tc>
          <w:tcPr>
            <w:tcW w:type="dxa" w:w="60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Post-hoc / By-design (ante-hoc) / Ambos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Q-C6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Formato da explicação</w:t>
            </w:r>
          </w:p>
        </w:tc>
        <w:tc>
          <w:tcPr>
            <w:tcW w:type="dxa" w:w="60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Texto natural / Visualização / Regras lógicas / Grafo / Numérico / Multimodal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Q-C7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Objetivo da explicação</w:t>
            </w:r>
          </w:p>
        </w:tc>
        <w:tc>
          <w:tcPr>
            <w:tcW w:type="dxa" w:w="60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Auditoria / Depuração / Conformidade regulatória / Confiança / Interoperabilidade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Q-C8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Avaliação empírica da XAI?</w:t>
            </w:r>
          </w:p>
        </w:tc>
        <w:tc>
          <w:tcPr>
            <w:tcW w:type="dxa" w:w="60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 (com usuários) / Sim (simulação) / Não — registrar método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9.5 Bloco D — RAI e Trustworthiness (RQ1 · RQ2)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1"/>
        <w:gridCol w:w="3189"/>
        <w:gridCol w:w="5728"/>
      </w:tblGrid>
      <w:tr>
        <w:trPr>
          <w:cantSplit/>
          <w:tblHeader/>
        </w:trPr>
        <w:tc>
          <w:tcPr>
            <w:tcW w:type="dxa" w:w="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Valores / Exemplo</w:t>
            </w:r>
          </w:p>
        </w:tc>
      </w:tr>
      <w:tr>
        <w:trPr>
          <w:cantSplit/>
        </w:trPr>
        <w:tc>
          <w:tcPr>
            <w:tcW w:type="dxa" w:w="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Q-D1</w:t>
            </w:r>
          </w:p>
        </w:tc>
        <w:tc>
          <w:tcPr>
            <w:tcW w:type="dxa" w:w="3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Dimensões de RAI abordadas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Fairness / Accountability / Transparência / Privacidade / Segurança / Robustez / Múltiplas</w:t>
            </w:r>
          </w:p>
        </w:tc>
      </w:tr>
      <w:tr>
        <w:trPr>
          <w:cantSplit/>
        </w:trPr>
        <w:tc>
          <w:tcPr>
            <w:tcW w:type="dxa" w:w="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Q-D2</w:t>
            </w:r>
          </w:p>
        </w:tc>
        <w:tc>
          <w:tcPr>
            <w:tcW w:type="dxa" w:w="3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Mecanismo de confiança proposto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Reputação / Certificação / Criptografia / Monitoramento / Integrado a XAI / Não proposto</w:t>
            </w:r>
          </w:p>
        </w:tc>
      </w:tr>
      <w:tr>
        <w:trPr>
          <w:cantSplit/>
        </w:trPr>
        <w:tc>
          <w:tcPr>
            <w:tcW w:type="dxa" w:w="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Q-D3</w:t>
            </w:r>
          </w:p>
        </w:tc>
        <w:tc>
          <w:tcPr>
            <w:tcW w:type="dxa" w:w="3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Limitações clássicas de confiança discutidas?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 (detalhado) / Mencionado / Não — registrar quais limitações</w:t>
            </w:r>
          </w:p>
        </w:tc>
      </w:tr>
      <w:tr>
        <w:trPr>
          <w:cantSplit/>
        </w:trPr>
        <w:tc>
          <w:tcPr>
            <w:tcW w:type="dxa" w:w="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Q-D4</w:t>
            </w:r>
          </w:p>
        </w:tc>
        <w:tc>
          <w:tcPr>
            <w:tcW w:type="dxa" w:w="3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Framework regulatório referenciado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EU AI Act / NIST AI RMF / IEEE EAD / Outro / Nenhum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9.6 Bloco E — Métricas e avaliação (RQ3 · RQ4)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"/>
        <w:gridCol w:w="2889"/>
        <w:gridCol w:w="5973"/>
      </w:tblGrid>
      <w:tr>
        <w:trPr>
          <w:cantSplit/>
          <w:tblHeader/>
        </w:trPr>
        <w:tc>
          <w:tcPr>
            <w:tcW w:type="dxa" w:w="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Valores / Exemplo</w:t>
            </w:r>
          </w:p>
        </w:tc>
      </w:tr>
      <w:tr>
        <w:trPr>
          <w:cantSplit/>
        </w:trPr>
        <w:tc>
          <w:tcPr>
            <w:tcW w:type="dxa" w:w="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Q-E1</w:t>
            </w:r>
          </w:p>
        </w:tc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Métricas de XAI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Fidelidade / Completude / Compreensibilidade / Satisfação / Tempo / Não especificado</w:t>
            </w:r>
          </w:p>
        </w:tc>
      </w:tr>
      <w:tr>
        <w:trPr>
          <w:cantSplit/>
        </w:trPr>
        <w:tc>
          <w:tcPr>
            <w:tcW w:type="dxa" w:w="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Q-E2</w:t>
            </w:r>
          </w:p>
        </w:tc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Métricas de confiança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Trust score / Acurácia percebida / Adoção / Calibração / Não especificado</w:t>
            </w:r>
          </w:p>
        </w:tc>
      </w:tr>
      <w:tr>
        <w:trPr>
          <w:cantSplit/>
        </w:trPr>
        <w:tc>
          <w:tcPr>
            <w:tcW w:type="dxa" w:w="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Q-E3</w:t>
            </w:r>
          </w:p>
        </w:tc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Método de avaliação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Experimento / Simulação / Estudo de caso / Survey / Análise formal / Não avaliado</w:t>
            </w:r>
          </w:p>
        </w:tc>
      </w:tr>
      <w:tr>
        <w:trPr>
          <w:cantSplit/>
        </w:trPr>
        <w:tc>
          <w:tcPr>
            <w:tcW w:type="dxa" w:w="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Q-E4</w:t>
            </w:r>
          </w:p>
        </w:tc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Dataset ou ambiente de teste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Nome do dataset / Simulador / Ambiente real / Sintético / Não especificado</w:t>
            </w:r>
          </w:p>
        </w:tc>
      </w:tr>
      <w:tr>
        <w:trPr>
          <w:cantSplit/>
        </w:trPr>
        <w:tc>
          <w:tcPr>
            <w:tcW w:type="dxa" w:w="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Q-E5</w:t>
            </w:r>
          </w:p>
        </w:tc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Avaliação com stakeholders humanos?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 / Não — registrar perfil e método (questionário, entrevista, observação)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9.7 Bloco F — Domínio e contexto (RQ4)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8"/>
        <w:gridCol w:w="3213"/>
        <w:gridCol w:w="5707"/>
      </w:tblGrid>
      <w:tr>
        <w:trPr>
          <w:cantSplit/>
          <w:tblHeader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Valores / Exemplo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Q-F1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Domínio de aplicação</w:t>
            </w:r>
          </w:p>
        </w:tc>
        <w:tc>
          <w:tcPr>
            <w:tcW w:type="dxa" w:w="5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Saúde / Finanças / Infraestrutura crítica / Robótica / Educação / Indústria / Genérico / Outro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Q-F2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Ambiente de aplicação</w:t>
            </w:r>
          </w:p>
        </w:tc>
        <w:tc>
          <w:tcPr>
            <w:tcW w:type="dxa" w:w="5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Simulação / Real / Laboratório / Não especificado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Q-F3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Nível de criticidade do domínio</w:t>
            </w:r>
          </w:p>
        </w:tc>
        <w:tc>
          <w:tcPr>
            <w:tcW w:type="dxa" w:w="5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Alta (vida/segurança) / Média / Baixa / Não discutido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Q-F4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Perfil de stakeholder estudado</w:t>
            </w:r>
          </w:p>
        </w:tc>
        <w:tc>
          <w:tcPr>
            <w:tcW w:type="dxa" w:w="5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Especialista técnico / Usuário leigo / Regulador / Gestor / Múltiplos / Não especificado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Q-F5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Requisitos variam por domínio ou stakeholder?</w:t>
            </w:r>
          </w:p>
        </w:tc>
        <w:tc>
          <w:tcPr>
            <w:tcW w:type="dxa" w:w="5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 (explicitamente) / Implicitamente / Não discutido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9.8 Bloco G — Lacunas e direções futuras (RQ5)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4"/>
        <w:gridCol w:w="3700"/>
        <w:gridCol w:w="5024"/>
      </w:tblGrid>
      <w:tr>
        <w:trPr>
          <w:cantSplit/>
          <w:tblHeader/>
        </w:trPr>
        <w:tc>
          <w:tcPr>
            <w:tcW w:type="dxa" w:w="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Valores / Exemplo</w:t>
            </w:r>
          </w:p>
        </w:tc>
      </w:tr>
      <w:tr>
        <w:trPr>
          <w:cantSplit/>
        </w:trPr>
        <w:tc>
          <w:tcPr>
            <w:tcW w:type="dxa" w:w="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Q-G1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Limitações do estudo declaradas?</w:t>
            </w:r>
          </w:p>
        </w:tc>
        <w:tc>
          <w:tcPr>
            <w:tcW w:type="dxa" w:w="5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 / Não — descrever as principais limitações relatadas</w:t>
            </w:r>
          </w:p>
        </w:tc>
      </w:tr>
      <w:tr>
        <w:trPr>
          <w:cantSplit/>
        </w:trPr>
        <w:tc>
          <w:tcPr>
            <w:tcW w:type="dxa" w:w="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Q-G2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Lacunas em XAI para MAS identificadas?</w:t>
            </w:r>
          </w:p>
        </w:tc>
        <w:tc>
          <w:tcPr>
            <w:tcW w:type="dxa" w:w="5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 / Não — registrar as lacunas identificadas pelo estudo</w:t>
            </w:r>
          </w:p>
        </w:tc>
      </w:tr>
      <w:tr>
        <w:trPr>
          <w:cantSplit/>
        </w:trPr>
        <w:tc>
          <w:tcPr>
            <w:tcW w:type="dxa" w:w="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Q-G3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Direções futuras propostas</w:t>
            </w:r>
          </w:p>
        </w:tc>
        <w:tc>
          <w:tcPr>
            <w:tcW w:type="dxa" w:w="5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Texto livre — categorizar por tema na análise posterior</w:t>
            </w:r>
          </w:p>
        </w:tc>
      </w:tr>
      <w:tr>
        <w:trPr>
          <w:cantSplit/>
        </w:trPr>
        <w:tc>
          <w:tcPr>
            <w:tcW w:type="dxa" w:w="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Q-G4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Replicabilidade do estudo</w:t>
            </w:r>
          </w:p>
        </w:tc>
        <w:tc>
          <w:tcPr>
            <w:tcW w:type="dxa" w:w="5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 / Parcialmente / Não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9.9 Bloco H — Metodologia do estudo primário (novo na v3.0)</w:t>
      </w:r>
    </w:p>
    <w:p>
      <w:pPr>
        <w:spacing w:after="120" w:line="276"/>
      </w:pPr>
      <w:r>
        <w:t xml:space="preserve">Caracteriza o desenho de pesquisa de cada estudo incluído, habilitando a análise de sensibilidade por tipo de estudo (Seção 10.3).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"/>
        <w:gridCol w:w="2803"/>
        <w:gridCol w:w="6067"/>
      </w:tblGrid>
      <w:tr>
        <w:trPr>
          <w:cantSplit/>
          <w:tblHeader/>
        </w:trPr>
        <w:tc>
          <w:tcPr>
            <w:tcW w:type="dxa" w:w="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Valores / Exemplo</w:t>
            </w:r>
          </w:p>
        </w:tc>
      </w:tr>
      <w:tr>
        <w:trPr>
          <w:cantSplit/>
        </w:trPr>
        <w:tc>
          <w:tcPr>
            <w:tcW w:type="dxa" w:w="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Q-H1</w:t>
            </w:r>
          </w:p>
        </w:tc>
        <w:tc>
          <w:tcPr>
            <w:tcW w:type="dxa" w:w="28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Tipo de pesquisa</w:t>
            </w:r>
          </w:p>
        </w:tc>
        <w:tc>
          <w:tcPr>
            <w:tcW w:type="dxa" w:w="6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Survey / Experimento controlado / Estudo de caso / Análise bibliográfica / Pesquisa-ação / Outro</w:t>
            </w:r>
          </w:p>
        </w:tc>
      </w:tr>
      <w:tr>
        <w:trPr>
          <w:cantSplit/>
        </w:trPr>
        <w:tc>
          <w:tcPr>
            <w:tcW w:type="dxa" w:w="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Q-H2</w:t>
            </w:r>
          </w:p>
        </w:tc>
        <w:tc>
          <w:tcPr>
            <w:tcW w:type="dxa" w:w="28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Research type (Wieringa et al.)</w:t>
            </w:r>
          </w:p>
        </w:tc>
        <w:tc>
          <w:tcPr>
            <w:tcW w:type="dxa" w:w="6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Validation research / Evaluation research / Solution proposal / Philosophical paper / Opinion paper / Experience paper</w:t>
            </w:r>
          </w:p>
        </w:tc>
      </w:tr>
      <w:tr>
        <w:trPr>
          <w:cantSplit/>
        </w:trPr>
        <w:tc>
          <w:tcPr>
            <w:tcW w:type="dxa" w:w="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Q-H3</w:t>
            </w:r>
          </w:p>
        </w:tc>
        <w:tc>
          <w:tcPr>
            <w:tcW w:type="dxa" w:w="28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Fase do ciclo de desenvolvimento</w:t>
            </w:r>
          </w:p>
        </w:tc>
        <w:tc>
          <w:tcPr>
            <w:tcW w:type="dxa" w:w="6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Engenharia de requisitos / Design / Codificação / Testes e code review / Gestão de projetos / Operação / Não especificada</w:t>
            </w:r>
          </w:p>
        </w:tc>
      </w:tr>
      <w:tr>
        <w:trPr>
          <w:cantSplit/>
        </w:trPr>
        <w:tc>
          <w:tcPr>
            <w:tcW w:type="dxa" w:w="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Q-H4</w:t>
            </w:r>
          </w:p>
        </w:tc>
        <w:tc>
          <w:tcPr>
            <w:tcW w:type="dxa" w:w="28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Amostra/população do estudo</w:t>
            </w:r>
          </w:p>
        </w:tc>
        <w:tc>
          <w:tcPr>
            <w:tcW w:type="dxa" w:w="6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 (número), perfil dos participantes ou dos sistemas analisados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9.10 Bloco I — Resultados e verificação das hipóteses (novo na v3.0; alimenta Seção 3.3)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56"/>
        <w:gridCol w:w="5382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3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Valores / Exemplo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Q-I1</w:t>
            </w:r>
          </w:p>
        </w:tc>
        <w:tc>
          <w:tcPr>
            <w:tcW w:type="dxa" w:w="3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Veredito para </w:t>
            </w:r>
            <w:r>
              <w:rPr>
                <w:b/>
                <w:bCs/>
                <w:sz w:val="19"/>
                <w:szCs w:val="19"/>
              </w:rPr>
              <w:t xml:space="preserve">H1</w:t>
            </w:r>
            <w:r>
              <w:rPr>
                <w:sz w:val="19"/>
                <w:szCs w:val="19"/>
              </w:rPr>
              <w:t xml:space="preserve"> (hipótese forte)</w:t>
            </w:r>
          </w:p>
        </w:tc>
        <w:tc>
          <w:tcPr>
            <w:tcW w:type="dxa" w:w="53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Suporta / Parcialmente suporta / Refuta / Inconclusivo — </w:t>
            </w:r>
            <w:r>
              <w:rPr>
                <w:b/>
                <w:bCs/>
                <w:sz w:val="19"/>
                <w:szCs w:val="19"/>
              </w:rPr>
              <w:t xml:space="preserve">+ citação textual com página que fundamenta o veredito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Q-I2</w:t>
            </w:r>
          </w:p>
        </w:tc>
        <w:tc>
          <w:tcPr>
            <w:tcW w:type="dxa" w:w="3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Veredito para </w:t>
            </w:r>
            <w:r>
              <w:rPr>
                <w:b/>
                <w:bCs/>
                <w:sz w:val="19"/>
                <w:szCs w:val="19"/>
              </w:rPr>
              <w:t xml:space="preserve">H2</w:t>
            </w:r>
            <w:r>
              <w:rPr>
                <w:sz w:val="19"/>
                <w:szCs w:val="19"/>
              </w:rPr>
              <w:t xml:space="preserve"> (hipótese fraca)</w:t>
            </w:r>
          </w:p>
        </w:tc>
        <w:tc>
          <w:tcPr>
            <w:tcW w:type="dxa" w:w="53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Suporta / Parcialmente suporta / Refuta / Inconclusivo — </w:t>
            </w:r>
            <w:r>
              <w:rPr>
                <w:b/>
                <w:bCs/>
                <w:sz w:val="19"/>
                <w:szCs w:val="19"/>
              </w:rPr>
              <w:t xml:space="preserve">+ citação textual com página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Q-I3</w:t>
            </w:r>
          </w:p>
        </w:tc>
        <w:tc>
          <w:tcPr>
            <w:tcW w:type="dxa" w:w="3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Direção do efeito XAI → transparência/confiança</w:t>
            </w:r>
          </w:p>
        </w:tc>
        <w:tc>
          <w:tcPr>
            <w:tcW w:type="dxa" w:w="53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Positiva / Negativa / Nula / Não medido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Q-I4</w:t>
            </w:r>
          </w:p>
        </w:tc>
        <w:tc>
          <w:tcPr>
            <w:tcW w:type="dxa" w:w="3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 empírico: estatísticas reportadas</w:t>
            </w:r>
          </w:p>
        </w:tc>
        <w:tc>
          <w:tcPr>
            <w:tcW w:type="dxa" w:w="53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Tamanho de efeito / Intervalo de confiança / p-valor / Testes utilizados / Não aplicável</w:t>
            </w:r>
          </w:p>
        </w:tc>
      </w:tr>
    </w:tbl>
    <w:p>
      <w:pPr>
        <w:spacing w:after="140"/>
      </w:pPr>
    </w:p>
    <w:p>
      <w:pPr>
        <w:pBdr>
          <w:left w:val="single" w:color="E0A800" w:sz="18" w:space="8"/>
        </w:pBdr>
        <w:shd w:fill="FFF4D6" w:color="auto" w:val="clear"/>
        <w:spacing w:after="160" w:before="80" w:line="276"/>
        <w:ind w:left="200" w:right="200"/>
      </w:pPr>
      <w:r>
        <w:rPr>
          <w:b/>
          <w:bCs/>
          <w:sz w:val="21"/>
          <w:szCs w:val="21"/>
        </w:rPr>
        <w:t xml:space="preserve">Nota:</w:t>
      </w:r>
      <w:r>
        <w:rPr>
          <w:sz w:val="21"/>
          <w:szCs w:val="21"/>
        </w:rPr>
        <w:t xml:space="preserve"> os vereditos Q-I1/Q-I2 são atribuídos por </w:t>
      </w:r>
      <w:r>
        <w:rPr>
          <w:b/>
          <w:bCs/>
          <w:sz w:val="21"/>
          <w:szCs w:val="21"/>
        </w:rPr>
        <w:t xml:space="preserve">um revisor e conferidos por outro</w:t>
      </w:r>
      <w:r>
        <w:rPr>
          <w:sz w:val="21"/>
          <w:szCs w:val="21"/>
        </w:rPr>
        <w:t xml:space="preserve"> (dupla verificação); divergências de veredito são arbitrárias pelo terceiro revisor e registradas na planilha.</w:t>
      </w:r>
    </w:p>
    <w:p>
      <w:pPr>
        <w:pStyle w:val="Heading1"/>
      </w:pPr>
      <w:r>
        <w:t xml:space="preserve">10. Análise e Síntese dos Dados</w:t>
      </w:r>
    </w:p>
    <w:p>
      <w:pPr>
        <w:spacing w:after="120" w:line="276"/>
      </w:pPr>
      <w:r>
        <w:t xml:space="preserve">A análise e síntese serão realizadas de forma quantitativa e qualitativa, conforme as subseções abaixo.</w:t>
      </w:r>
    </w:p>
    <w:p>
      <w:pPr>
        <w:pStyle w:val="Heading2"/>
      </w:pPr>
      <w:r>
        <w:t xml:space="preserve">10.1 Análise Quantitativa — Bibliometria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9"/>
        <w:gridCol w:w="7139"/>
      </w:tblGrid>
      <w:tr>
        <w:trPr>
          <w:cantSplit/>
          <w:tblHeader/>
        </w:trPr>
        <w:tc>
          <w:tcPr>
            <w:tcW w:type="dxa" w:w="2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71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Análises</w:t>
            </w:r>
          </w:p>
        </w:tc>
      </w:tr>
      <w:tr>
        <w:trPr>
          <w:cantSplit/>
        </w:trPr>
        <w:tc>
          <w:tcPr>
            <w:tcW w:type="dxa" w:w="2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A. Desempenho</w:t>
            </w:r>
          </w:p>
        </w:tc>
        <w:tc>
          <w:tcPr>
            <w:tcW w:type="dxa" w:w="71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Publicações por ano / base de dados / veículo / método de pesquisa (Bloco H) / research type (Bloco H) / fase do ciclo de desenvolvimento (Bloco H) / afiliação / autor (Top 10) / citações (Top 10)</w:t>
            </w:r>
          </w:p>
        </w:tc>
      </w:tr>
      <w:tr>
        <w:trPr>
          <w:cantSplit/>
        </w:trPr>
        <w:tc>
          <w:tcPr>
            <w:tcW w:type="dxa" w:w="2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B. Mapeamento científico</w:t>
            </w:r>
          </w:p>
        </w:tc>
        <w:tc>
          <w:tcPr>
            <w:tcW w:type="dxa" w:w="71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Journals mais citados / continente e país do estudo / nuvem de palavras</w:t>
            </w:r>
          </w:p>
        </w:tc>
      </w:tr>
      <w:tr>
        <w:trPr>
          <w:cantSplit/>
        </w:trPr>
        <w:tc>
          <w:tcPr>
            <w:tcW w:type="dxa" w:w="2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C. Análise de redes</w:t>
            </w:r>
          </w:p>
        </w:tc>
        <w:tc>
          <w:tcPr>
            <w:tcW w:type="dxa" w:w="71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Rede de coocorrência de palavras / rede de cocitações / rede de coautoria</w:t>
            </w:r>
          </w:p>
        </w:tc>
      </w:tr>
      <w:tr>
        <w:trPr>
          <w:cantSplit/>
        </w:trPr>
        <w:tc>
          <w:tcPr>
            <w:tcW w:type="dxa" w:w="2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D. Síntese de hipóteses</w:t>
            </w:r>
          </w:p>
        </w:tc>
        <w:tc>
          <w:tcPr>
            <w:tcW w:type="dxa" w:w="71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Distribuição de vereditos H1 e H2 (Bloco I), ponderada por score de qualidade e segmentada por subcorpus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10.2 Análise Qualitativa — Síntese Temática (Cruzes &amp; Dybå, 2011)</w:t>
      </w:r>
    </w:p>
    <w:p>
      <w:pPr>
        <w:spacing w:after="120" w:line="276"/>
      </w:pPr>
      <w:r>
        <w:t xml:space="preserve">A síntese temática segue os </w:t>
      </w:r>
      <w:r>
        <w:rPr>
          <w:b/>
          <w:bCs/>
        </w:rPr>
        <w:t xml:space="preserve">cinco passos</w:t>
      </w:r>
      <w:r>
        <w:t xml:space="preserve"> recomendados por Cruzes &amp; Dybå (2011), com abordagem de codificação </w:t>
      </w:r>
      <w:r>
        <w:rPr>
          <w:b/>
          <w:bCs/>
        </w:rPr>
        <w:t xml:space="preserve">integrada</w:t>
      </w:r>
      <w:r>
        <w:t xml:space="preserve"> (start list derivada dos Blocos A–I + códigos emergentes da leitura dos dados):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1"/>
        <w:gridCol w:w="4237"/>
        <w:gridCol w:w="3230"/>
      </w:tblGrid>
      <w:tr>
        <w:trPr>
          <w:cantSplit/>
          <w:tblHeader/>
        </w:trPr>
        <w:tc>
          <w:tcPr>
            <w:tcW w:type="dxa" w:w="21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4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Procedimento</w:t>
            </w:r>
          </w:p>
        </w:tc>
        <w:tc>
          <w:tcPr>
            <w:tcW w:type="dxa" w:w="3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esperada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1. Extract data</w:t>
            </w:r>
          </w:p>
        </w:tc>
        <w:tc>
          <w:tcPr>
            <w:tcW w:type="dxa" w:w="4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Imersão prévia (leitura integral do corpus); extração estruturada conforme Blocos A–I; identificação de findings textuais</w:t>
            </w:r>
          </w:p>
        </w:tc>
        <w:tc>
          <w:tcPr>
            <w:tcW w:type="dxa" w:w="3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Dados estruturados + segmentos textuais relevantes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2. Code data</w:t>
            </w:r>
          </w:p>
        </w:tc>
        <w:tc>
          <w:tcPr>
            <w:tcW w:type="dxa" w:w="4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Codificação no Atlas.TI com codebook: </w:t>
            </w:r>
            <w:r>
              <w:rPr>
                <w:b/>
                <w:bCs/>
                <w:sz w:val="19"/>
                <w:szCs w:val="19"/>
              </w:rPr>
              <w:t xml:space="preserve">start list</w:t>
            </w:r>
            <w:r>
              <w:rPr>
                <w:sz w:val="19"/>
                <w:szCs w:val="19"/>
              </w:rPr>
              <w:t xml:space="preserve"> (códigos dedutivos dos blocos temáticos) + códigos </w:t>
            </w:r>
            <w:r>
              <w:rPr>
                <w:b/>
                <w:bCs/>
                <w:sz w:val="19"/>
                <w:szCs w:val="19"/>
              </w:rPr>
              <w:t xml:space="preserve">emergentes</w:t>
            </w:r>
            <w:r>
              <w:rPr>
                <w:sz w:val="19"/>
                <w:szCs w:val="19"/>
              </w:rPr>
              <w:t xml:space="preserve"> (indutivos); códigos com definições explícitas e escopo delimitado; atenção aos três problemas típicos (codificação genérica demais, projeção do analista, codificação fora de contexto)</w:t>
            </w:r>
          </w:p>
        </w:tc>
        <w:tc>
          <w:tcPr>
            <w:tcW w:type="dxa" w:w="3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~30–40 códigos iniciais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3. Translate codes into themes</w:t>
            </w:r>
          </w:p>
        </w:tc>
        <w:tc>
          <w:tcPr>
            <w:tcW w:type="dxa" w:w="4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Agrupamento de códigos com redução de sobreposição; verificação dos temas contra os dados originais</w:t>
            </w:r>
          </w:p>
        </w:tc>
        <w:tc>
          <w:tcPr>
            <w:tcW w:type="dxa" w:w="3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15–20 temas coerentes, consistentes e distintos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4. Create a model of higher-order themes</w:t>
            </w:r>
          </w:p>
        </w:tc>
        <w:tc>
          <w:tcPr>
            <w:tcW w:type="dxa" w:w="4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Comparação de temas entre estudos (tradução recíproca); conexão com RQs e teoria; exploração das fontes de heterogeneidade</w:t>
            </w:r>
          </w:p>
        </w:tc>
        <w:tc>
          <w:tcPr>
            <w:tcW w:type="dxa" w:w="3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5–7 temas de ordem superior + modelo (mapa temático/taxonomia)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5. Assess trustworthiness</w:t>
            </w:r>
          </w:p>
        </w:tc>
        <w:tc>
          <w:tcPr>
            <w:tcW w:type="dxa" w:w="4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Avaliação da confiabilidade da síntese (ver Seção 10.4)</w:t>
            </w:r>
          </w:p>
        </w:tc>
        <w:tc>
          <w:tcPr>
            <w:tcW w:type="dxa" w:w="3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Análise de sensibilidade + audit trail documentado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b/>
          <w:bCs/>
        </w:rPr>
        <w:t xml:space="preserve">Relações a investigar</w:t>
      </w:r>
      <w:r>
        <w:t xml:space="preserve"> (mantidas da v2.0):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Como a XAI está relacionada com as dimensões de RAI e Trustworthiness?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Quais técnicas de XAI são predominantes em MAS com LLMs versus MAS clássicos?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Como os requisitos de explicabilidade variam por domínio e stakeholder?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Quais lacunas e oportunidades de pesquisa emergem da síntese do corpus?</w:t>
      </w:r>
    </w:p>
    <w:p>
      <w:pPr>
        <w:spacing w:after="120" w:line="276"/>
      </w:pPr>
      <w:r>
        <w:rPr>
          <w:b/>
          <w:bCs/>
        </w:rPr>
        <w:t xml:space="preserve">Taxonomia de lacunas (start list para o Bloco G):</w:t>
      </w:r>
      <w:r>
        <w:t xml:space="preserve"> categorias derivadas de análise anterior do autor, a serem refinadas com códigos emergentes: </w:t>
      </w:r>
      <w:r>
        <w:rPr>
          <w:i/>
          <w:iCs/>
        </w:rPr>
        <w:t xml:space="preserve">Limitações Metodológicas · Limitações Estatísticas e de Resultados · Questões com os Dados · Questões de Análise e Generalização · Demandas por Pesquisa Complementar · Questões Técnicas e de Ferramentas · Questões de Privacidade</w:t>
      </w:r>
      <w:r>
        <w:t xml:space="preserve">.</w:t>
      </w:r>
    </w:p>
    <w:p>
      <w:pPr>
        <w:pStyle w:val="Heading3"/>
      </w:pPr>
      <w:r>
        <w:t xml:space="preserve">10.3 Análise de Sensibilidade</w:t>
      </w:r>
    </w:p>
    <w:p>
      <w:pPr>
        <w:spacing w:after="120" w:line="276"/>
      </w:pPr>
      <w:r>
        <w:t xml:space="preserve">Conforme Kitchenham &amp; Charters (2007, §6.5.6), a robustez dos resultados será verificada por repetição das análises sobre subconjuntos do corpus: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778"/>
      </w:tblGrid>
      <w:tr>
        <w:trPr>
          <w:cantSplit/>
          <w:tblHeader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Dimensão de segmentação</w:t>
            </w:r>
          </w:p>
        </w:tc>
        <w:tc>
          <w:tcPr>
            <w:tcW w:type="dxa" w:w="6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Pergunta de sensibilidade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Qualidade</w:t>
            </w:r>
          </w:p>
        </w:tc>
        <w:tc>
          <w:tcPr>
            <w:tcW w:type="dxa" w:w="6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Os achados se mantêm considerando apenas estudos com score ≥ 7,0? (estudos com ressalva 4,0–6,9 são analisados separadamente)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Tipo de sistema</w:t>
            </w:r>
          </w:p>
        </w:tc>
        <w:tc>
          <w:tcPr>
            <w:tcW w:type="dxa" w:w="6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MAS clássico vs. ecossistemas com agentes LLM — os vereditos de H1/H2 e as técnicas XAI variam?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Tipo de estudo (Bloco H)</w:t>
            </w:r>
          </w:p>
        </w:tc>
        <w:tc>
          <w:tcPr>
            <w:tcW w:type="dxa" w:w="6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Vereditos e achados diferem entre surveys, experimentos e estudos de caso?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Domínio e criticidade (Bloco F)</w:t>
            </w:r>
          </w:p>
        </w:tc>
        <w:tc>
          <w:tcPr>
            <w:tcW w:type="dxa" w:w="6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Os requisitos e mecanismos variam por domínio e nível de criticidade?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Período</w:t>
            </w:r>
          </w:p>
        </w:tc>
        <w:tc>
          <w:tcPr>
            <w:tcW w:type="dxa" w:w="6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Evidências de 2016–2020 vs. 2021–2026 — há mudança de tendência associada à difusão de LLMs?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Canal de publicação</w:t>
            </w:r>
          </w:p>
        </w:tc>
        <w:tc>
          <w:tcPr>
            <w:tcW w:type="dxa" w:w="6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Incluir/excluir pré-prints arXiv altera as conclusões? (verificação direta da política da Seção 6.3)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10.4 Confiabilidade da Síntese Temática</w:t>
      </w:r>
    </w:p>
    <w:p>
      <w:pPr>
        <w:spacing w:after="120" w:line="276"/>
      </w:pPr>
      <w:r>
        <w:t xml:space="preserve">Seguindo Cruzes &amp; Dybå (2011, Seção VI) e os critérios de trustworthiness (credibilidade, confirmabilidade, dependabilidade, transferibilidade):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Dupla codificação em amostra:</w:t>
      </w:r>
      <w:r>
        <w:t xml:space="preserve"> 15–20% dos estudos são codificados independentemente pelos dois revisores; concordância medida por κ (nominal) ou α de Krippendorff (multi-categoria); mínimo aceitável κ ≥ 0,6.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Audit trail:</w:t>
      </w:r>
      <w:r>
        <w:t xml:space="preserve"> todas as decisões de codificação, fusão/renomeação de códigos e criação de temas registradas no Atlas.TI com data e autor — permitindo a um revisor externo reconstruir o caminho dos dados às interpretações.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Conexões texto-código-tema:</w:t>
      </w:r>
      <w:r>
        <w:t xml:space="preserve"> cada tema apresentado no relato será acompanhado de </w:t>
      </w:r>
      <w:r>
        <w:rPr>
          <w:b/>
          <w:bCs/>
        </w:rPr>
        <w:t xml:space="preserve">citações representativas</w:t>
      </w:r>
      <w:r>
        <w:t xml:space="preserve"> dos estudos primários (com página).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Confirmabilidade:</w:t>
      </w:r>
      <w:r>
        <w:t xml:space="preserve"> quando possível, autores dos estudos primários poderão ser contatados para validar interpretações-chave (opcional, registrada como limitação se não realizada).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Transferibilidade:</w:t>
      </w:r>
      <w:r>
        <w:t xml:space="preserve"> descrição rica do contexto de cada estudo (Blocos B, F, H) para que o leitor avalie a aplicabilidade em outros cenários.</w:t>
      </w:r>
    </w:p>
    <w:p>
      <w:pPr>
        <w:pStyle w:val="Heading3"/>
      </w:pPr>
      <w:r>
        <w:t xml:space="preserve">10.5 Viés de Publicação</w:t>
      </w:r>
    </w:p>
    <w:p>
      <w:pPr>
        <w:spacing w:after="120" w:line="276"/>
      </w:pPr>
      <w:r>
        <w:t xml:space="preserve">Dada a natureza predominantemente qualitativa e a heterogeneidade metodológica do corpus (que inviabiliza funnel plots), o risco de viés de publicação será avaliado qualitativamente: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Comparação entre resultados de </w:t>
      </w:r>
      <w:r>
        <w:rPr>
          <w:b/>
          <w:bCs/>
        </w:rPr>
        <w:t xml:space="preserve">periódicos vs. conferências vs. pré-prints</w:t>
      </w:r>
      <w:r>
        <w:t xml:space="preserve"> — se pré-prints sistematicamente reportam resultados "negativos" ausentes na literatura revisada, isso indica viés.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Verificação se a literatura acadêmica sobre falhas de confiança em agentes LLM está </w:t>
      </w:r>
      <w:r>
        <w:rPr>
          <w:b/>
          <w:bCs/>
        </w:rPr>
        <w:t xml:space="preserve">concentrada em poucos grupos</w:t>
      </w:r>
      <w:r>
        <w:t xml:space="preserve"> de pesquisa (via rede de coautoria da Seção 10.1).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Explicitação do risco na discussão, com recomendações de mitigação para estudos futuros.</w:t>
      </w:r>
    </w:p>
    <w:p>
      <w:pPr>
        <w:pStyle w:val="Heading2"/>
      </w:pPr>
      <w:r>
        <w:t xml:space="preserve">10.6 Meta-análise (condicional)</w:t>
      </w:r>
    </w:p>
    <w:p>
      <w:pPr>
        <w:spacing w:after="120" w:line="276"/>
      </w:pPr>
      <w:r>
        <w:t xml:space="preserve">A meta-análise estatística </w:t>
      </w:r>
      <w:r>
        <w:rPr>
          <w:b/>
          <w:bCs/>
        </w:rPr>
        <w:t xml:space="preserve">só será considerada</w:t>
      </w:r>
      <w:r>
        <w:t xml:space="preserve"> se um subconjunto de estudos empíricos reportar desfechos comparáveis (mesma medida de efeito, populações comparáveis). Na ausência de comparabilidade — cenário mais provável dada a heterogeneidade — será utilizado </w:t>
      </w:r>
      <w:r>
        <w:rPr>
          <w:b/>
          <w:bCs/>
        </w:rPr>
        <w:t xml:space="preserve">effect direction plot</w:t>
      </w:r>
      <w:r>
        <w:t xml:space="preserve"> (direção do efeito por estudo, categorizada em Q-I3) como representação gráfica alternativa, com justificativa documentada.</w:t>
      </w:r>
    </w:p>
    <w:p>
      <w:pPr>
        <w:pStyle w:val="Heading1"/>
      </w:pPr>
      <w:r>
        <w:t xml:space="preserve">11. Uso de Inteligência Artificial Generativa no Processo</w:t>
      </w:r>
    </w:p>
    <w:p>
      <w:pPr>
        <w:spacing w:after="120" w:line="276"/>
      </w:pPr>
      <w:r>
        <w:t xml:space="preserve">Em conformidade com as diretrizes </w:t>
      </w:r>
      <w:r>
        <w:rPr>
          <w:b/>
          <w:bCs/>
        </w:rPr>
        <w:t xml:space="preserve">GUEST</w:t>
      </w:r>
      <w:r>
        <w:t xml:space="preserve"> (</w:t>
      </w:r>
      <w:r>
        <w:rPr>
          <w:i/>
          <w:iCs/>
        </w:rPr>
        <w:t xml:space="preserve">GenAI Use and Evaluation in SLR Tasks</w:t>
      </w:r>
      <w:r>
        <w:t xml:space="preserve">; Kitchenham et al., 2026), o uso de ferramentas de IA generativa (GenAI) neste processo é </w:t>
      </w:r>
      <w:r>
        <w:rPr>
          <w:b/>
          <w:bCs/>
        </w:rPr>
        <w:t xml:space="preserve">restrito, supervisionado e integralmente reportado</w:t>
      </w:r>
      <w:r>
        <w:t xml:space="preserve">. O checklist completo de conformidade (recomendações G1–G6, Plan/Con/Rep e recomendações por tarefa) encontra-se no </w:t>
      </w:r>
      <w:r>
        <w:rPr>
          <w:b/>
          <w:bCs/>
        </w:rPr>
        <w:t xml:space="preserve">Apêndice B</w:t>
      </w:r>
      <w:r>
        <w:t xml:space="preserve">.</w:t>
      </w:r>
    </w:p>
    <w:p>
      <w:pPr>
        <w:pStyle w:val="Heading2"/>
      </w:pPr>
      <w:r>
        <w:t xml:space="preserve">11.1 Papel e escopo</w:t>
      </w:r>
    </w:p>
    <w:p>
      <w:pPr>
        <w:spacing w:after="120" w:line="276"/>
      </w:pPr>
      <w:r>
        <w:t xml:space="preserve">O GUEST distingue dois papéis: </w:t>
      </w:r>
      <w:r>
        <w:rPr>
          <w:b/>
          <w:bCs/>
        </w:rPr>
        <w:t xml:space="preserve">Reviewer</w:t>
      </w:r>
      <w:r>
        <w:t xml:space="preserve"> (pesquisador que conduz uma RSL usando GenAI) e </w:t>
      </w:r>
      <w:r>
        <w:rPr>
          <w:b/>
          <w:bCs/>
        </w:rPr>
        <w:t xml:space="preserve">Evaluator</w:t>
      </w:r>
      <w:r>
        <w:t xml:space="preserve"> (pesquisador que avalia o desempenho de ferramentas GenAI em tarefas de RSL). Este protocolo adota exclusivamente o papel de </w:t>
      </w:r>
      <w:r>
        <w:rPr>
          <w:b/>
          <w:bCs/>
        </w:rPr>
        <w:t xml:space="preserve">Reviewer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avaliação de desempenho de ferramentas GenAI </w:t>
      </w:r>
      <w:r>
        <w:rPr>
          <w:b/>
          <w:bCs/>
        </w:rPr>
        <w:t xml:space="preserve">não é objetivo</w:t>
      </w:r>
      <w:r>
        <w:t xml:space="preserve"> desta RSL — as recomendações exclusivas do papel </w:t>
      </w:r>
      <w:r>
        <w:rPr>
          <w:i/>
          <w:iCs/>
        </w:rPr>
        <w:t xml:space="preserve">Evaluator</w:t>
      </w:r>
      <w:r>
        <w:t xml:space="preserve"> (PlanE1–E5, RepE1–E4) são registradas como </w:t>
      </w:r>
      <w:r>
        <w:rPr>
          <w:b/>
          <w:bCs/>
        </w:rPr>
        <w:t xml:space="preserve">N/A</w:t>
      </w:r>
      <w:r>
        <w:t xml:space="preserve"> no Apêndice B;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desenvolvimento de ferramentas GenAI também está fora do escopo.</w:t>
      </w:r>
    </w:p>
    <w:p>
      <w:pPr>
        <w:pStyle w:val="Heading2"/>
      </w:pPr>
      <w:r>
        <w:t xml:space="preserve">11.2 Princípios gerais (G1–G6)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G1 — Responsabilidade humana:</w:t>
      </w:r>
      <w:r>
        <w:t xml:space="preserve"> os pesquisadores respondem pela validade dos resultados e pela adesão às normas legais e éticas.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G2 — Revisão humana:</w:t>
      </w:r>
      <w:r>
        <w:t xml:space="preserve"> toda saída assistida por IA é integralmente revisada por humanos.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G3 — Autoria:</w:t>
      </w:r>
      <w:r>
        <w:t xml:space="preserve"> nenhuma autoria é atribuída a ferramentas de 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G4 — Transparência:</w:t>
      </w:r>
      <w:r>
        <w:t xml:space="preserve"> todo uso de IA é reportado; por transparência, também a edição e o refinamento de texto (exceção admitida pelo GUEST) serão declarados.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G5 — Conteúdo:</w:t>
      </w:r>
      <w:r>
        <w:t xml:space="preserve"> a IA não cria o texto integral do relato, nem cria, altera ou manipula imagens, dados, citações, resultados, conclusões ou recomendações.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G6 — Revisão por pares:</w:t>
      </w:r>
      <w:r>
        <w:t xml:space="preserve"> os autores não utilizarão GenAI na elaboração de pareceres de revisão por pares.</w:t>
      </w:r>
    </w:p>
    <w:p>
      <w:pPr>
        <w:pStyle w:val="Heading2"/>
      </w:pPr>
      <w:r>
        <w:t xml:space="preserve">11.3 Usos permitidos, restritos e proibidos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247"/>
        <w:gridCol w:w="3838"/>
        <w:gridCol w:w="1185"/>
      </w:tblGrid>
      <w:tr>
        <w:trPr>
          <w:cantSplit/>
          <w:tblHeader/>
        </w:trPr>
        <w:tc>
          <w:tcPr>
            <w:tcW w:type="dxa" w:w="33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12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Salvaguarda</w:t>
            </w:r>
          </w:p>
        </w:tc>
        <w:tc>
          <w:tcPr>
            <w:tcW w:type="dxa" w:w="1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GUEST</w:t>
            </w:r>
          </w:p>
        </w:tc>
      </w:tr>
      <w:tr>
        <w:trPr>
          <w:cantSplit/>
        </w:trPr>
        <w:tc>
          <w:tcPr>
            <w:tcW w:type="dxa" w:w="33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Melhoria linguística e gramatical de textos do protocolo e do relato</w:t>
            </w:r>
          </w:p>
        </w:tc>
        <w:tc>
          <w:tcPr>
            <w:tcW w:type="dxa" w:w="12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Permitido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Declarado na seção de Agradecimentos/Declarações do relato final; registrado no log GenAI (Seção 11.4)</w:t>
            </w:r>
          </w:p>
        </w:tc>
        <w:tc>
          <w:tcPr>
            <w:tcW w:type="dxa" w:w="1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G4, RepR2</w:t>
            </w:r>
          </w:p>
        </w:tc>
      </w:tr>
      <w:tr>
        <w:trPr>
          <w:cantSplit/>
        </w:trPr>
        <w:tc>
          <w:tcPr>
            <w:tcW w:type="dxa" w:w="33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Tradução assistida de literatura em chinês</w:t>
            </w:r>
          </w:p>
        </w:tc>
        <w:tc>
          <w:tcPr>
            <w:tcW w:type="dxa" w:w="12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Permitido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Verificação humana obrigatória</w:t>
            </w:r>
            <w:r>
              <w:rPr>
                <w:sz w:val="19"/>
                <w:szCs w:val="19"/>
              </w:rPr>
              <w:t xml:space="preserve"> das seções usadas na extração; limitação registrada (Seção 6.3); registrado no log GenAI</w:t>
            </w:r>
          </w:p>
        </w:tc>
        <w:tc>
          <w:tcPr>
            <w:tcW w:type="dxa" w:w="1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RevA1, RevA2</w:t>
            </w:r>
          </w:p>
        </w:tc>
      </w:tr>
      <w:tr>
        <w:trPr>
          <w:cantSplit/>
        </w:trPr>
        <w:tc>
          <w:tcPr>
            <w:tcW w:type="dxa" w:w="33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Especificação de questões de pesquisa e critérios de elegibilidade</w:t>
            </w:r>
          </w:p>
        </w:tc>
        <w:tc>
          <w:tcPr>
            <w:tcW w:type="dxa" w:w="12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Não utilizado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RQs e CI/CE definidos pelos pesquisadores (Seções 4 e 6)</w:t>
            </w:r>
          </w:p>
        </w:tc>
        <w:tc>
          <w:tcPr>
            <w:tcW w:type="dxa" w:w="1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PlanR1</w:t>
            </w:r>
          </w:p>
        </w:tc>
      </w:tr>
      <w:tr>
        <w:trPr>
          <w:cantSplit/>
        </w:trPr>
        <w:tc>
          <w:tcPr>
            <w:tcW w:type="dxa" w:w="33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Triagem automática de títulos/resumos ou textos completos</w:t>
            </w:r>
          </w:p>
        </w:tc>
        <w:tc>
          <w:tcPr>
            <w:tcW w:type="dxa" w:w="12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Não utilizado</w:t>
            </w:r>
            <w:r>
              <w:rPr>
                <w:sz w:val="19"/>
                <w:szCs w:val="19"/>
              </w:rPr>
              <w:t xml:space="preserve"> nesta RSL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 gatilho de ampliação (Seção 11.5)</w:t>
            </w:r>
          </w:p>
        </w:tc>
        <w:tc>
          <w:tcPr>
            <w:tcW w:type="dxa" w:w="1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Scr1–3, ScrRev1–3</w:t>
            </w:r>
          </w:p>
        </w:tc>
      </w:tr>
      <w:tr>
        <w:trPr>
          <w:cantSplit/>
        </w:trPr>
        <w:tc>
          <w:tcPr>
            <w:tcW w:type="dxa" w:w="33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Extração, codificação ou síntese de dados</w:t>
            </w:r>
          </w:p>
        </w:tc>
        <w:tc>
          <w:tcPr>
            <w:tcW w:type="dxa" w:w="12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Proibido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 gatilho de ampliação (Seção 11.5)</w:t>
            </w:r>
          </w:p>
        </w:tc>
        <w:tc>
          <w:tcPr>
            <w:tcW w:type="dxa" w:w="1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Ext5–7, Syn2–3</w:t>
            </w:r>
          </w:p>
        </w:tc>
      </w:tr>
      <w:tr>
        <w:trPr>
          <w:cantSplit/>
        </w:trPr>
        <w:tc>
          <w:tcPr>
            <w:tcW w:type="dxa" w:w="33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Avaliação de qualidade (Seção 7) e atribuição de vereditos de hipóteses (Seção 3.3)</w:t>
            </w:r>
          </w:p>
        </w:tc>
        <w:tc>
          <w:tcPr>
            <w:tcW w:type="dxa" w:w="12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Proibido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Dupla avaliação humana e arbitragem por terceiro revisor</w:t>
            </w:r>
          </w:p>
        </w:tc>
        <w:tc>
          <w:tcPr>
            <w:tcW w:type="dxa" w:w="1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A1–A3, RevA1</w:t>
            </w:r>
          </w:p>
        </w:tc>
      </w:tr>
      <w:tr>
        <w:trPr>
          <w:cantSplit/>
        </w:trPr>
        <w:tc>
          <w:tcPr>
            <w:tcW w:type="dxa" w:w="33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Geração de conteúdo, dados ou conclusões</w:t>
            </w:r>
          </w:p>
        </w:tc>
        <w:tc>
          <w:tcPr>
            <w:tcW w:type="dxa" w:w="12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Proibido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G5</w:t>
            </w:r>
          </w:p>
        </w:tc>
      </w:tr>
      <w:tr>
        <w:trPr>
          <w:cantSplit/>
        </w:trPr>
        <w:tc>
          <w:tcPr>
            <w:tcW w:type="dxa" w:w="33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Elaboração de pareceres de revisão por pares</w:t>
            </w:r>
          </w:p>
        </w:tc>
        <w:tc>
          <w:tcPr>
            <w:tcW w:type="dxa" w:w="12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Proibido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Compromisso dos autores</w:t>
            </w:r>
          </w:p>
        </w:tc>
        <w:tc>
          <w:tcPr>
            <w:tcW w:type="dxa" w:w="1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G6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11.4 Registro de uso de GenAI (log GenAI)</w:t>
      </w:r>
    </w:p>
    <w:p>
      <w:pPr>
        <w:spacing w:after="120" w:line="276"/>
      </w:pPr>
      <w:r>
        <w:t xml:space="preserve">Todo uso admitido na Seção 11.3 é registrado em um </w:t>
      </w:r>
      <w:r>
        <w:rPr>
          <w:b/>
          <w:bCs/>
        </w:rPr>
        <w:t xml:space="preserve">log GenAI</w:t>
      </w:r>
      <w:r>
        <w:t xml:space="preserve">, mantido desde a Fase 0 do cronograma e arquivado no pacote de replicação (Seção 14.3). Para cada uso, registram-se: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data de execução (e data da execução final do prompt);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ferramenta, versão/modelo e parâmetros ou configurações relevantes (ex.: temperatura);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finalidade/tarefa e artefato ou seção afetada;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prompt integral</w:t>
      </w:r>
      <w:r>
        <w:t xml:space="preserve"> e estratégia de desenvolvimento do prompt;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revisor humano responsável, data da verificação e </w:t>
      </w:r>
      <w:r>
        <w:rPr>
          <w:b/>
          <w:bCs/>
        </w:rPr>
        <w:t xml:space="preserve">esforço humano de verificação</w:t>
      </w:r>
      <w:r>
        <w:t xml:space="preserve"> (horas);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custo do uso, quando aplicável.</w:t>
      </w:r>
    </w:p>
    <w:p>
      <w:pPr>
        <w:spacing w:after="120" w:line="276"/>
      </w:pPr>
      <w:r>
        <w:t xml:space="preserve">O log sustenta os itens Rep1, Rep2, Rep3, Con3 e Plan5 do checklist GUEST.</w:t>
      </w:r>
    </w:p>
    <w:p>
      <w:pPr>
        <w:pStyle w:val="Heading2"/>
      </w:pPr>
      <w:r>
        <w:t xml:space="preserve">11.5 Gatilho de ampliação do uso</w:t>
      </w:r>
    </w:p>
    <w:p>
      <w:pPr>
        <w:spacing w:after="120" w:line="276"/>
      </w:pPr>
      <w:r>
        <w:t xml:space="preserve">Qualquer uso de GenAI além do previsto na Seção 11.3 (por exemplo, triagem assistida) constitui </w:t>
      </w:r>
      <w:r>
        <w:rPr>
          <w:b/>
          <w:bCs/>
        </w:rPr>
        <w:t xml:space="preserve">desvio de protocolo</w:t>
      </w:r>
      <w:r>
        <w:t xml:space="preserve"> e é registrado no Log de Desvios (Seção 15). Antes do uso, é obrigatório: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justificar a escolha da ferramenta e do desenho do estudo (Plan1, Plan2) e planejar a coleta e o armazenamento dos dados de desempenho (Plan5);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validar a ferramenta </w:t>
      </w:r>
      <w:r>
        <w:rPr>
          <w:b/>
          <w:bCs/>
        </w:rPr>
        <w:t xml:space="preserve">prospectivamente</w:t>
      </w:r>
      <w:r>
        <w:t xml:space="preserve"> contra ao menos </w:t>
      </w:r>
      <w:r>
        <w:rPr>
          <w:b/>
          <w:bCs/>
        </w:rPr>
        <w:t xml:space="preserve">dois revisores humanos</w:t>
      </w:r>
      <w:r>
        <w:t xml:space="preserve"> (Plan6), definindo previamente os níveis aceitáveis de desempenho e o plano de contingência (ScrRev1, ScrRev2);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para </w:t>
      </w:r>
      <w:r>
        <w:rPr>
          <w:b/>
          <w:bCs/>
        </w:rPr>
        <w:t xml:space="preserve">triagem</w:t>
      </w:r>
      <w:r>
        <w:t xml:space="preserve">: reportar MCC e </w:t>
      </w:r>
      <w:r>
        <w:rPr>
          <w:b/>
          <w:bCs/>
        </w:rPr>
        <w:t xml:space="preserve">WMCC</w:t>
      </w:r>
      <w:r>
        <w:t xml:space="preserve"> (que pondera o custo maior dos falsos negativos), a </w:t>
      </w:r>
      <w:r>
        <w:rPr>
          <w:b/>
          <w:bCs/>
        </w:rPr>
        <w:t xml:space="preserve">matriz de confusão completa</w:t>
      </w:r>
      <w:r>
        <w:t xml:space="preserve"> e intervalos de confiança por reamostragem sem reposição (Scr1–Scr3, ScrRev3); para </w:t>
      </w:r>
      <w:r>
        <w:rPr>
          <w:b/>
          <w:bCs/>
        </w:rPr>
        <w:t xml:space="preserve">classificação</w:t>
      </w:r>
      <w:r>
        <w:t xml:space="preserve"> na extração: MCC (Ext2);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para </w:t>
      </w:r>
      <w:r>
        <w:rPr>
          <w:b/>
          <w:bCs/>
        </w:rPr>
        <w:t xml:space="preserve">tarefas complexas</w:t>
      </w:r>
      <w:r>
        <w:t xml:space="preserve"> (extração qualitativa, síntese temática, avaliação de qualidade, força da evidência): restringir a GenAI à </w:t>
      </w:r>
      <w:r>
        <w:rPr>
          <w:b/>
          <w:bCs/>
        </w:rPr>
        <w:t xml:space="preserve">validação adicional</w:t>
      </w:r>
      <w:r>
        <w:t xml:space="preserve"> do trabalho humano (RevA1) e especificar as subtarefas automatizadas, os insumos e como humanos e ferramenta serão comparados (Ext5–Ext7, Syn2–Syn3, A1–A3);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atualizar o Apêndice B e a declaração de uso.</w:t>
      </w:r>
    </w:p>
    <w:p>
      <w:pPr>
        <w:pStyle w:val="Heading2"/>
      </w:pPr>
      <w:r>
        <w:t xml:space="preserve">11.6 Princípio geral</w:t>
      </w:r>
    </w:p>
    <w:p>
      <w:pPr>
        <w:spacing w:after="120" w:line="276"/>
      </w:pPr>
      <w:r>
        <w:t xml:space="preserve">Nenhuma saída de IA entra na cadeia de evidência sem revisão humana integral; a responsabilidade científica é integralmente humana (GUEST G1, G2, G3, G5). Esta declaração será reproduzida no relato final.</w:t>
      </w:r>
    </w:p>
    <w:p>
      <w:pPr>
        <w:pStyle w:val="Heading1"/>
      </w:pPr>
      <w:r>
        <w:t xml:space="preserve">12. Ameaças à Validade</w:t>
      </w:r>
    </w:p>
    <w:p>
      <w:pPr>
        <w:spacing w:after="120" w:line="276"/>
      </w:pPr>
      <w:r>
        <w:t xml:space="preserve">As ameaças à validade seguem o framework de </w:t>
      </w:r>
      <w:r>
        <w:rPr>
          <w:b/>
          <w:bCs/>
        </w:rPr>
        <w:t xml:space="preserve">Wohlin et al. (2012)</w:t>
      </w:r>
      <w:r>
        <w:t xml:space="preserve">, adaptado para estudos secundários.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4210"/>
        <w:gridCol w:w="4132"/>
      </w:tblGrid>
      <w:tr>
        <w:trPr>
          <w:cantSplit/>
          <w:tblHeader/>
        </w:trPr>
        <w:tc>
          <w:tcPr>
            <w:tcW w:type="dxa" w:w="1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Ameaça concreta</w:t>
            </w:r>
          </w:p>
        </w:tc>
        <w:tc>
          <w:tcPr>
            <w:tcW w:type="dxa" w:w="4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Validade de construto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'Explicabilidade' pode cobrir interpretabilidade, transparência e accountability — conceitos distintos</w:t>
            </w:r>
          </w:p>
        </w:tc>
        <w:tc>
          <w:tcPr>
            <w:tcW w:type="dxa" w:w="4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Glossário operacional (Seção 2)</w:t>
            </w:r>
            <w:r>
              <w:rPr>
                <w:sz w:val="19"/>
                <w:szCs w:val="19"/>
              </w:rPr>
              <w:t xml:space="preserve">; registro explícito, na extração, de qual dimensão cada estudo operacionaliza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Validade de construto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Heterogeneidade do termo "ecossistema agêntico"</w:t>
            </w:r>
          </w:p>
        </w:tc>
        <w:tc>
          <w:tcPr>
            <w:tcW w:type="dxa" w:w="4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Definição operacional na Seção 2; codificação diferenciada no Bloco B (Q-B1)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Validade interna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Viés de seleção ao incluir apenas estudos com 'XAI' no título ou resumo</w:t>
            </w:r>
          </w:p>
        </w:tc>
        <w:tc>
          <w:tcPr>
            <w:tcW w:type="dxa" w:w="4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Test-set de seminais (Seção 5.1); snowballing bidirecional (Seção 8); sinônimos na string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Validade interna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Divergências de interpretação entre revisores</w:t>
            </w:r>
          </w:p>
        </w:tc>
        <w:tc>
          <w:tcPr>
            <w:tcW w:type="dxa" w:w="4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Pilotagem (Seção 5.3.1); κ por fase; terceiro revisor; regras de decisão A–F (Seção 5.3.3)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Validade interna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Viés do avaliador na atribuição de vereditos às hipóteses</w:t>
            </w:r>
          </w:p>
        </w:tc>
        <w:tc>
          <w:tcPr>
            <w:tcW w:type="dxa" w:w="4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Dupla verificação de Q-I1/Q-I2; ponderação por qualidade; vereditos reportados individualmente, não agregados de forma opaca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Validade externa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Maioria dos estudos de MAS é conduzida em simulação, não em ambientes reais</w:t>
            </w:r>
          </w:p>
        </w:tc>
        <w:tc>
          <w:tcPr>
            <w:tcW w:type="dxa" w:w="4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Documentação e categorização do contexto de cada estudo (Q-F2); discussão explícita no relato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Validade externa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Pré-prints não revisados podem inflar achados otimistas</w:t>
            </w:r>
          </w:p>
        </w:tc>
        <w:tc>
          <w:tcPr>
            <w:tcW w:type="dxa" w:w="4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Política da Seção 6.3 + análise de sensibilidade por canal de publicação (Seção 10.3)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Validade interna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Uso de GenAI (edição linguística, tradução) pode introduzir erros, distorções de sentido ou viés contra estudos em idiomas não ingleses</w:t>
            </w:r>
          </w:p>
        </w:tc>
        <w:tc>
          <w:tcPr>
            <w:tcW w:type="dxa" w:w="4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Uso restrito (Seção 11.3); verificação humana integral; log GenAI (Seção 11.4); checklist GUEST (Apêndice B)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Validade de conclusão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Síntese difícil dado o design heterogêneo dos estudos (quali + quanti)</w:t>
            </w:r>
          </w:p>
        </w:tc>
        <w:tc>
          <w:tcPr>
            <w:tcW w:type="dxa" w:w="4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Síntese narrativa temática; reporte de heterogeneidade; effect direction plot (Seção 10.6); análise de sensibilidade por tipo de estudo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Validade de conclusão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Viés de publicação</w:t>
            </w:r>
          </w:p>
        </w:tc>
        <w:tc>
          <w:tcPr>
            <w:tcW w:type="dxa" w:w="4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Avaliação qualitativa (Seção 10.5)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13. Ferramentas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735"/>
      </w:tblGrid>
      <w:tr>
        <w:trPr>
          <w:cantSplit/>
          <w:tblHeader/>
        </w:trPr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  <w:tc>
          <w:tcPr>
            <w:tcW w:type="dxa" w:w="6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Análise bibliométrica</w:t>
            </w:r>
          </w:p>
        </w:tc>
        <w:tc>
          <w:tcPr>
            <w:tcW w:type="dxa" w:w="6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Bibliometrix (R)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Triagem colaborativa</w:t>
            </w:r>
          </w:p>
        </w:tc>
        <w:tc>
          <w:tcPr>
            <w:tcW w:type="dxa" w:w="6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Rayyan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Coleta e extração de dados</w:t>
            </w:r>
          </w:p>
        </w:tc>
        <w:tc>
          <w:tcPr>
            <w:tcW w:type="dxa" w:w="6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Microsoft Excel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ficha_extracao_xai_mas.xlsx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Codificação qualitativa</w:t>
            </w:r>
          </w:p>
        </w:tc>
        <w:tc>
          <w:tcPr>
            <w:tcW w:type="dxa" w:w="6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Atlas.TI 23/24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codebook_atlas_xai_mas.xlsx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Concordância entre revisores</w:t>
            </w:r>
          </w:p>
        </w:tc>
        <w:tc>
          <w:tcPr>
            <w:tcW w:type="dxa" w:w="6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Kappa de Cohen (simples e ponderado) / α de Krippendorff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Registro do protocolo</w:t>
            </w:r>
          </w:p>
        </w:tc>
        <w:tc>
          <w:tcPr>
            <w:tcW w:type="dxa" w:w="6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OSF.io — registrar antes do início das buscas</w:t>
            </w:r>
            <w:r>
              <w:rPr>
                <w:sz w:val="19"/>
                <w:szCs w:val="19"/>
              </w:rPr>
              <w:t xml:space="preserve"> (inclui pacote de replicação, Seção 14)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Gestão de referências</w:t>
            </w:r>
          </w:p>
        </w:tc>
        <w:tc>
          <w:tcPr>
            <w:tcW w:type="dxa" w:w="6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Zotero ou Mendeley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Visualizações do mapa</w:t>
            </w:r>
          </w:p>
        </w:tc>
        <w:tc>
          <w:tcPr>
            <w:tcW w:type="dxa" w:w="6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Bibliometrix / VOSviewer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IA generativa</w:t>
            </w:r>
          </w:p>
        </w:tc>
        <w:tc>
          <w:tcPr>
            <w:tcW w:type="dxa" w:w="6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Uso restrito conforme Seção 11; registro no log GenAI e checklist GUEST (Apêndice B)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14. Relato, Disseminação e Replicação</w:t>
      </w:r>
    </w:p>
    <w:p>
      <w:pPr>
        <w:pStyle w:val="Heading2"/>
      </w:pPr>
      <w:r>
        <w:t xml:space="preserve">14.1 Estrutura do relato</w:t>
      </w:r>
    </w:p>
    <w:p>
      <w:pPr>
        <w:spacing w:after="120" w:line="276"/>
      </w:pPr>
      <w:r>
        <w:t xml:space="preserve">O relato final seguirá o </w:t>
      </w:r>
      <w:r>
        <w:rPr>
          <w:b/>
          <w:bCs/>
        </w:rPr>
        <w:t xml:space="preserve">PRISMA 2020</w:t>
      </w:r>
      <w:r>
        <w:t xml:space="preserve"> (fluxograma de seleção + checklist de itens) e os itens de </w:t>
      </w:r>
      <w:r>
        <w:rPr>
          <w:b/>
          <w:bCs/>
        </w:rPr>
        <w:t xml:space="preserve">SEGRESS</w:t>
      </w:r>
      <w:r>
        <w:t xml:space="preserve"> (Kitchenham et al., 2023), com estrutura baseada na Tabela 8 de Kitchenham &amp; Charters (2007):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</w:rPr>
        <w:t xml:space="preserve">Resumo estruturado</w:t>
      </w:r>
      <w:r>
        <w:t xml:space="preserve"> (contexto, objetivos, métodos, resultados, conclusões)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</w:rPr>
        <w:t xml:space="preserve">Introdução e Background</w:t>
      </w:r>
      <w:r>
        <w:t xml:space="preserve"> (justificativa, sumário de revisões prévias)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</w:rPr>
        <w:t xml:space="preserve">Questões de pesquisa</w:t>
      </w:r>
      <w:r>
        <w:t xml:space="preserve"> (QG, RQ1–RQ5, com classificação Easterbrook)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</w:rPr>
        <w:t xml:space="preserve">Método</w:t>
      </w:r>
      <w:r>
        <w:t xml:space="preserve"> (protocolo + </w:t>
      </w:r>
      <w:r>
        <w:rPr>
          <w:b/>
          <w:bCs/>
        </w:rPr>
        <w:t xml:space="preserve">log de desvios</w:t>
      </w:r>
      <w:r>
        <w:t xml:space="preserve"> — Seção 15 — + </w:t>
      </w:r>
      <w:r>
        <w:rPr>
          <w:b/>
          <w:bCs/>
        </w:rPr>
        <w:t xml:space="preserve">declaração de uso de GenAI</w:t>
      </w:r>
      <w:r>
        <w:t xml:space="preserve"> conforme GUEST, Seção 11)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</w:rPr>
        <w:t xml:space="preserve">Estudos incluídos e excluídos</w:t>
      </w:r>
      <w:r>
        <w:t xml:space="preserve"> (com fluxograma PRISMA e lista de excluídos no texto completo, com razão)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</w:rPr>
        <w:t xml:space="preserve">Resultados</w:t>
      </w:r>
      <w:r>
        <w:t xml:space="preserve"> (bibliometria, síntese temática, verificação das hipóteses)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</w:rPr>
        <w:t xml:space="preserve">Discussão</w:t>
      </w:r>
      <w:r>
        <w:t xml:space="preserve"> (achados principais, forças e fraquezas da evidência, implicações para pesquisa e prática)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</w:rPr>
        <w:t xml:space="preserve">Conclusões</w:t>
      </w:r>
      <w:r>
        <w:t xml:space="preserve"> (recomendações, limitações, agenda futura)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</w:rPr>
        <w:t xml:space="preserve">Referências e Apêndices</w:t>
      </w:r>
      <w:r>
        <w:t xml:space="preserve"> (formulário de extração, checklist de QA, planilha de vereditos, codebook, checklist GUEST, log GenAI)</w:t>
      </w:r>
    </w:p>
    <w:p>
      <w:pPr>
        <w:pStyle w:val="Heading2"/>
      </w:pPr>
      <w:r>
        <w:t xml:space="preserve">14.2 Estratégia de disseminação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6688"/>
      </w:tblGrid>
      <w:tr>
        <w:trPr>
          <w:cantSplit/>
          <w:tblHeader/>
        </w:trPr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Público</w:t>
            </w:r>
          </w:p>
        </w:tc>
        <w:tc>
          <w:tcPr>
            <w:tcW w:type="dxa" w:w="66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</w:tr>
      <w:tr>
        <w:trPr>
          <w:cantSplit/>
        </w:trPr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Comunidade acadêmica (SE, IA, MAS)</w:t>
            </w:r>
          </w:p>
        </w:tc>
        <w:tc>
          <w:tcPr>
            <w:tcW w:type="dxa" w:w="66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Periódicos-alvo: </w:t>
            </w:r>
            <w:r>
              <w:rPr>
                <w:i/>
                <w:iCs/>
                <w:sz w:val="19"/>
                <w:szCs w:val="19"/>
              </w:rPr>
              <w:t xml:space="preserve">Information and Software Technology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i/>
                <w:iCs/>
                <w:sz w:val="19"/>
                <w:szCs w:val="19"/>
              </w:rPr>
              <w:t xml:space="preserve">JAAMAS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i/>
                <w:iCs/>
                <w:sz w:val="19"/>
                <w:szCs w:val="19"/>
              </w:rPr>
              <w:t xml:space="preserve">Artificial Intelligence Review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i/>
                <w:iCs/>
                <w:sz w:val="19"/>
                <w:szCs w:val="19"/>
              </w:rPr>
              <w:t xml:space="preserve">Expert Systems with Applications</w:t>
            </w:r>
          </w:p>
        </w:tc>
      </w:tr>
      <w:tr>
        <w:trPr>
          <w:cantSplit/>
        </w:trPr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Comunidade nacional</w:t>
            </w:r>
          </w:p>
        </w:tc>
        <w:tc>
          <w:tcPr>
            <w:tcW w:type="dxa" w:w="66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SBES/SBCARS/SBQS, caderno de doutorado</w:t>
            </w:r>
          </w:p>
        </w:tc>
      </w:tr>
      <w:tr>
        <w:trPr>
          <w:cantSplit/>
        </w:trPr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Praticantes e reguladores</w:t>
            </w:r>
          </w:p>
        </w:tc>
        <w:tc>
          <w:tcPr>
            <w:tcW w:type="dxa" w:w="66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Resumo executivo; seminários abertos</w:t>
            </w:r>
          </w:p>
        </w:tc>
      </w:tr>
      <w:tr>
        <w:trPr>
          <w:cantSplit/>
        </w:trPr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Reprodução científica</w:t>
            </w:r>
          </w:p>
        </w:tc>
        <w:tc>
          <w:tcPr>
            <w:tcW w:type="dxa" w:w="66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Pacote completo no OSF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14.3 Pacote de replicação (OSF)</w:t>
      </w:r>
    </w:p>
    <w:p>
      <w:pPr>
        <w:spacing w:after="120" w:line="276"/>
      </w:pPr>
      <w:r>
        <w:t xml:space="preserve">O pacote conterá: (i) este protocolo e suas versões; (ii) strings de busca completas por base, com datas; (iii) </w:t>
      </w:r>
      <w:r>
        <w:rPr>
          <w:b/>
          <w:bCs/>
        </w:rPr>
        <w:t xml:space="preserve">resultados brutos não filtrados</w:t>
      </w:r>
      <w:r>
        <w:t xml:space="preserve"> de cada busca; (iv) lista de excluídos no texto completo com razão; (v) planilha de extração (Blocos A–I); (vi) planilha de QA com notas; (vii) codebook Atlas.TI e log de codificação; (viii) scripts de bibliometria; (ix) log de desvios; (x) </w:t>
      </w:r>
      <w:r>
        <w:rPr>
          <w:b/>
          <w:bCs/>
        </w:rPr>
        <w:t xml:space="preserve">log de uso de GenAI</w:t>
      </w:r>
      <w:r>
        <w:t xml:space="preserve"> (ferramentas, versões, parâmetros e prompts — Seção 11.4) e checklist GUEST preenchido (Apêndice B).</w:t>
      </w:r>
    </w:p>
    <w:p>
      <w:pPr>
        <w:pStyle w:val="Heading2"/>
      </w:pPr>
      <w:r>
        <w:t xml:space="preserve">14.4 Cronograma (indicativo)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1"/>
        <w:gridCol w:w="6808"/>
        <w:gridCol w:w="1709"/>
      </w:tblGrid>
      <w:tr>
        <w:trPr>
          <w:cantSplit/>
          <w:tblHeader/>
        </w:trPr>
        <w:tc>
          <w:tcPr>
            <w:tcW w:type="dxa" w:w="11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6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Atividades</w:t>
            </w:r>
          </w:p>
        </w:tc>
        <w:tc>
          <w:tcPr>
            <w:tcW w:type="dxa" w:w="1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Duração</w:t>
            </w:r>
          </w:p>
        </w:tc>
      </w:tr>
      <w:tr>
        <w:trPr>
          <w:cantSplit/>
        </w:trPr>
        <w:tc>
          <w:tcPr>
            <w:tcW w:type="dxa" w:w="11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6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Registro no OSF; aprovação do protocolo pelo orientador</w:t>
            </w:r>
          </w:p>
        </w:tc>
        <w:tc>
          <w:tcPr>
            <w:tcW w:type="dxa" w:w="1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 semanas</w:t>
            </w:r>
          </w:p>
        </w:tc>
      </w:tr>
      <w:tr>
        <w:trPr>
          <w:cantSplit/>
        </w:trPr>
        <w:tc>
          <w:tcPr>
            <w:tcW w:type="dxa" w:w="11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6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Validação da string (test-set); execução das buscas; deduplicação</w:t>
            </w:r>
          </w:p>
        </w:tc>
        <w:tc>
          <w:tcPr>
            <w:tcW w:type="dxa" w:w="1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 semanas</w:t>
            </w:r>
          </w:p>
        </w:tc>
      </w:tr>
      <w:tr>
        <w:trPr>
          <w:cantSplit/>
        </w:trPr>
        <w:tc>
          <w:tcPr>
            <w:tcW w:type="dxa" w:w="11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6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Pilotagem dos critérios (Seção 5.3.1)</w:t>
            </w:r>
          </w:p>
        </w:tc>
        <w:tc>
          <w:tcPr>
            <w:tcW w:type="dxa" w:w="1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semana</w:t>
            </w:r>
          </w:p>
        </w:tc>
      </w:tr>
      <w:tr>
        <w:trPr>
          <w:cantSplit/>
        </w:trPr>
        <w:tc>
          <w:tcPr>
            <w:tcW w:type="dxa" w:w="11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6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Fase 1 da triagem (título/resumo) + κ</w:t>
            </w:r>
          </w:p>
        </w:tc>
        <w:tc>
          <w:tcPr>
            <w:tcW w:type="dxa" w:w="1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 semanas</w:t>
            </w:r>
          </w:p>
        </w:tc>
      </w:tr>
      <w:tr>
        <w:trPr>
          <w:cantSplit/>
        </w:trPr>
        <w:tc>
          <w:tcPr>
            <w:tcW w:type="dxa" w:w="11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6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Fase 2 (texto completo) + κ</w:t>
            </w:r>
          </w:p>
        </w:tc>
        <w:tc>
          <w:tcPr>
            <w:tcW w:type="dxa" w:w="1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 semanas</w:t>
            </w:r>
          </w:p>
        </w:tc>
      </w:tr>
      <w:tr>
        <w:trPr>
          <w:cantSplit/>
        </w:trPr>
        <w:tc>
          <w:tcPr>
            <w:tcW w:type="dxa" w:w="11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6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Avaliação de qualidade + κ ponderado</w:t>
            </w:r>
          </w:p>
        </w:tc>
        <w:tc>
          <w:tcPr>
            <w:tcW w:type="dxa" w:w="1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 semanas</w:t>
            </w:r>
          </w:p>
        </w:tc>
      </w:tr>
      <w:tr>
        <w:trPr>
          <w:cantSplit/>
        </w:trPr>
        <w:tc>
          <w:tcPr>
            <w:tcW w:type="dxa" w:w="11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6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Snowballing (1–2 rodadas)</w:t>
            </w:r>
          </w:p>
        </w:tc>
        <w:tc>
          <w:tcPr>
            <w:tcW w:type="dxa" w:w="1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 semanas</w:t>
            </w:r>
          </w:p>
        </w:tc>
      </w:tr>
      <w:tr>
        <w:trPr>
          <w:cantSplit/>
        </w:trPr>
        <w:tc>
          <w:tcPr>
            <w:tcW w:type="dxa" w:w="11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6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Extração (Blocos A–I) com verificação cruzada</w:t>
            </w:r>
          </w:p>
        </w:tc>
        <w:tc>
          <w:tcPr>
            <w:tcW w:type="dxa" w:w="1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 semanas</w:t>
            </w:r>
          </w:p>
        </w:tc>
      </w:tr>
      <w:tr>
        <w:trPr>
          <w:cantSplit/>
        </w:trPr>
        <w:tc>
          <w:tcPr>
            <w:tcW w:type="dxa" w:w="11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6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Codificação e síntese temática (com dupla codificação em amostra)</w:t>
            </w:r>
          </w:p>
        </w:tc>
        <w:tc>
          <w:tcPr>
            <w:tcW w:type="dxa" w:w="1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 semanas</w:t>
            </w:r>
          </w:p>
        </w:tc>
      </w:tr>
      <w:tr>
        <w:trPr>
          <w:cantSplit/>
        </w:trPr>
        <w:tc>
          <w:tcPr>
            <w:tcW w:type="dxa" w:w="11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6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Análise de sensibilidade; verificação das hipóteses; bibliometria</w:t>
            </w:r>
          </w:p>
        </w:tc>
        <w:tc>
          <w:tcPr>
            <w:tcW w:type="dxa" w:w="1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 semanas</w:t>
            </w:r>
          </w:p>
        </w:tc>
      </w:tr>
      <w:tr>
        <w:trPr>
          <w:cantSplit/>
        </w:trPr>
        <w:tc>
          <w:tcPr>
            <w:tcW w:type="dxa" w:w="11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6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Redação do relato; revisão; submissão</w:t>
            </w:r>
          </w:p>
        </w:tc>
        <w:tc>
          <w:tcPr>
            <w:tcW w:type="dxa" w:w="1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 semanas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15. Log de Desvios do Protocolo</w:t>
      </w:r>
    </w:p>
    <w:p>
      <w:pPr>
        <w:spacing w:after="120" w:line="276"/>
      </w:pPr>
      <w:r>
        <w:t xml:space="preserve">Toda alteração de procedimento </w:t>
      </w:r>
      <w:r>
        <w:rPr>
          <w:b/>
          <w:bCs/>
        </w:rPr>
        <w:t xml:space="preserve">após o registro do protocolo no OSF</w:t>
      </w:r>
      <w:r>
        <w:t xml:space="preserve"> deve ser registrada aqui, com data e justificativa, em conformidade com o relato transparente exigido por PRISMA/SEGRESS.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1"/>
        <w:gridCol w:w="765"/>
        <w:gridCol w:w="2964"/>
        <w:gridCol w:w="3010"/>
        <w:gridCol w:w="1328"/>
      </w:tblGrid>
      <w:tr>
        <w:trPr>
          <w:cantSplit/>
          <w:tblHeader/>
        </w:trPr>
        <w:tc>
          <w:tcPr>
            <w:tcW w:type="dxa" w:w="15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7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Desvio ou decisão</w:t>
            </w:r>
          </w:p>
        </w:tc>
        <w:tc>
          <w:tcPr>
            <w:tcW w:type="dxa" w:w="3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  <w:tc>
          <w:tcPr>
            <w:tcW w:type="dxa" w:w="1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Registrado por</w:t>
            </w:r>
          </w:p>
        </w:tc>
      </w:tr>
      <w:tr>
        <w:trPr>
          <w:cantSplit/>
        </w:trPr>
        <w:tc>
          <w:tcPr>
            <w:tcW w:type="dxa" w:w="15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i/>
                <w:iCs/>
                <w:sz w:val="19"/>
                <w:szCs w:val="19"/>
              </w:rPr>
              <w:t xml:space="preserve">Exemplo:</w:t>
            </w:r>
            <w:r>
              <w:rPr>
                <w:sz w:val="19"/>
                <w:szCs w:val="19"/>
              </w:rPr>
              <w:t xml:space="preserve"> 10/09/2026</w:t>
            </w:r>
          </w:p>
        </w:tc>
        <w:tc>
          <w:tcPr>
            <w:tcW w:type="dxa" w:w="7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Busca</w:t>
            </w:r>
          </w:p>
        </w:tc>
        <w:tc>
          <w:tcPr>
            <w:tcW w:type="dxa" w:w="2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Inclusão do termo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MAS</w:t>
            </w:r>
            <w:r>
              <w:rPr>
                <w:sz w:val="19"/>
                <w:szCs w:val="19"/>
              </w:rPr>
              <w:t xml:space="preserve"> restrito a título na Scopus</w:t>
            </w:r>
          </w:p>
        </w:tc>
        <w:tc>
          <w:tcPr>
            <w:tcW w:type="dxa" w:w="3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Test-set indicou recall insuficiente sem o termo</w:t>
            </w:r>
          </w:p>
        </w:tc>
        <w:tc>
          <w:tcPr>
            <w:tcW w:type="dxa" w:w="1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W. Farias</w:t>
            </w:r>
          </w:p>
        </w:tc>
      </w:tr>
      <w:tr>
        <w:trPr>
          <w:cantSplit/>
        </w:trPr>
        <w:tc>
          <w:tcPr>
            <w:tcW w:type="dxa" w:w="15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16. Referências</w:t>
      </w:r>
    </w:p>
    <w:p>
      <w:pPr>
        <w:pStyle w:val="Heading2"/>
      </w:pPr>
      <w:r>
        <w:t xml:space="preserve">16.1 Referências do glossário (Seção 2)</w:t>
      </w:r>
    </w:p>
    <w:p>
      <w:pPr>
        <w:spacing w:after="120" w:line="276"/>
      </w:pPr>
      <w:r>
        <w:t xml:space="preserve">Os links foram incluídos sempre que havia DOI, preprint ou página oficial identificável; livros e relatórios sem endereço estável (Ferber, Holland, Wooldridge 2009, Kitchenham &amp; Charters 2007, SEGRESS) permanecem sem link.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ANJOMSHOAE, S. et al. Explainable agents and robots: results from a systematic literature review. In: </w:t>
      </w:r>
      <w:r>
        <w:rPr>
          <w:i/>
          <w:iCs/>
        </w:rPr>
        <w:t xml:space="preserve">18th International Conference on Autonomous Agents and Multiagent Systems (AAMAS 2019)</w:t>
      </w:r>
      <w:r>
        <w:t xml:space="preserve">, 2019, p. 1078–1088. Disponível em: </w:t>
      </w:r>
      <w:hyperlink w:history="1" r:id="rId7piqkhtmt3v0hbbcaq0ra">
        <w:r>
          <w:rPr>
            <w:color w:val="0563C1"/>
            <w:sz w:val="20"/>
            <w:szCs w:val="20"/>
            <w:u w:val="single"/>
          </w:rPr>
          <w:t xml:space="preserve">https://ifmas.csc.liv.ac.uk/Proceedings/aamas2019/pdfs/p1078.pdf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ARRIETA, A. B. et al. Explainable Artificial Intelligence (XAI): concepts, taxonomies, opportunities and challenges toward responsible AI. </w:t>
      </w:r>
      <w:r>
        <w:rPr>
          <w:i/>
          <w:iCs/>
        </w:rPr>
        <w:t xml:space="preserve">Information Fusion</w:t>
      </w:r>
      <w:r>
        <w:t xml:space="preserve">, v. 58, p. 82–115, 2020. Disponível em: </w:t>
      </w:r>
      <w:hyperlink w:history="1" r:id="rIdrztk4_dzdcbkistbasowh">
        <w:r>
          <w:rPr>
            <w:color w:val="0563C1"/>
            <w:sz w:val="20"/>
            <w:szCs w:val="20"/>
            <w:u w:val="single"/>
          </w:rPr>
          <w:t xml:space="preserve">https://doi.org/10.1016/j.inffus.2019.12.012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 WOLF, T.; HOLVOET, T. Emergence versus self-organisation: different concepts but promising when combined. In: </w:t>
      </w:r>
      <w:r>
        <w:rPr>
          <w:i/>
          <w:iCs/>
        </w:rPr>
        <w:t xml:space="preserve">Engineering Self-Organising Systems (ESOA 2004)</w:t>
      </w:r>
      <w:r>
        <w:t xml:space="preserve">. Lecture Notes in Computer Science, v. 3464. Springer, 2005, p. 1–15. Disponível em: </w:t>
      </w:r>
      <w:hyperlink w:history="1" r:id="rIdddck0mqtvmykiws9q4z8x">
        <w:r>
          <w:rPr>
            <w:color w:val="0563C1"/>
            <w:sz w:val="20"/>
            <w:szCs w:val="20"/>
            <w:u w:val="single"/>
          </w:rPr>
          <w:t xml:space="preserve">https://dblp1.uni-trier.de/rec/conf/atal/WolfH04.html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DIGNUM, V. </w:t>
      </w:r>
      <w:r>
        <w:rPr>
          <w:i/>
          <w:iCs/>
        </w:rPr>
        <w:t xml:space="preserve">Responsible Artificial Intelligence: How to Develop and Use AI in a Responsible Way</w:t>
      </w:r>
      <w:r>
        <w:t xml:space="preserve">. Springer, 2019. Disponível em: </w:t>
      </w:r>
      <w:hyperlink w:history="1" r:id="rIdoczym3mve2wnkjru7m3wx">
        <w:r>
          <w:rPr>
            <w:color w:val="0563C1"/>
            <w:sz w:val="20"/>
            <w:szCs w:val="20"/>
            <w:u w:val="single"/>
          </w:rPr>
          <w:t xml:space="preserve">https://link.springer.com/978-3-030-30370-9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DOSHI-VELEZ, F.; KIM, B. Towards a rigorous science of interpretable machine learning. </w:t>
      </w:r>
      <w:r>
        <w:rPr>
          <w:i/>
          <w:iCs/>
        </w:rPr>
        <w:t xml:space="preserve">arXiv</w:t>
      </w:r>
      <w:r>
        <w:t xml:space="preserve">:1702.08608, 2017. Disponível em: </w:t>
      </w:r>
      <w:hyperlink w:history="1" r:id="rId2xvkl6cjedegsrjpnx3zo">
        <w:r>
          <w:rPr>
            <w:color w:val="0563C1"/>
            <w:sz w:val="20"/>
            <w:szCs w:val="20"/>
            <w:u w:val="single"/>
          </w:rPr>
          <w:t xml:space="preserve">https://arxiv.org/abs/1702.08608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FERBER, J. </w:t>
      </w:r>
      <w:r>
        <w:rPr>
          <w:i/>
          <w:iCs/>
        </w:rPr>
        <w:t xml:space="preserve">Multi-Agent Systems: An Introduction to Distributed Artificial Intelligence</w:t>
      </w:r>
      <w:r>
        <w:t xml:space="preserve">. Addison-Wesley, 1999.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GUIDOTTI, R. et al. A survey of methods for explaining black box models. </w:t>
      </w:r>
      <w:r>
        <w:rPr>
          <w:i/>
          <w:iCs/>
        </w:rPr>
        <w:t xml:space="preserve">ACM Computing Surveys</w:t>
      </w:r>
      <w:r>
        <w:t xml:space="preserve">, v. 51, n. 5, art. 93, 2019. Disponível em: </w:t>
      </w:r>
      <w:hyperlink w:history="1" r:id="rIdkv7osy3xwfa-k5ye3p7ig">
        <w:r>
          <w:rPr>
            <w:color w:val="0563C1"/>
            <w:sz w:val="20"/>
            <w:szCs w:val="20"/>
            <w:u w:val="single"/>
          </w:rPr>
          <w:t xml:space="preserve">https://doi.org/10.1145/3236009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GUO, T. et al. Large language model based multi-agents: a survey of progress and challenges. In: </w:t>
      </w:r>
      <w:r>
        <w:rPr>
          <w:i/>
          <w:iCs/>
        </w:rPr>
        <w:t xml:space="preserve">Proceedings of the 33rd International Joint Conference on Artificial Intelligence (IJCAI 2024)</w:t>
      </w:r>
      <w:r>
        <w:t xml:space="preserve">, 2024. Disponível em: </w:t>
      </w:r>
      <w:hyperlink w:history="1" r:id="rIdiep0nl0c2z1vy0zilak6p">
        <w:r>
          <w:rPr>
            <w:color w:val="0563C1"/>
            <w:sz w:val="20"/>
            <w:szCs w:val="20"/>
            <w:u w:val="single"/>
          </w:rPr>
          <w:t xml:space="preserve">https://www.ijcai.org/proceedings/2024/890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HLEG — HIGH-LEVEL EXPERT GROUP ON ARTIFICIAL INTELLIGENCE. </w:t>
      </w:r>
      <w:r>
        <w:rPr>
          <w:i/>
          <w:iCs/>
        </w:rPr>
        <w:t xml:space="preserve">Ethics Guidelines for Trustworthy AI</w:t>
      </w:r>
      <w:r>
        <w:t xml:space="preserve">. European Commission, 2019. Disponível em: </w:t>
      </w:r>
      <w:hyperlink w:history="1" r:id="rId0ofuizo3slbaq3bzihz_v">
        <w:r>
          <w:rPr>
            <w:color w:val="0563C1"/>
            <w:sz w:val="20"/>
            <w:szCs w:val="20"/>
            <w:u w:val="single"/>
          </w:rPr>
          <w:t xml:space="preserve">https://digital-strategy.ec.europa.eu/en/library/ethics-guidelines-trustworthy-ai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HOLLAND, J. H. </w:t>
      </w:r>
      <w:r>
        <w:rPr>
          <w:i/>
          <w:iCs/>
        </w:rPr>
        <w:t xml:space="preserve">Emergence: From Chaos to Order</w:t>
      </w:r>
      <w:r>
        <w:t xml:space="preserve">. Addison-Wesley, 1998.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JOBIN, A.; IENCA, M.; VAYENA, E. The global landscape of AI ethics guidelines. </w:t>
      </w:r>
      <w:r>
        <w:rPr>
          <w:i/>
          <w:iCs/>
        </w:rPr>
        <w:t xml:space="preserve">Nature Machine Intelligence</w:t>
      </w:r>
      <w:r>
        <w:t xml:space="preserve">, v. 1, n. 9, p. 389–399, 2019. Disponível em: </w:t>
      </w:r>
      <w:hyperlink w:history="1" r:id="rIdmnzsmzvqhhgbipkwitqjt">
        <w:r>
          <w:rPr>
            <w:color w:val="0563C1"/>
            <w:sz w:val="20"/>
            <w:szCs w:val="20"/>
            <w:u w:val="single"/>
          </w:rPr>
          <w:t xml:space="preserve">https://doi.org/10.1038/s42256-019-0088-2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KITCHENHAM, B. et al. Systematic literature reviews in software engineering — a tertiary study. </w:t>
      </w:r>
      <w:r>
        <w:rPr>
          <w:i/>
          <w:iCs/>
        </w:rPr>
        <w:t xml:space="preserve">Information and Software Technology</w:t>
      </w:r>
      <w:r>
        <w:t xml:space="preserve">, v. 52, n. 8, p. 792–805, 2010. Disponível em: </w:t>
      </w:r>
      <w:hyperlink w:history="1" r:id="rIdg6olgnivmhaaovukkhlgy">
        <w:r>
          <w:rPr>
            <w:color w:val="0563C1"/>
            <w:sz w:val="20"/>
            <w:szCs w:val="20"/>
            <w:u w:val="single"/>
          </w:rPr>
          <w:t xml:space="preserve">https://doi.org/10.1016/j.infsof.2010.03.006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LANGER, M. et al. What do we want from Explainable Artificial Intelligence (XAI)? A stakeholder perspective on XAI and a conceptual model guiding interdisciplinary XAI research. </w:t>
      </w:r>
      <w:r>
        <w:rPr>
          <w:i/>
          <w:iCs/>
        </w:rPr>
        <w:t xml:space="preserve">Artificial Intelligence</w:t>
      </w:r>
      <w:r>
        <w:t xml:space="preserve">, v. 296, art. 103473, 2021. Disponível em: </w:t>
      </w:r>
      <w:hyperlink w:history="1" r:id="rIdjadtqmlnhyq59qs6u6cta">
        <w:r>
          <w:rPr>
            <w:color w:val="0563C1"/>
            <w:sz w:val="20"/>
            <w:szCs w:val="20"/>
            <w:u w:val="single"/>
          </w:rPr>
          <w:t xml:space="preserve">https://doi.org/10.1016/j.artint.2021.103473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LI, B. et al. Trustworthy AI: from principles to practices. </w:t>
      </w:r>
      <w:r>
        <w:rPr>
          <w:i/>
          <w:iCs/>
        </w:rPr>
        <w:t xml:space="preserve">ACM Computing Surveys</w:t>
      </w:r>
      <w:r>
        <w:t xml:space="preserve">, v. 55, n. 9, art. 177, 2023. Disponível em: </w:t>
      </w:r>
      <w:hyperlink w:history="1" r:id="rIdgj-fdrwr01hlx4wjwss6i">
        <w:r>
          <w:rPr>
            <w:color w:val="0563C1"/>
            <w:sz w:val="20"/>
            <w:szCs w:val="20"/>
            <w:u w:val="single"/>
          </w:rPr>
          <w:t xml:space="preserve">https://doi.org/10.1145/3555803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LIPTON, Z. C. The mythos of model interpretability. </w:t>
      </w:r>
      <w:r>
        <w:rPr>
          <w:i/>
          <w:iCs/>
        </w:rPr>
        <w:t xml:space="preserve">ACM Queue</w:t>
      </w:r>
      <w:r>
        <w:t xml:space="preserve">, v. 16, n. 3, p. 31–57, 2018. Disponível em: </w:t>
      </w:r>
      <w:hyperlink w:history="1" r:id="rIdagegrlsce33xty2xkuxp2">
        <w:r>
          <w:rPr>
            <w:color w:val="0563C1"/>
            <w:sz w:val="20"/>
            <w:szCs w:val="20"/>
            <w:u w:val="single"/>
          </w:rPr>
          <w:t xml:space="preserve">https://doi.org/10.1145/3236386.3241340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LUNDBERG, S. M.; LEE, S.-I. A unified approach to interpreting model predictions. In: </w:t>
      </w:r>
      <w:r>
        <w:rPr>
          <w:i/>
          <w:iCs/>
        </w:rPr>
        <w:t xml:space="preserve">Advances in Neural Information Processing Systems (NeurIPS)</w:t>
      </w:r>
      <w:r>
        <w:t xml:space="preserve">, v. 30, 2017, p. 4765–4774. Disponível em: </w:t>
      </w:r>
      <w:hyperlink w:history="1" r:id="rIdofuui5xbxfh7n7omuwamm">
        <w:r>
          <w:rPr>
            <w:color w:val="0563C1"/>
            <w:sz w:val="20"/>
            <w:szCs w:val="20"/>
            <w:u w:val="single"/>
          </w:rPr>
          <w:t xml:space="preserve">https://arxiv.org/abs/1705.07874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MILLER, T. Explanation in artificial intelligence: insights from the social sciences. </w:t>
      </w:r>
      <w:r>
        <w:rPr>
          <w:i/>
          <w:iCs/>
        </w:rPr>
        <w:t xml:space="preserve">Artificial Intelligence</w:t>
      </w:r>
      <w:r>
        <w:t xml:space="preserve">, v. 267, p. 1–38, 2019. Disponível em: </w:t>
      </w:r>
      <w:hyperlink w:history="1" r:id="rIdghry4qzkp1jznvgrb1git">
        <w:r>
          <w:rPr>
            <w:color w:val="0563C1"/>
            <w:sz w:val="20"/>
            <w:szCs w:val="20"/>
            <w:u w:val="single"/>
          </w:rPr>
          <w:t xml:space="preserve">https://doi.org/10.1016/j.artint.2018.07.007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NIST — NATIONAL INSTITUTE OF STANDARDS AND TECHNOLOGY. </w:t>
      </w:r>
      <w:r>
        <w:rPr>
          <w:i/>
          <w:iCs/>
        </w:rPr>
        <w:t xml:space="preserve">Artificial Intelligence Risk Management Framework (AI RMF 1.0)</w:t>
      </w:r>
      <w:r>
        <w:t xml:space="preserve">. NIST AI 100-1, 2023. Disponível em: </w:t>
      </w:r>
      <w:hyperlink w:history="1" r:id="rIdswvalzubauigmqgkbw_ru">
        <w:r>
          <w:rPr>
            <w:color w:val="0563C1"/>
            <w:sz w:val="20"/>
            <w:szCs w:val="20"/>
            <w:u w:val="single"/>
          </w:rPr>
          <w:t xml:space="preserve">https://nvlpubs.nist.gov/nistpubs/ai/nist.ai.100-1.pdf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RAMCHURN, S. D.; HUYNH, D.; JENNINGS, N. R. Trust in multi-agent systems. </w:t>
      </w:r>
      <w:r>
        <w:rPr>
          <w:i/>
          <w:iCs/>
        </w:rPr>
        <w:t xml:space="preserve">The Knowledge Engineering Review</w:t>
      </w:r>
      <w:r>
        <w:t xml:space="preserve">, v. 19, n. 1, p. 1–25, 2004. Disponível em: </w:t>
      </w:r>
      <w:hyperlink w:history="1" r:id="rIdy4morbkp05wolfss9mccw">
        <w:r>
          <w:rPr>
            <w:color w:val="0563C1"/>
            <w:sz w:val="20"/>
            <w:szCs w:val="20"/>
            <w:u w:val="single"/>
          </w:rPr>
          <w:t xml:space="preserve">https://doi.org/10.1017/S0269888904000116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RIBEIRO, M. T.; SINGH, S.; GUESTRIN, C. "Why should I trust you?": explaining the predictions of any classifier. In: </w:t>
      </w:r>
      <w:r>
        <w:rPr>
          <w:i/>
          <w:iCs/>
        </w:rPr>
        <w:t xml:space="preserve">ACM SIGKDD (KDD '16)</w:t>
      </w:r>
      <w:r>
        <w:t xml:space="preserve">, 2016, p. 1135–1144. Disponível em: </w:t>
      </w:r>
      <w:hyperlink w:history="1" r:id="rIdfaw_0_gfdxvmdusbtligb">
        <w:r>
          <w:rPr>
            <w:color w:val="0563C1"/>
            <w:sz w:val="20"/>
            <w:szCs w:val="20"/>
            <w:u w:val="single"/>
          </w:rPr>
          <w:t xml:space="preserve">https://doi.org/10.1145/2939672.2939778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RUDIN, C. Stop explaining black box machine learning models for high stakes decisions and use interpretable models instead. </w:t>
      </w:r>
      <w:r>
        <w:rPr>
          <w:i/>
          <w:iCs/>
        </w:rPr>
        <w:t xml:space="preserve">Nature Machine Intelligence</w:t>
      </w:r>
      <w:r>
        <w:t xml:space="preserve">, v. 1, n. 5, p. 206–215, 2019. Disponível em: </w:t>
      </w:r>
      <w:hyperlink w:history="1" r:id="rIdmqetke_yssj2sn87z9ek1">
        <w:r>
          <w:rPr>
            <w:color w:val="0563C1"/>
            <w:sz w:val="20"/>
            <w:szCs w:val="20"/>
            <w:u w:val="single"/>
          </w:rPr>
          <w:t xml:space="preserve">https://doi.org/10.1038/s42256-019-0048-x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SABATER, J.; SIERRA, C. Review on computational trust and reputation models. </w:t>
      </w:r>
      <w:r>
        <w:rPr>
          <w:i/>
          <w:iCs/>
        </w:rPr>
        <w:t xml:space="preserve">Artificial Intelligence Review</w:t>
      </w:r>
      <w:r>
        <w:t xml:space="preserve">, v. 24, n. 1, p. 33–60, 2005. Disponível em: </w:t>
      </w:r>
      <w:hyperlink w:history="1" r:id="rIdxoxojcafc7povgmxmi2vx">
        <w:r>
          <w:rPr>
            <w:color w:val="0563C1"/>
            <w:sz w:val="20"/>
            <w:szCs w:val="20"/>
            <w:u w:val="single"/>
          </w:rPr>
          <w:t xml:space="preserve">https://doi.org/10.1007/s10462-004-0041-5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SAPKOTA, R.; ROUMELIOTIS, K. I.; KARKEE, M. AI agents vs. agentic AI: a conceptual taxonomy, applications and challenges. </w:t>
      </w:r>
      <w:r>
        <w:rPr>
          <w:i/>
          <w:iCs/>
        </w:rPr>
        <w:t xml:space="preserve">arXiv</w:t>
      </w:r>
      <w:r>
        <w:t xml:space="preserve">:2505.10468, 2025. Disponível em: </w:t>
      </w:r>
      <w:hyperlink w:history="1" r:id="rIdw1dbec9olyv8jnzlrelwg">
        <w:r>
          <w:rPr>
            <w:color w:val="0563C1"/>
            <w:sz w:val="20"/>
            <w:szCs w:val="20"/>
            <w:u w:val="single"/>
          </w:rPr>
          <w:t xml:space="preserve">https://arxiv.org/abs/2505.10468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WACHTER, S.; MITTELSTADT, B.; RUSSELL, C. Counterfactual explanations without opening the black box: automated decisions and the GDPR. </w:t>
      </w:r>
      <w:r>
        <w:rPr>
          <w:i/>
          <w:iCs/>
        </w:rPr>
        <w:t xml:space="preserve">Harvard Journal of Law &amp; Technology</w:t>
      </w:r>
      <w:r>
        <w:t xml:space="preserve">, v. 31, n. 2, p. 841–887, 2018. Disponível em: </w:t>
      </w:r>
      <w:hyperlink w:history="1" r:id="rId7oszmrzqn5jfhmn4-m-x5">
        <w:r>
          <w:rPr>
            <w:color w:val="0563C1"/>
            <w:sz w:val="20"/>
            <w:szCs w:val="20"/>
            <w:u w:val="single"/>
          </w:rPr>
          <w:t xml:space="preserve">https://arxiv.org/abs/1711.00399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WANG, L. et al. A survey on large language model based autonomous agents. </w:t>
      </w:r>
      <w:r>
        <w:rPr>
          <w:i/>
          <w:iCs/>
        </w:rPr>
        <w:t xml:space="preserve">Frontiers of Computer Science</w:t>
      </w:r>
      <w:r>
        <w:t xml:space="preserve">, v. 18, n. 6, art. 186345, 2024. Disponível em: </w:t>
      </w:r>
      <w:hyperlink w:history="1" r:id="rIdu9l4v1dpvgcgujupijijl">
        <w:r>
          <w:rPr>
            <w:color w:val="0563C1"/>
            <w:sz w:val="20"/>
            <w:szCs w:val="20"/>
            <w:u w:val="single"/>
          </w:rPr>
          <w:t xml:space="preserve">https://doi.org/10.1007/s11704-024-40231-1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WOOLDRIDGE, M. </w:t>
      </w:r>
      <w:r>
        <w:rPr>
          <w:i/>
          <w:iCs/>
        </w:rPr>
        <w:t xml:space="preserve">An Introduction to MultiAgent Systems</w:t>
      </w:r>
      <w:r>
        <w:t xml:space="preserve">. 2. ed. Wiley, 2009.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WOOLDRIDGE, M.; JENNINGS, N. R. Intelligent agents: theory and practice. </w:t>
      </w:r>
      <w:r>
        <w:rPr>
          <w:i/>
          <w:iCs/>
        </w:rPr>
        <w:t xml:space="preserve">The Knowledge Engineering Review</w:t>
      </w:r>
      <w:r>
        <w:t xml:space="preserve">, v. 10, n. 2, p. 115–152, 1995. Disponível em: </w:t>
      </w:r>
      <w:hyperlink w:history="1" r:id="rIdvyxnf8vriqjer2cth8r-o">
        <w:r>
          <w:rPr>
            <w:color w:val="0563C1"/>
            <w:sz w:val="20"/>
            <w:szCs w:val="20"/>
            <w:u w:val="single"/>
          </w:rPr>
          <w:t xml:space="preserve">https://doi.org/10.1017/S0269888900008122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XI, Z. et al. The rise and potential of large language model based agents: a survey. </w:t>
      </w:r>
      <w:r>
        <w:rPr>
          <w:i/>
          <w:iCs/>
        </w:rPr>
        <w:t xml:space="preserve">arXiv</w:t>
      </w:r>
      <w:r>
        <w:t xml:space="preserve">:2309.07864, 2023. Disponível em: </w:t>
      </w:r>
      <w:hyperlink w:history="1" r:id="rIdgpobqpq0po5zcu3uhcnvz">
        <w:r>
          <w:rPr>
            <w:color w:val="0563C1"/>
            <w:sz w:val="20"/>
            <w:szCs w:val="20"/>
            <w:u w:val="single"/>
          </w:rPr>
          <w:t xml:space="preserve">https://arxiv.org/abs/2309.07864</w:t>
        </w:r>
      </w:hyperlink>
      <w:r>
        <w:t xml:space="preserve">.</w:t>
      </w:r>
    </w:p>
    <w:p>
      <w:pPr>
        <w:pStyle w:val="Heading2"/>
      </w:pPr>
      <w:r>
        <w:t xml:space="preserve">16.2 Referências metodológicas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KITCHENHAM, B.; CHARTERS, S. </w:t>
      </w:r>
      <w:r>
        <w:rPr>
          <w:i/>
          <w:iCs/>
        </w:rPr>
        <w:t xml:space="preserve">Guidelines for performing systematic literature reviews in software engineering</w:t>
      </w:r>
      <w:r>
        <w:t xml:space="preserve">. EBSE Technical Report EBSE-2007-01, 2007.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KITCHENHAM, B.; MADEYSKI, L.; BUDGEN, D. SEGRESS: Software engineering guidelines for reporting secondary studies. </w:t>
      </w:r>
      <w:r>
        <w:rPr>
          <w:i/>
          <w:iCs/>
        </w:rPr>
        <w:t xml:space="preserve">IEEE Transactions on Software Engineering</w:t>
      </w:r>
      <w:r>
        <w:t xml:space="preserve">, 49(3), 2023.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KITCHENHAM, B.; PIZARD, S.; MADEYSKI, L.; DE SOUZA SANTOS, R.; SHEPPERD, M.; BUDGEN, D. Preliminary guidelines for using and evaluating GenAI tools to support systematic literature reviews (GUEST: GenAI Use and Evaluation in SLR Tasks). </w:t>
      </w:r>
      <w:r>
        <w:rPr>
          <w:i/>
          <w:iCs/>
        </w:rPr>
        <w:t xml:space="preserve">arXiv</w:t>
      </w:r>
      <w:r>
        <w:t xml:space="preserve">:2607.24991v1 [cs.SE], 27 jul. 2026. </w:t>
      </w:r>
      <w:r>
        <w:rPr>
          <w:i/>
          <w:iCs/>
        </w:rPr>
        <w:t xml:space="preserve">(uso de IA generativa, Seção 11; Apêndice B)</w:t>
      </w:r>
      <w:r>
        <w:t xml:space="preserve"> Disponível em: </w:t>
      </w:r>
      <w:hyperlink w:history="1" r:id="rIdudkpucelli7xvkcvf4t__">
        <w:r>
          <w:rPr>
            <w:color w:val="0563C1"/>
            <w:sz w:val="20"/>
            <w:szCs w:val="20"/>
            <w:u w:val="single"/>
          </w:rPr>
          <w:t xml:space="preserve">https://arxiv.org/abs/2607.24991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WOHLIN, C. et al. </w:t>
      </w:r>
      <w:r>
        <w:rPr>
          <w:i/>
          <w:iCs/>
        </w:rPr>
        <w:t xml:space="preserve">Experimentation in Software Engineering</w:t>
      </w:r>
      <w:r>
        <w:t xml:space="preserve">. Springer, 2012. Disponível em: </w:t>
      </w:r>
      <w:hyperlink w:history="1" r:id="rIdjsnwrnn7cv_aw4x-ufn0t">
        <w:r>
          <w:rPr>
            <w:color w:val="0563C1"/>
            <w:sz w:val="20"/>
            <w:szCs w:val="20"/>
            <w:u w:val="single"/>
          </w:rPr>
          <w:t xml:space="preserve">https://doi.org/10.1007/978-3-642-29044-2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CRUZES, D. S.; DYBÅ, T. Recommended steps for thematic synthesis in software engineering. </w:t>
      </w:r>
      <w:r>
        <w:rPr>
          <w:i/>
          <w:iCs/>
        </w:rPr>
        <w:t xml:space="preserve">ESEM</w:t>
      </w:r>
      <w:r>
        <w:t xml:space="preserve">, 2011. </w:t>
      </w:r>
      <w:r>
        <w:rPr>
          <w:i/>
          <w:iCs/>
        </w:rPr>
        <w:t xml:space="preserve">(síntese temática, Seção 10.2)</w:t>
      </w:r>
      <w:r>
        <w:t xml:space="preserve"> Disponível em: </w:t>
      </w:r>
      <w:hyperlink w:history="1" r:id="rIddklnd21rvm1lsv8yvrvvv">
        <w:r>
          <w:rPr>
            <w:color w:val="0563C1"/>
            <w:sz w:val="20"/>
            <w:szCs w:val="20"/>
            <w:u w:val="single"/>
          </w:rPr>
          <w:t xml:space="preserve">https://doi.org/10.1109/ESEM.2011.36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ZHOU, Y.; ZHANG, H.; HUANG, X.; YANG, S.; BABAR, M. A.; TANG, H. Quality assessment of systematic reviews in software engineering: a tertiary study. </w:t>
      </w:r>
      <w:r>
        <w:rPr>
          <w:i/>
          <w:iCs/>
        </w:rPr>
        <w:t xml:space="preserve">EASE</w:t>
      </w:r>
      <w:r>
        <w:t xml:space="preserve">, 2015. </w:t>
      </w:r>
      <w:r>
        <w:rPr>
          <w:i/>
          <w:iCs/>
        </w:rPr>
        <w:t xml:space="preserve">(framework de QA — referência corrigida em relação à v2.0)</w:t>
      </w:r>
      <w:r>
        <w:t xml:space="preserve"> Disponível em: </w:t>
      </w:r>
      <w:hyperlink w:history="1" r:id="rId0arwbkhyuclbasdsrnh1g">
        <w:r>
          <w:rPr>
            <w:color w:val="0563C1"/>
            <w:sz w:val="20"/>
            <w:szCs w:val="20"/>
            <w:u w:val="single"/>
          </w:rPr>
          <w:t xml:space="preserve">https://doi.org/10.1145/2745802.2745815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WIERINGA, R.; MAIDEN, N.; MEAD, N.; ROLLAND, C. Requirements engineering paper classification and evaluation criteria. </w:t>
      </w:r>
      <w:r>
        <w:rPr>
          <w:i/>
          <w:iCs/>
        </w:rPr>
        <w:t xml:space="preserve">Requirements Engineering</w:t>
      </w:r>
      <w:r>
        <w:t xml:space="preserve">, 11(1), p. 102–107, 2006. </w:t>
      </w:r>
      <w:r>
        <w:rPr>
          <w:i/>
          <w:iCs/>
        </w:rPr>
        <w:t xml:space="preserve">(research types, Bloco H)</w:t>
      </w:r>
      <w:r>
        <w:t xml:space="preserve"> Disponível em: </w:t>
      </w:r>
      <w:hyperlink w:history="1" r:id="rIdjqwm6gnjtofofy0sppfnu">
        <w:r>
          <w:rPr>
            <w:color w:val="0563C1"/>
            <w:sz w:val="20"/>
            <w:szCs w:val="20"/>
            <w:u w:val="single"/>
          </w:rPr>
          <w:t xml:space="preserve">https://doi.org/10.1007/s00766-005-0021-6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EASTERBROOK, S.; SINGER, J.; STOREY, M.-A.; DAMIAN, D. Selecting empirical methods for software engineering research. In: </w:t>
      </w:r>
      <w:r>
        <w:rPr>
          <w:i/>
          <w:iCs/>
        </w:rPr>
        <w:t xml:space="preserve">Guide to Advanced Empirical Software Engineering</w:t>
      </w:r>
      <w:r>
        <w:t xml:space="preserve">. Springer, 2008. </w:t>
      </w:r>
      <w:r>
        <w:rPr>
          <w:i/>
          <w:iCs/>
        </w:rPr>
        <w:t xml:space="preserve">(classificação das RQs, Seção 4.1)</w:t>
      </w:r>
      <w:r>
        <w:t xml:space="preserve"> Disponível em: </w:t>
      </w:r>
      <w:hyperlink w:history="1" r:id="rIdgz4txdrjqn9p7g8z3ir2u">
        <w:r>
          <w:rPr>
            <w:color w:val="0563C1"/>
            <w:sz w:val="20"/>
            <w:szCs w:val="20"/>
            <w:u w:val="single"/>
          </w:rPr>
          <w:t xml:space="preserve">https://doi.org/10.1007/978-1-84800-044-5_11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PAGE, M. J. et al. The PRISMA 2020 statement. </w:t>
      </w:r>
      <w:r>
        <w:rPr>
          <w:i/>
          <w:iCs/>
        </w:rPr>
        <w:t xml:space="preserve">BMJ</w:t>
      </w:r>
      <w:r>
        <w:t xml:space="preserve">, 372, 2021. Disponível em: </w:t>
      </w:r>
      <w:hyperlink w:history="1" r:id="rIdhdxko_ohjvzv3htgcvvxh">
        <w:r>
          <w:rPr>
            <w:color w:val="0563C1"/>
            <w:sz w:val="20"/>
            <w:szCs w:val="20"/>
            <w:u w:val="single"/>
          </w:rPr>
          <w:t xml:space="preserve">https://doi.org/10.1136/bmj.n71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SHEA, B. J. et al. AMSTAR 2: a critical appraisal tool for systematic reviews. </w:t>
      </w:r>
      <w:r>
        <w:rPr>
          <w:i/>
          <w:iCs/>
        </w:rPr>
        <w:t xml:space="preserve">BMJ</w:t>
      </w:r>
      <w:r>
        <w:t xml:space="preserve">, 358, 2017. Disponível em: </w:t>
      </w:r>
      <w:hyperlink w:history="1" r:id="rIddzvmar2hufmi2dpwnwhvo">
        <w:r>
          <w:rPr>
            <w:color w:val="0563C1"/>
            <w:sz w:val="20"/>
            <w:szCs w:val="20"/>
            <w:u w:val="single"/>
          </w:rPr>
          <w:t xml:space="preserve">https://doi.org/10.1136/bmj.j4008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DYBÅ, T.; DINGSØYR, T. Strength of evidence in systematic reviews in software engineering. </w:t>
      </w:r>
      <w:r>
        <w:rPr>
          <w:i/>
          <w:iCs/>
        </w:rPr>
        <w:t xml:space="preserve">ESEM</w:t>
      </w:r>
      <w:r>
        <w:t xml:space="preserve">, 2008. Disponível em: </w:t>
      </w:r>
      <w:hyperlink w:history="1" r:id="rIdhrta1jkjj0b9vnkox31jz">
        <w:r>
          <w:rPr>
            <w:color w:val="0563C1"/>
            <w:sz w:val="20"/>
            <w:szCs w:val="20"/>
            <w:u w:val="single"/>
          </w:rPr>
          <w:t xml:space="preserve">https://doi.org/10.1145/1414004.1414034</w:t>
        </w:r>
      </w:hyperlink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Estudos seminais (test-set da string de busca):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[SX15] ARRIETA, A. B. et al. Explainable Artificial Intelligence (XAI): Concepts, taxonomies, opportunities and challenges toward responsible AI. </w:t>
      </w:r>
      <w:r>
        <w:rPr>
          <w:i/>
          <w:iCs/>
        </w:rPr>
        <w:t xml:space="preserve">Information Fusion</w:t>
      </w:r>
      <w:r>
        <w:t xml:space="preserve">, 2020. Disponível em: </w:t>
      </w:r>
      <w:hyperlink w:history="1" r:id="rIdro7jtxj7ffhbcg8t2zou4">
        <w:r>
          <w:rPr>
            <w:color w:val="0563C1"/>
            <w:sz w:val="20"/>
            <w:szCs w:val="20"/>
            <w:u w:val="single"/>
          </w:rPr>
          <w:t xml:space="preserve">https://doi.org/10.1016/j.inffus.2019.12.012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[SX21] Explainable Artificial Intelligence: A Systematic Review of Progress and Challenges.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[SX22] A Systematic Review on Recommendation Systems and Machine Learning Applied to Multi-Agent Systems.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[SX23] Tendencies in Multi-Agent Systems: A Systematic Literature Review.</w:t>
      </w:r>
    </w:p>
    <w:p>
      <w:pPr>
        <w:pStyle w:val="Heading2"/>
      </w:pPr>
      <w:r>
        <w:t xml:space="preserve">Apêndice A — Checklist de Conformidade do Protocolo (resumo da matriz de rastreabilidade)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5"/>
        <w:gridCol w:w="1817"/>
        <w:gridCol w:w="1740"/>
        <w:gridCol w:w="956"/>
      </w:tblGrid>
      <w:tr>
        <w:trPr>
          <w:cantSplit/>
          <w:tblHeader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8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Requisito-chave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Seção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RQs classificadas (Easterbrook)</w:t>
            </w:r>
          </w:p>
        </w:tc>
        <w:tc>
          <w:tcPr>
            <w:tcW w:type="dxa" w:w="18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A3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§4.1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Hipótese fraca completa + verificação</w:t>
            </w:r>
          </w:p>
        </w:tc>
        <w:tc>
          <w:tcPr>
            <w:tcW w:type="dxa" w:w="18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A7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§3.2–3.3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Glossário operacional</w:t>
            </w:r>
          </w:p>
        </w:tc>
        <w:tc>
          <w:tcPr>
            <w:tcW w:type="dxa" w:w="18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H2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§2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String sem "MAS" isolado + test-set</w:t>
            </w:r>
          </w:p>
        </w:tc>
        <w:tc>
          <w:tcPr>
            <w:tcW w:type="dxa" w:w="18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X3, B6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§5.1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Pilotagem de critérios (think-aloud, κ)</w:t>
            </w:r>
          </w:p>
        </w:tc>
        <w:tc>
          <w:tcPr>
            <w:tcW w:type="dxa" w:w="18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B10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§5.3.1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Regras de decisão A–F</w:t>
            </w:r>
          </w:p>
        </w:tc>
        <w:tc>
          <w:tcPr>
            <w:tcW w:type="dxa" w:w="18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B11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§5.3.3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Política arXiv / duplicados / RSLs / chinês</w:t>
            </w:r>
          </w:p>
        </w:tc>
        <w:tc>
          <w:tcPr>
            <w:tcW w:type="dxa" w:w="18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B8, B14, X4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§6.3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Propósitos P1–P5 + regra N/A no QA</w:t>
            </w:r>
          </w:p>
        </w:tc>
        <w:tc>
          <w:tcPr>
            <w:tcW w:type="dxa" w:w="18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C2, C5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§7.1, §7.3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Bloco H (metodologia) e Bloco I (hipóteses)</w:t>
            </w:r>
          </w:p>
        </w:tc>
        <w:tc>
          <w:tcPr>
            <w:tcW w:type="dxa" w:w="18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D4, D6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§9.9–9.10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Campos de controle da extração (extrator/verificador/data/DOI)</w:t>
            </w:r>
          </w:p>
        </w:tc>
        <w:tc>
          <w:tcPr>
            <w:tcW w:type="dxa" w:w="18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D2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§9.2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Síntese temática nos 5 passos + confiabilidade</w:t>
            </w:r>
          </w:p>
        </w:tc>
        <w:tc>
          <w:tcPr>
            <w:tcW w:type="dxa" w:w="18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F2, F4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§10.2, §10.4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Sensibilidade + viés de publicação + meta-análise condicional</w:t>
            </w:r>
          </w:p>
        </w:tc>
        <w:tc>
          <w:tcPr>
            <w:tcW w:type="dxa" w:w="18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F5, F6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§10.3, §10.5–10.6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Uso de GenAI declarado e restringido</w:t>
            </w:r>
          </w:p>
        </w:tc>
        <w:tc>
          <w:tcPr>
            <w:tcW w:type="dxa" w:w="18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I1, I4 (núcleo)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§11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Estrutura de relato PRISMA/SEGRESS + disseminação + cronograma</w:t>
            </w:r>
          </w:p>
        </w:tc>
        <w:tc>
          <w:tcPr>
            <w:tcW w:type="dxa" w:w="18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G1, G2, G5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§14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 de desvios</w:t>
            </w:r>
          </w:p>
        </w:tc>
        <w:tc>
          <w:tcPr>
            <w:tcW w:type="dxa" w:w="18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E3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§15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Diretrizes GUEST (papel </w:t>
            </w:r>
            <w:r>
              <w:rPr>
                <w:i/>
                <w:iCs/>
                <w:sz w:val="19"/>
                <w:szCs w:val="19"/>
              </w:rPr>
              <w:t xml:space="preserve">Reviewer</w:t>
            </w:r>
            <w:r>
              <w:rPr>
                <w:sz w:val="19"/>
                <w:szCs w:val="19"/>
              </w:rPr>
              <w:t xml:space="preserve">), log GenAI e checklist</w:t>
            </w:r>
          </w:p>
        </w:tc>
        <w:tc>
          <w:tcPr>
            <w:tcW w:type="dxa" w:w="18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§11, Apêndice B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Glossário ancorado em referências</w:t>
            </w:r>
          </w:p>
        </w:tc>
        <w:tc>
          <w:tcPr>
            <w:tcW w:type="dxa" w:w="18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H2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§2, §16.1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Apêndice B — Checklist GUEST (GenAI Use and Evaluation in SLR Tasks)</w:t>
      </w:r>
    </w:p>
    <w:p>
      <w:pPr>
        <w:spacing w:after="120" w:line="276"/>
      </w:pPr>
      <w:r>
        <w:t xml:space="preserve">Checklist de conformidade deste protocolo com as recomendações GUEST (Kitchenham et al., 2026, Tabelas 2, 5 e 6), aplicado ao papel </w:t>
      </w:r>
      <w:r>
        <w:rPr>
          <w:b/>
          <w:bCs/>
        </w:rPr>
        <w:t xml:space="preserve">Reviewer</w:t>
      </w:r>
      <w:r>
        <w:t xml:space="preserve"> (Seção 11.1). Os enunciados foram traduzidos e resumidos a partir do original; as IDs seguem o artigo. A coluna </w:t>
      </w:r>
      <w:r>
        <w:rPr>
          <w:i/>
          <w:iCs/>
        </w:rPr>
        <w:t xml:space="preserve">Papel</w:t>
      </w:r>
      <w:r>
        <w:t xml:space="preserve"> indica a quem a recomendação se destina no GUEST (Ambos, Revisores ou Avaliadores).</w:t>
      </w:r>
    </w:p>
    <w:p>
      <w:pPr>
        <w:spacing w:after="120" w:line="276"/>
      </w:pPr>
      <w:r>
        <w:rPr>
          <w:b/>
          <w:bCs/>
        </w:rPr>
        <w:t xml:space="preserve">Legenda de situação:</w:t>
      </w:r>
      <w:r>
        <w:t xml:space="preserve"> </w:t>
      </w:r>
      <w:r>
        <w:rPr>
          <w:b/>
          <w:bCs/>
        </w:rPr>
        <w:t xml:space="preserve">✓ Atendido</w:t>
      </w:r>
      <w:r>
        <w:t xml:space="preserve"> — previsto e coberto por seção deste protocolo · </w:t>
      </w:r>
      <w:r>
        <w:rPr>
          <w:b/>
          <w:bCs/>
        </w:rPr>
        <w:t xml:space="preserve">→ A cumprir</w:t>
      </w:r>
      <w:r>
        <w:t xml:space="preserve"> — depende de registro ou relato durante a condução (log GenAI, relato final) · </w:t>
      </w:r>
      <w:r>
        <w:rPr>
          <w:b/>
          <w:bCs/>
        </w:rPr>
        <w:t xml:space="preserve">N/A</w:t>
      </w:r>
      <w:r>
        <w:t xml:space="preserve"> — não se aplica, com justificativa (papel </w:t>
      </w:r>
      <w:r>
        <w:rPr>
          <w:i/>
          <w:iCs/>
        </w:rPr>
        <w:t xml:space="preserve">Evaluator</w:t>
      </w:r>
      <w:r>
        <w:t xml:space="preserve"> ou tarefa sem GenAI).</w:t>
      </w:r>
    </w:p>
    <w:p>
      <w:pPr>
        <w:spacing w:after="120" w:line="276"/>
      </w:pPr>
      <w:r>
        <w:rPr>
          <w:b/>
          <w:bCs/>
        </w:rPr>
        <w:t xml:space="preserve">Resumo:</w:t>
      </w:r>
      <w:r>
        <w:t xml:space="preserve"> das </w:t>
      </w:r>
      <w:r>
        <w:rPr>
          <w:b/>
          <w:bCs/>
        </w:rPr>
        <w:t xml:space="preserve">48</w:t>
      </w:r>
      <w:r>
        <w:t xml:space="preserve"> recomendações listadas, </w:t>
      </w:r>
      <w:r>
        <w:rPr>
          <w:b/>
          <w:bCs/>
        </w:rPr>
        <w:t xml:space="preserve">21</w:t>
      </w:r>
      <w:r>
        <w:t xml:space="preserve"> estão atendidas no protocolo, </w:t>
      </w:r>
      <w:r>
        <w:rPr>
          <w:b/>
          <w:bCs/>
        </w:rPr>
        <w:t xml:space="preserve">6</w:t>
      </w:r>
      <w:r>
        <w:t xml:space="preserve"> serão cumpridas na condução e no relato e </w:t>
      </w:r>
      <w:r>
        <w:rPr>
          <w:b/>
          <w:bCs/>
        </w:rPr>
        <w:t xml:space="preserve">21</w:t>
      </w:r>
      <w:r>
        <w:t xml:space="preserve"> são N/A justificadas. As recomendações N/A por ausência de GenAI na tarefa tornam-se obrigatórias se o uso for ampliado (Seção 11.5).</w:t>
      </w:r>
    </w:p>
    <w:p>
      <w:pPr>
        <w:pStyle w:val="Heading3"/>
      </w:pPr>
      <w:r>
        <w:t xml:space="preserve">B.1 Diretrizes gerais para uso de GenAI em pesquisa acadêmica (G1–G6)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00"/>
        <w:gridCol w:w="1250"/>
        <w:gridCol w:w="3388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3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Atendimento neste protocolo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G1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Humanos são responsáveis pelo uso de ferramentas de IA quanto à validade dos resultados e à adesão à ética e às normas legais.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3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§11.2; §11.6 — responsabilidade científica integralmente humana.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G2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Todas as saídas assistidas por IA devem ser revisadas por humanos.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3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§11.2; §11.3 — verificação humana integral de tradução e edição.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G3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Não atribuir autoria a ferramentas de IA.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3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§11.2 — autoria exclusivamente humana.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G4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Todo uso de ferramentas de IA, exceto edição e refinamento de texto, deve ser integralmente reportado.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3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§11.2; §11.4 — reportado inclusive o uso linguístico, por transparência.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G5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IA não deve criar o texto integral de relatórios, nem criar, alterar ou manipular imagens, dados, citações, resultados, conclusões ou recomendações.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3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§11.3 — geração de conteúdo, dados ou conclusões proibida.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G6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Ferramentas de IA não devem ser usadas em revisão por pares.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3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§11.2; §11.3 — compromisso dos autores.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B.2 Planejamento, condução e relato (Plan, Con, Rep)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1150"/>
        <w:gridCol w:w="1250"/>
        <w:gridCol w:w="2438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Atendimento neste protocolo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Planejamento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Justificar a escolha das ferramentas GenAI e avaliá-las criticamente.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→ A cumprir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§11.3; §11.4 — justificativa registrada no log GenAI para cada ferramenta usada.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Justificar a escolha do desenho do estudo.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 e §5 — Kitchenham &amp; Charters (2007) e SEGRESS.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Definir os métodos para avaliar o desempenho da ferramenta.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Sem avaliação de desempenho: GenAI não substitui tarefa humana (§11.3). Aplica-se se houver ampliação (§11.5).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Projetar processos de avaliação que detectem erros da ferramenta e minimizem riscos de vieses embutidos e de contaminação de dados por análises repetidas do mesmo conjunto.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Mitigado pela revisão humana integral (G2). Aplica-se em caso de ampliação (§11.5).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Identificar os dados necessários para avaliar o desempenho, planejar coleta e armazenamento e os controles de qualidade.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→ A cumprir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§11.4 — log GenAI arquivado no OSF (§14.3).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Plan6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Basear comparações em resultados de pelo menos dois pesquisadores humanos.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Dupla triagem, QA e extração (§5.3, §7.5, §9.1); exigência reafirmada no gatilho (§11.5).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PlanE1–E5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Recomendações do papel </w:t>
            </w:r>
            <w:r>
              <w:rPr>
                <w:i/>
                <w:iCs/>
                <w:sz w:val="19"/>
                <w:szCs w:val="19"/>
              </w:rPr>
              <w:t xml:space="preserve">Evaluator</w:t>
            </w:r>
            <w:r>
              <w:rPr>
                <w:sz w:val="19"/>
                <w:szCs w:val="19"/>
              </w:rPr>
              <w:t xml:space="preserve">: objetivos, questões e hipóteses de avaliação; baseline aberto; premissas iniciais; uso de datasets públicos; plano de análise de dados.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Avaliadores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Papel </w:t>
            </w:r>
            <w:r>
              <w:rPr>
                <w:i/>
                <w:iCs/>
                <w:sz w:val="19"/>
                <w:szCs w:val="19"/>
              </w:rPr>
              <w:t xml:space="preserve">Evaluator</w:t>
            </w:r>
            <w:r>
              <w:rPr>
                <w:sz w:val="19"/>
                <w:szCs w:val="19"/>
              </w:rPr>
              <w:t xml:space="preserve"> fora do escopo (§11.1).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PlanR1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Considerar GenAI como assistente adicional na especificação de questões de pesquisa e critérios de elegibilidade.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Revisores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Considerado e não adotado: RQs e CI/CE definidos pelos pesquisadores (§11.3).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PlanR2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Especificar todos os processos e tarefas da RSL apoiados por GenAI.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Revisores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§11.3 — tabela de usos permitidos, restritos e proibidos.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PlanR3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Adotar abordagem de estudo de caso para avaliações prospectivas do desempenho da ferramenta.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Revisores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Sem avaliação de desempenho prevista; ver gatilho (§11.5).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Condução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Con1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Identificar e reportar quaisquer desvios do plano.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§15 — Log de Desvios.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Con2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Garantir o uso correto dos processos de coleta de dados.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§9.1 — dupla extração em subconjunto piloto e verificação cruzada.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Con3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Em estudos de caso com GenAI em RSLs, reportar todo o esforço humano necessário para apoiar o uso da ferramenta.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→ A cumprir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§11.4 — horas de verificação humana registradas no log GenAI.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Relato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Rep1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Reportar a estratégia de prompts, o processo de desenvolvimento, os prompts usados e a data da execução final.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→ A cumprir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§11.4 — prompt integral e datas no log GenAI; reproduzido no relato.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Rep2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Reportar todas as configurações e parâmetros da ferramenta GenAI.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→ A cumprir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§11.4 — ferramenta, versão/modelo e parâmetros.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Rep3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Avaliar e reportar todos os custos do uso da ferramenta.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→ A cumprir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§11.4 — custo e esforço humano registrados.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Rep4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Reportar resultados e conclusões com reprodutibilidade e futura meta-análise em mente, incluindo acesso aberto a dados, algoritmos de análise e resultados.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§14.3 — pacote de replicação no OSF.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Rep5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Reportar limitações e restrições do estudo, inclusive preocupações remanescentes sobre a confiabilidade das ferramentas GenAI.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§12 — ameaças à validade (inclui uso de GenAI); §6.3 — limitação da tradução.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RepE1–E4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Recomendações do papel </w:t>
            </w:r>
            <w:r>
              <w:rPr>
                <w:i/>
                <w:iCs/>
                <w:sz w:val="19"/>
                <w:szCs w:val="19"/>
              </w:rPr>
              <w:t xml:space="preserve">Evaluator</w:t>
            </w:r>
            <w:r>
              <w:rPr>
                <w:sz w:val="19"/>
                <w:szCs w:val="19"/>
              </w:rPr>
              <w:t xml:space="preserve">: explicar a incorporação da ferramenta às RSLs atuais; conformidade com supervisão humana; uso adicional de GenAI na avaliação; interesse financeiro e viés.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Avaliadores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Papel </w:t>
            </w:r>
            <w:r>
              <w:rPr>
                <w:i/>
                <w:iCs/>
                <w:sz w:val="19"/>
                <w:szCs w:val="19"/>
              </w:rPr>
              <w:t xml:space="preserve">Evaluator</w:t>
            </w:r>
            <w:r>
              <w:rPr>
                <w:sz w:val="19"/>
                <w:szCs w:val="19"/>
              </w:rPr>
              <w:t xml:space="preserve"> fora do escopo (§11.1).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RepR1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Seguir diretrizes de relato apropriadas (SEGRESS ou PRISMA 2020).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Revisores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§14.1 — PRISMA 2020 e SEGRESS.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RepR2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Reportar qualquer uso adicional de GenAI para redigir o relato da RSL.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Revisores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§11.3; §14.1 — declaração de uso no relato final.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B.3 Recomendações por tarefa da RSL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1150"/>
        <w:gridCol w:w="1250"/>
        <w:gridCol w:w="2438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Atendimento neste protocolo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Triagem de literatura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Scr1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Usar o coeficiente de correlação de Matthews (MCC) para assegurar desempenho melhor que o acaso.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Triagem sem GenAI (§11.3). Obrigatório se ampliado (§11.5).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Scr2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Usar WMCC para tratar corretamente as diferenças de custo entre falsos positivos e falsos negativos.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Idem.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Scr3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Reportar as contagens completas da matriz de confusão, para meta-análise e reanálise.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Idem.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ScrRev1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Planejamento: identificar e justificar, antes da validação, os níveis aceitáveis de desempenho (ou o processo para defini-los).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Revisores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Idem.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ScrRev2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Planejamento: dispor de planos de contingência para os resultados da validação.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Revisores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Idem.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ScrRev3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Condução e relato: fornecer intervalos de confiança para as métricas de desempenho, por reamostragem sem reposição.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Revisores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Idem.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Extração de dados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Ext1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Planejar a extração para incluir informação textual descritiva: tipo de estudo, objetivos, contexto, data e primeiro autor e tipo de publicação.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§9.2–9.9 — Blocos A, F e H; campo Q-O18 (objetivo do estudo) incluído na v4.0.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Ext2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Para estudos de mapeamento que classificam estudos primários em categorias predefinidas, usar MCC (com extensão para múltiplas categorias).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Esta RSL não é estudo de mapeamento; sem GenAI na extração.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Ext3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Nessa classificação, evitar WMCC sem justificativa explícita de custos diferenciais para erros de extração.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Idem.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Ext4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Na extração quantitativa, usar como padrão-ouro os valores explicitamente reportados no estudo primário, seja a extração feita por humanos ou por ferramenta.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§9.1 — cadeia de evidência (citação textual + página) e verificação cruzada.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Ext5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Em extração complexa (ex.: análise qualitativa), definir quais subtarefas serão automatizadas.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Extração sem GenAI (§11.3).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Ext6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Em extração complexa, definir o ponto de partida do processo automatizado quanto ao conhecimento sobre os estudos primários.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Idem.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Ext7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Em extração complexa, especificar como serão conduzidas e avaliadas as comparações entre humanos e ferramentas.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Idem.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Síntese qualitativa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Syn1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Especificar e reportar o método de síntese qualitativa adotado e justificar sua adequação às RQs e aos estudos primários.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§10.2 — síntese temática (Cruzes &amp; Dybå, 2011) nos cinco passos.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Syn2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Especificar e reportar os critérios usados para avaliar o desempenho da ferramenta, dado o método de síntese.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Síntese sem GenAI (§11.3).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Syn3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Especificar e reportar como a síntese da ferramenta será comparada com a dos pesquisadores humanos e como o desempenho relativo será medido.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Idem.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Risco de viés e força da evidência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Definir quais subtarefas serão automatizadas.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QA sem GenAI (§11.3).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Definir a informação necessária como entrada de cada subtarefa e como será obtida.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Idem.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Especificar como a síntese da ferramenta será comparada com a dos humanos e como o desempenho relativo será medido.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Idem.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Síntese qualitativa, risco de viés e força da evidência — papel Reviewer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RevA1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Restringir o uso da GenAI a validação adicional de processos realizados por pesquisadores humanos.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Revisores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§11.3 — nenhuma tarefa é delegada; uso limitado a edição linguística e tradução verificada.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RevA2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Garantir que pesquisadores humanos revisem todos os resultados da ferramenta e assumam plena responsabilidade pelo seu uso.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Revisores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19"/>
                <w:szCs w:val="19"/>
              </w:rPr>
              <w:t xml:space="preserve">✓ Atendido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§11.2 (G1, G2); §11.4 — revisor responsável registrado.</w:t>
            </w:r>
          </w:p>
        </w:tc>
      </w:tr>
    </w:tbl>
    <w:p>
      <w:pPr>
        <w:spacing w:after="140"/>
      </w:pPr>
    </w:p>
    <w:p>
      <w:pPr>
        <w:pBdr>
          <w:left w:val="single" w:color="E0A800" w:sz="18" w:space="8"/>
        </w:pBdr>
        <w:shd w:fill="FFF4D6" w:color="auto" w:val="clear"/>
        <w:spacing w:after="160" w:before="80" w:line="276"/>
        <w:ind w:left="200" w:right="200"/>
      </w:pPr>
      <w:r>
        <w:rPr>
          <w:b/>
          <w:bCs/>
          <w:sz w:val="21"/>
          <w:szCs w:val="21"/>
        </w:rPr>
        <w:t xml:space="preserve">Nota:</w:t>
      </w:r>
      <w:r>
        <w:rPr>
          <w:sz w:val="21"/>
          <w:szCs w:val="21"/>
        </w:rPr>
        <w:t xml:space="preserve"> o GUEST é um conjunto </w:t>
      </w:r>
      <w:r>
        <w:rPr>
          <w:b/>
          <w:bCs/>
          <w:sz w:val="21"/>
          <w:szCs w:val="21"/>
        </w:rPr>
        <w:t xml:space="preserve">preliminar</w:t>
      </w:r>
      <w:r>
        <w:rPr>
          <w:sz w:val="21"/>
          <w:szCs w:val="21"/>
        </w:rPr>
        <w:t xml:space="preserve"> de recomendações, que os autores esperam evoluir com a tecnologia e as evidências empíricas. Este checklist será revisado a cada nova versão do GUEST e ao final da condução, antes da submissão do relato.</w:t>
      </w:r>
    </w:p>
    <w:p>
      <w:pPr>
        <w:shd w:fill="DCE6F2" w:color="auto" w:val="clear"/>
        <w:spacing w:after="120" w:line="276"/>
        <w:ind w:left="120" w:right="120"/>
      </w:pPr>
      <w:r>
        <w:rPr>
          <w:b/>
          <w:bCs/>
        </w:rPr>
        <w:t xml:space="preserve">Próximos passos sugeridos:</w:t>
      </w:r>
      <w:r>
        <w:t xml:space="preserve"> (1) registrar esta versão no OSF antes de qualquer busca; (2) executar o test-set da string (Seção 5.1) nas 6 bases; (3) rodar a pilotagem de 20 estudos (Seção 5.3.1); (4) iniciar o log GenAI (Seção 11.4) já na Fase 0 e atualizar o Apêndice B ao longo da condução.</w:t>
      </w:r>
    </w:p>
    <w:sectPr>
      <w:headerReference w:type="default" r:id="rId7"/>
      <w:footerReference w:type="default" r:id="rId8"/>
      <w:pgSz w:w="11906" w:h="16838" w:orient="portrait"/>
      <w:pgMar w:top="1247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Wladimir Farias · Página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7F7F7F"/>
        <w:sz w:val="16"/>
        <w:szCs w:val="16"/>
      </w:rPr>
      <w:t xml:space="preserve">Protocolo de RSL — XAI for Multi-Agent Systems ·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5597" w:sz="8" w:space="2"/>
      </w:pBdr>
      <w:spacing w:after="14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1F3864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60" w:before="160"/>
      <w:outlineLvl w:val="3"/>
    </w:pPr>
    <w:rPr>
      <w:rFonts w:ascii="Calibri" w:cs="Calibri" w:eastAsia="Calibri" w:hAnsi="Calibri"/>
      <w:b/>
      <w:bCs/>
      <w:i/>
      <w:i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piqkhtmt3v0hbbcaq0ra" Type="http://schemas.openxmlformats.org/officeDocument/2006/relationships/hyperlink" Target="https://ifmas.csc.liv.ac.uk/Proceedings/aamas2019/pdfs/p1078.pdf" TargetMode="External"/><Relationship Id="rIdrztk4_dzdcbkistbasowh" Type="http://schemas.openxmlformats.org/officeDocument/2006/relationships/hyperlink" Target="https://doi.org/10.1016/j.inffus.2019.12.012" TargetMode="External"/><Relationship Id="rIdddck0mqtvmykiws9q4z8x" Type="http://schemas.openxmlformats.org/officeDocument/2006/relationships/hyperlink" Target="https://dblp1.uni-trier.de/rec/conf/atal/WolfH04.html" TargetMode="External"/><Relationship Id="rIdoczym3mve2wnkjru7m3wx" Type="http://schemas.openxmlformats.org/officeDocument/2006/relationships/hyperlink" Target="https://link.springer.com/978-3-030-30370-9" TargetMode="External"/><Relationship Id="rId2xvkl6cjedegsrjpnx3zo" Type="http://schemas.openxmlformats.org/officeDocument/2006/relationships/hyperlink" Target="https://arxiv.org/abs/1702.08608" TargetMode="External"/><Relationship Id="rIdkv7osy3xwfa-k5ye3p7ig" Type="http://schemas.openxmlformats.org/officeDocument/2006/relationships/hyperlink" Target="https://doi.org/10.1145/3236009" TargetMode="External"/><Relationship Id="rIdiep0nl0c2z1vy0zilak6p" Type="http://schemas.openxmlformats.org/officeDocument/2006/relationships/hyperlink" Target="https://www.ijcai.org/proceedings/2024/890" TargetMode="External"/><Relationship Id="rId0ofuizo3slbaq3bzihz_v" Type="http://schemas.openxmlformats.org/officeDocument/2006/relationships/hyperlink" Target="https://digital-strategy.ec.europa.eu/en/library/ethics-guidelines-trustworthy-ai" TargetMode="External"/><Relationship Id="rIdmnzsmzvqhhgbipkwitqjt" Type="http://schemas.openxmlformats.org/officeDocument/2006/relationships/hyperlink" Target="https://doi.org/10.1038/s42256-019-0088-2" TargetMode="External"/><Relationship Id="rIdg6olgnivmhaaovukkhlgy" Type="http://schemas.openxmlformats.org/officeDocument/2006/relationships/hyperlink" Target="https://doi.org/10.1016/j.infsof.2010.03.006" TargetMode="External"/><Relationship Id="rIdjadtqmlnhyq59qs6u6cta" Type="http://schemas.openxmlformats.org/officeDocument/2006/relationships/hyperlink" Target="https://doi.org/10.1016/j.artint.2021.103473" TargetMode="External"/><Relationship Id="rIdgj-fdrwr01hlx4wjwss6i" Type="http://schemas.openxmlformats.org/officeDocument/2006/relationships/hyperlink" Target="https://doi.org/10.1145/3555803" TargetMode="External"/><Relationship Id="rIdagegrlsce33xty2xkuxp2" Type="http://schemas.openxmlformats.org/officeDocument/2006/relationships/hyperlink" Target="https://doi.org/10.1145/3236386.3241340" TargetMode="External"/><Relationship Id="rIdofuui5xbxfh7n7omuwamm" Type="http://schemas.openxmlformats.org/officeDocument/2006/relationships/hyperlink" Target="https://arxiv.org/abs/1705.07874" TargetMode="External"/><Relationship Id="rIdghry4qzkp1jznvgrb1git" Type="http://schemas.openxmlformats.org/officeDocument/2006/relationships/hyperlink" Target="https://doi.org/10.1016/j.artint.2018.07.007" TargetMode="External"/><Relationship Id="rIdswvalzubauigmqgkbw_ru" Type="http://schemas.openxmlformats.org/officeDocument/2006/relationships/hyperlink" Target="https://nvlpubs.nist.gov/nistpubs/ai/nist.ai.100-1.pdf" TargetMode="External"/><Relationship Id="rIdy4morbkp05wolfss9mccw" Type="http://schemas.openxmlformats.org/officeDocument/2006/relationships/hyperlink" Target="https://doi.org/10.1017/S0269888904000116" TargetMode="External"/><Relationship Id="rIdfaw_0_gfdxvmdusbtligb" Type="http://schemas.openxmlformats.org/officeDocument/2006/relationships/hyperlink" Target="https://doi.org/10.1145/2939672.2939778" TargetMode="External"/><Relationship Id="rIdmqetke_yssj2sn87z9ek1" Type="http://schemas.openxmlformats.org/officeDocument/2006/relationships/hyperlink" Target="https://doi.org/10.1038/s42256-019-0048-x" TargetMode="External"/><Relationship Id="rIdxoxojcafc7povgmxmi2vx" Type="http://schemas.openxmlformats.org/officeDocument/2006/relationships/hyperlink" Target="https://doi.org/10.1007/s10462-004-0041-5" TargetMode="External"/><Relationship Id="rIdw1dbec9olyv8jnzlrelwg" Type="http://schemas.openxmlformats.org/officeDocument/2006/relationships/hyperlink" Target="https://arxiv.org/abs/2505.10468" TargetMode="External"/><Relationship Id="rId7oszmrzqn5jfhmn4-m-x5" Type="http://schemas.openxmlformats.org/officeDocument/2006/relationships/hyperlink" Target="https://arxiv.org/abs/1711.00399" TargetMode="External"/><Relationship Id="rIdu9l4v1dpvgcgujupijijl" Type="http://schemas.openxmlformats.org/officeDocument/2006/relationships/hyperlink" Target="https://doi.org/10.1007/s11704-024-40231-1" TargetMode="External"/><Relationship Id="rIdvyxnf8vriqjer2cth8r-o" Type="http://schemas.openxmlformats.org/officeDocument/2006/relationships/hyperlink" Target="https://doi.org/10.1017/S0269888900008122" TargetMode="External"/><Relationship Id="rIdgpobqpq0po5zcu3uhcnvz" Type="http://schemas.openxmlformats.org/officeDocument/2006/relationships/hyperlink" Target="https://arxiv.org/abs/2309.07864" TargetMode="External"/><Relationship Id="rIdudkpucelli7xvkcvf4t__" Type="http://schemas.openxmlformats.org/officeDocument/2006/relationships/hyperlink" Target="https://arxiv.org/abs/2607.24991" TargetMode="External"/><Relationship Id="rIdjsnwrnn7cv_aw4x-ufn0t" Type="http://schemas.openxmlformats.org/officeDocument/2006/relationships/hyperlink" Target="https://doi.org/10.1007/978-3-642-29044-2" TargetMode="External"/><Relationship Id="rIddklnd21rvm1lsv8yvrvvv" Type="http://schemas.openxmlformats.org/officeDocument/2006/relationships/hyperlink" Target="https://doi.org/10.1109/ESEM.2011.36" TargetMode="External"/><Relationship Id="rId0arwbkhyuclbasdsrnh1g" Type="http://schemas.openxmlformats.org/officeDocument/2006/relationships/hyperlink" Target="https://doi.org/10.1145/2745802.2745815" TargetMode="External"/><Relationship Id="rIdjqwm6gnjtofofy0sppfnu" Type="http://schemas.openxmlformats.org/officeDocument/2006/relationships/hyperlink" Target="https://doi.org/10.1007/s00766-005-0021-6" TargetMode="External"/><Relationship Id="rIdgz4txdrjqn9p7g8z3ir2u" Type="http://schemas.openxmlformats.org/officeDocument/2006/relationships/hyperlink" Target="https://doi.org/10.1007/978-1-84800-044-5_11" TargetMode="External"/><Relationship Id="rIdhdxko_ohjvzv3htgcvvxh" Type="http://schemas.openxmlformats.org/officeDocument/2006/relationships/hyperlink" Target="https://doi.org/10.1136/bmj.n71" TargetMode="External"/><Relationship Id="rIddzvmar2hufmi2dpwnwhvo" Type="http://schemas.openxmlformats.org/officeDocument/2006/relationships/hyperlink" Target="https://doi.org/10.1136/bmj.j4008" TargetMode="External"/><Relationship Id="rIdhrta1jkjj0b9vnkox31jz" Type="http://schemas.openxmlformats.org/officeDocument/2006/relationships/hyperlink" Target="https://doi.org/10.1145/1414004.1414034" TargetMode="External"/><Relationship Id="rIdro7jtxj7ffhbcg8t2zou4" Type="http://schemas.openxmlformats.org/officeDocument/2006/relationships/hyperlink" Target="https://doi.org/10.1016/j.inffus.2019.12.012" TargetMode="External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Revisão Sistemática da Literatura — XAI for Multi-Agent Systems</dc:title>
  <dc:creator>Wladimir Farias</dc:creator>
  <cp:lastModifiedBy>Un-named</cp:lastModifiedBy>
  <cp:revision>1</cp:revision>
  <dcterms:created xsi:type="dcterms:W3CDTF">2026-09-29T18:07:28.452Z</dcterms:created>
  <dcterms:modified xsi:type="dcterms:W3CDTF">2026-09-29T18:07:28.452Z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