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Documentação de Front-end — IHC e UX/UI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EscolaAlerta — Mateus Farias Bentes e Mariana Idalina Bezerra Vidinho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Baseado no protótipo de front-end em React (escolaalertaprototipo.html)</w:t>
      </w:r>
    </w:p>
    <w:p>
      <w:pPr>
        <w:pBdr>
          <w:bottom w:val="single" w:color="D9DCE5" w:sz="4" w:space="4"/>
        </w:pBdr>
        <w:spacing w:after="200" w:before="200"/>
      </w:pPr>
    </w:p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1. Introdução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cobre o eixo de Interação Humano-Computador (IHC) e UX/UI do EscolaAlerta, com base no protótipo de front-end desenvolvido em React. O protótipo simula, no estado local do navegador, o comportamento do motor de correlação temporal e da API: não há conexão com um back-end real, mas a lógica de classificação de risco e a navegação entre telas já refletem o comportamento esperado do sistema final.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protótipo cobre dois perfis de uso — orientador escolar e responsável — em 7 telas: login, painel de alunos do orientador, cadastro de aluno, registro de indicador (notas, frequência, ocorrências e saídas), painel de risco do responsável e plano de ação com registro de feedback.</w:t>
      </w:r>
    </w:p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2. Design de Interfaces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2.1 Telas do protótipo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Login — seleção de perfil (orientador ou responsável), com formulário de e-mail e senha (sem autenticação real).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Painel do orientador — lista de alunos sob acompanhamento, cada um com um selo (badge) de nível de risco calculado em tempo real.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Cadastro de aluno — formulário simples (nome, turma, responsável vinculado).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Registro de indicador — tela com abas para lançar notas, faltas, ocorrências ou saídas antecipadas de um aluno específico, mais o histórico já registrado.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Painel do responsável — card de risco do filho(a), com histórico de indicadores e acesso ao plano de ação quando há risco.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Plano de ação — sugestões pedagógicas geradas a partir da causa principal do risco (matriz de sugestões), com campo para o responsável registrar feedback de resolução.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2.2 Sistema visual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Paleta de cores: </w:t>
      </w:r>
      <w:r>
        <w:rPr>
          <w:rFonts w:ascii="Calibri" w:cs="Calibri" w:eastAsia="Calibri" w:hAnsi="Calibri"/>
          <w:sz w:val="22"/>
          <w:szCs w:val="22"/>
        </w:rPr>
        <w:t xml:space="preserve">navy #223A5E (marca, botões primários, títulos), creme #F6F3EC (fundo geral), branco #FFFFFF (cards) e uma cor por nível de risco — verde #4F8B5B (baixo), âmbar #B4780F (moderado) e vermelho #C44536 (alto), cada uma com um fundo claro correspondente.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Tipografia: </w:t>
      </w:r>
      <w:r>
        <w:rPr>
          <w:rFonts w:ascii="Calibri" w:cs="Calibri" w:eastAsia="Calibri" w:hAnsi="Calibri"/>
          <w:sz w:val="22"/>
          <w:szCs w:val="22"/>
        </w:rPr>
        <w:t xml:space="preserve">Space Grotesk para títulos (identidade visual mais marcada), IBM Plex Sans para todo o corpo de texto (leitura em formulários e listas) e Kalam (fonte manuscrita) reservada a rótulos de contexto ("eyebrow") e observações de protótipo — um recurso deliberado para diferenciar conteúdo de interface de anotações do próprio protótipo.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Componentes reutilizáveis: </w:t>
      </w:r>
      <w:r>
        <w:rPr>
          <w:rFonts w:ascii="Calibri" w:cs="Calibri" w:eastAsia="Calibri" w:hAnsi="Calibri"/>
          <w:sz w:val="22"/>
          <w:szCs w:val="22"/>
        </w:rPr>
        <w:t xml:space="preserve">card (contêiner padrão), row-card (item de lista clicável, usado na lista de alunos), três variantes de botão (primário, secundário e "ghost"), abas (tabs) para alternar tipo de indicador, sticky-note para exibir sugestões pedagógicas, badge de risco (cor + texto) e toast de confirmação no rodapé da tela.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2.3 Padrões de interação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Troca de contexto sem navegação: as abas de tipo de indicador atualizam o formulário sem sair da tela do aluno.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Prevenção de submissão inválida: botões de salvar ficam desabilitados até os campos obrigatórios serem preenchidos.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Confirmação não bloqueante: toda ação relevante (cadastro, registro de indicador, feedback) gera um toast temporário, sem interromper o fluxo com um alerta modal.</w:t>
      </w:r>
    </w:p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3. Experiência do Usuário (UX)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3.1 Perfis de uso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Orientador escolar: </w:t>
      </w:r>
      <w:r>
        <w:rPr>
          <w:rFonts w:ascii="Calibri" w:cs="Calibri" w:eastAsia="Calibri" w:hAnsi="Calibri"/>
          <w:sz w:val="22"/>
          <w:szCs w:val="22"/>
        </w:rPr>
        <w:t xml:space="preserve">precisa cadastrar alunos, lançar indicadores ao longo do bimestre e identificar rapidamente quem está em risco, sem depender de calcular isso manualmente.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Responsável: </w:t>
      </w:r>
      <w:r>
        <w:rPr>
          <w:rFonts w:ascii="Calibri" w:cs="Calibri" w:eastAsia="Calibri" w:hAnsi="Calibri"/>
          <w:sz w:val="22"/>
          <w:szCs w:val="22"/>
        </w:rPr>
        <w:t xml:space="preserve">precisa entender, em linguagem simples, se há algum sinal de risco com o filho(a) e o que pode fazer a respeito — sem precisar interpretar números soltos de notas e faltas.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3.2 Fluxos principais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Orientador: login → painel de alunos → cadastrar aluno (fluxo de inclusão) OU abrir aluno → registrar indicador → motor de regras recalcula o risco automaticamente.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Responsável: login → painel de risco do filho(a) → (se houver risco) ver plano de ação → registrar feedback de resolução.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3.3 Feedback ao usuário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protótipo comunica o resultado de cada ação por meio de toasts curtos (ex.: "Risco recalculado pelo motor de regras"), da mudança imediata de cor e texto do badge de risco, e de mensagens de estado vazio ("Nenhum indicador registrado ainda para este aluno") em vez de listas em branco sem explicação — um cuidado de UX que evita a ambiguidade entre "não carregou" e "não há dados".</w:t>
      </w:r>
    </w:p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4. Avaliação de Usabilidade — Heurísticas de Nielsen (H1–H10)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uma das 10 heurísticas de Nielsen foi avaliada diretamente sobre o código do protótipo, com evidência concreta de acerto e de problema, severidade (escala Nielsen de 0 a 4) e recomendação objetiva.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900"/>
        <w:gridCol w:w="1300"/>
        <w:gridCol w:w="1300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Heurística</w:t>
            </w:r>
          </w:p>
        </w:tc>
        <w:tc>
          <w:tcPr>
            <w:tcW w:type="dxa" w:w="26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 positiva</w:t>
            </w:r>
          </w:p>
        </w:tc>
        <w:tc>
          <w:tcPr>
            <w:tcW w:type="dxa" w:w="29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 identificado</w:t>
            </w:r>
          </w:p>
        </w:tc>
        <w:tc>
          <w:tcPr>
            <w:tcW w:type="dxa" w:w="13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3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H1 — Visibilidade do status do sistema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Toast confirma cada ação ("Indicador registrado. Risco recalculado pelo motor de regras."); o card de risco muda de cor e texto assim que um indicador é salvo.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há indicador de carregamento; ao integrar com uma API real, ações que hoje são instantâneas passarão a ter latência sem feedback visual.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(menor)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Adicionar estado de carregamento (spinner/skeleton) nos botões de ação ao integrar com o back-end real.</w:t>
            </w:r>
          </w:p>
        </w:tc>
      </w:tr>
      <w:tr>
        <w:tc>
          <w:tcPr>
            <w:tcW w:type="dxa" w:w="15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H2 — Correspondência com o mundo real</w:t>
            </w:r>
          </w:p>
        </w:tc>
        <w:tc>
          <w:tcPr>
            <w:tcW w:type="dxa" w:w="2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Vocabulário do domínio escolar (turma, bimestre, orientação educacional, matriz pedagógica) usado de forma consistente nos formulários.</w:t>
            </w:r>
          </w:p>
        </w:tc>
        <w:tc>
          <w:tcPr>
            <w:tcW w:type="dxa" w:w="2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rótulo "Risco moderado/alto" não explica, na tela do responsável, qual foi o critério que gerou a classificação — só aparece na tela de plano de ação.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(cosmético)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Exibir a causa principal já no card de risco do painel do responsável, não só no plano de ação.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H3 — Controle e liberdade do usuário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Botão "Cancelar" no cadastro de aluno; navegação com botão de voltar na barra superior.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há como editar ou excluir uma nota, falta ou ocorrência já registrada — um erro de digitação do orientador fica permanente na interface.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(maior)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Adicionar edição/exclusão de indicadores já lançados, com confirmação.</w:t>
            </w:r>
          </w:p>
        </w:tc>
      </w:tr>
      <w:tr>
        <w:tc>
          <w:tcPr>
            <w:tcW w:type="dxa" w:w="15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H4 — Consistência e padrões</w:t>
            </w:r>
          </w:p>
        </w:tc>
        <w:tc>
          <w:tcPr>
            <w:tcW w:type="dxa" w:w="2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Botões seguem 3 variantes fixas (primário/secundário/ghost) reaproveitadas em todas as telas; cards com o mesmo raio e borda em todo o protótipo.</w:t>
            </w:r>
          </w:p>
        </w:tc>
        <w:tc>
          <w:tcPr>
            <w:tcW w:type="dxa" w:w="2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botão de "Sair" e o de "Voltar" usam o mesmo estilo de ícone (icon-btn), diferenciados só pelo ícone — risco de clique errado em telas com pressa.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(cosmético)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Diferenciar visualmente ações destrutivas/de saída (ex.: cor de alerta no ícone de sair).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H5 — Prevenção de erros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Botões de salvar ficam desabilitados até os campos obrigatórios serem preenchidos (nome/turma no cadastro, disciplina/nota no formulário de notas).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campo de nota aceita qualquer valor numérico digitado antes da validação nativa do navegador; não há aviso explícito se o valor sair de 0–10.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(menor)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Validar a faixa de 0–10 no próprio componente, com mensagem de erro visível, não apenas o atributo HTML min/max.</w:t>
            </w:r>
          </w:p>
        </w:tc>
      </w:tr>
      <w:tr>
        <w:tc>
          <w:tcPr>
            <w:tcW w:type="dxa" w:w="15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H6 — Reconhecimento em vez de memorização</w:t>
            </w:r>
          </w:p>
        </w:tc>
        <w:tc>
          <w:tcPr>
            <w:tcW w:type="dxa" w:w="2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Nome, turma e badge de risco do aluno ficam sempre visíveis no cabeçalho da tela de registro de indicador — o orientador não precisa lembrar o contexto.</w:t>
            </w:r>
          </w:p>
        </w:tc>
        <w:tc>
          <w:tcPr>
            <w:tcW w:type="dxa" w:w="2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Nenhuma achada de relevância nesta avaliação.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H7 — Flexibilidade e eficiência de uso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Abas (tabs) permitem alternar rapidamente entre os 4 tipos de indicador sem sair da tela do aluno.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lista de alunos do orientador não tem busca nem filtro por turma ou nível de risco — funcional com 3 alunos de exemplo, mas não escala para uma turma real.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(maior)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Adicionar busca por nome e filtro por nível de risco na lista de alunos assim que o número de alunos crescer.</w:t>
            </w:r>
          </w:p>
        </w:tc>
      </w:tr>
      <w:tr>
        <w:tc>
          <w:tcPr>
            <w:tcW w:type="dxa" w:w="15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H8 — Estética e design minimalista</w:t>
            </w:r>
          </w:p>
        </w:tc>
        <w:tc>
          <w:tcPr>
            <w:tcW w:type="dxa" w:w="2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Paleta de cores enxuta (2 tons neutros + 1 cor de destaque por risco), tipografia com papéis bem definidos (título, corpo, rótulo).</w:t>
            </w:r>
          </w:p>
        </w:tc>
        <w:tc>
          <w:tcPr>
            <w:tcW w:type="dxa" w:w="2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texto "protótipo — escolha um perfil para entrar" e os campos de login pré-preenchidos são apropriados para demo, mas precisam ser removidos antes de qualquer uso com usuários reais.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(cosmético, específico do protótipo)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Remover textos e credenciais de demonstração na versão de produção.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H9 — Ajudar a reconhecer e corrigir erros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Campos obrigatórios ficam claramente inacessíveis (botão desabilitado) até serem preenchidos.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Um botão desabilitado, sozinho, não explica ao usuário por que ele não consegue prosseguir — especialmente para quem usa leitor de tela, que não percebe a mudança visual.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(maior)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Adicionar mensagem textual de validação ("Preencha o nome e a turma para salvar") associada ao campo, além do estado desabilitado.</w:t>
            </w:r>
          </w:p>
        </w:tc>
      </w:tr>
      <w:tr>
        <w:tc>
          <w:tcPr>
            <w:tcW w:type="dxa" w:w="15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H10 — Ajuda e documentação</w:t>
            </w:r>
          </w:p>
        </w:tc>
        <w:tc>
          <w:tcPr>
            <w:tcW w:type="dxa" w:w="2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Nenhuma tela do protótipo oferece ajuda contextual, tooltip ou explicação sobre como o risco é calculado.</w:t>
            </w:r>
          </w:p>
        </w:tc>
        <w:tc>
          <w:tcPr>
            <w:tcW w:type="dxa" w:w="2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critério de classificação de risco (pesos por tipo e quantidade de indicador) é uma regra de negócio central do EscolaAlerta, mas fica totalmente invisível para orientadores e responsáveis.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(maior)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Adicionar um ponto de ajuda (ex.: ícone de informação) explicando, em linguagem simples, como o motor de regras chega a cada nível de risco — reforça a explicabilidade já prevista no requisito RNF07 do projeto.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Das 10 heurísticas, 4 problemas foram classificados como severidade 3 (maior): ausência de edição/exclusão de indicadores (H3), ausência de busca/filtro na lista de alunos (H7), botões desabilitados sem explicação textual (H9) e ausência de qualquer explicação sobre o cálculo do risco (H10). Os três últimos, juntos, apontam para uma lacuna comum: o protótipo mostra o resultado do motor de regras, mas não explica o raciocínio por trás dele para quem usa o sistema no dia a dia.</w:t>
      </w:r>
    </w:p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5. Acessibilidade — WCAG e e-MAG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5.1 O que já está de acordo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O idioma do documento é declarado (lang="pt-BR"), atendendo ao Critério de Sucesso 3.1.1 da WCAG.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O nível de risco é comunicado por cor, texto e ícone simultaneamente — nunca só por cor (WCAG 1.4.1).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Botões que têm apenas ícone (voltar, sair) possuem aria-label (WCAG 4.1.2).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Os campos de formulário têm um indicador visível de foco (outline ao focar), atendendo ao WCAG 2.4.7.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5.2 Contraste de cores (WCAG 1.4.3)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pares de cor efetivamente usados no protótipo foram checados contra o critério AA (mínimo de 4,5:1 para texto normal e 3:1 para componentes de interface). Os resultados abaixo foram calculados diretamente a partir dos valores hexadecimais do CSS, não estimados visualmente: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300"/>
        <w:gridCol w:w="1800"/>
        <w:gridCol w:w="1300"/>
      </w:tblGrid>
      <w:tr>
        <w:trPr>
          <w:tblHeader/>
        </w:trPr>
        <w:tc>
          <w:tcPr>
            <w:tcW w:type="dxa" w:w="36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 de cores</w:t>
            </w:r>
          </w:p>
        </w:tc>
        <w:tc>
          <w:tcPr>
            <w:tcW w:type="dxa" w:w="16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Contraste</w:t>
            </w:r>
          </w:p>
        </w:tc>
        <w:tc>
          <w:tcPr>
            <w:tcW w:type="dxa" w:w="13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18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3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padrão #23303A sobre fundo #F6F3EC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12,18:1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normal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F8F5B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branco sobre botão primário #223A5E</w:t>
            </w:r>
          </w:p>
        </w:tc>
        <w:tc>
          <w:tcPr>
            <w:tcW w:type="dxa" w:w="1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11,44:1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normal</w:t>
            </w:r>
          </w:p>
        </w:tc>
        <w:tc>
          <w:tcPr>
            <w:tcW w:type="dxa" w:w="1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F8F5B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Título navy #223A5E sobre card branco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11,44:1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normal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F8F5B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Badge "Risco baixo" #4F8B5B sobre #EAF2EA</w:t>
            </w:r>
          </w:p>
        </w:tc>
        <w:tc>
          <w:tcPr>
            <w:tcW w:type="dxa" w:w="1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3,55:1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normal (12,5px)</w:t>
            </w:r>
          </w:p>
        </w:tc>
        <w:tc>
          <w:tcPr>
            <w:tcW w:type="dxa" w:w="1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4536"/>
                <w:sz w:val="18"/>
                <w:szCs w:val="18"/>
              </w:rPr>
              <w:t xml:space="preserve">FALHA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Abaixo de 4,5:1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Badge "Risco moderado" #B4780F sobre #FBF1DF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3,33:1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normal (12,5px)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4536"/>
                <w:sz w:val="18"/>
                <w:szCs w:val="18"/>
              </w:rPr>
              <w:t xml:space="preserve">FALHA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Abaixo de 4,5:1</w:t>
            </w:r>
          </w:p>
        </w:tc>
      </w:tr>
      <w:tr>
        <w:tc>
          <w:tcPr>
            <w:tcW w:type="dxa" w:w="3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Badge "Risco alto" #C44536 sobre #FBE9E6</w:t>
            </w:r>
          </w:p>
        </w:tc>
        <w:tc>
          <w:tcPr>
            <w:tcW w:type="dxa" w:w="1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4,21:1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normal (12,5px)</w:t>
            </w:r>
          </w:p>
        </w:tc>
        <w:tc>
          <w:tcPr>
            <w:tcW w:type="dxa" w:w="1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4536"/>
                <w:sz w:val="18"/>
                <w:szCs w:val="18"/>
              </w:rPr>
              <w:t xml:space="preserve">FALHA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Abaixo de 4,5:1 por pouco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secundário #6B7785 sobre fundo creme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4,12:1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normal (13px)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4536"/>
                <w:sz w:val="18"/>
                <w:szCs w:val="18"/>
              </w:rPr>
              <w:t xml:space="preserve">FALHA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Abaixo de 4,5:1</w:t>
            </w:r>
          </w:p>
        </w:tc>
      </w:tr>
      <w:tr>
        <w:tc>
          <w:tcPr>
            <w:tcW w:type="dxa" w:w="3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terciário #8A93A0 (ex.: "Nenhum indicador...")</w:t>
            </w:r>
          </w:p>
        </w:tc>
        <w:tc>
          <w:tcPr>
            <w:tcW w:type="dxa" w:w="1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3,11:1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normal (13,5px)</w:t>
            </w:r>
          </w:p>
        </w:tc>
        <w:tc>
          <w:tcPr>
            <w:tcW w:type="dxa" w:w="1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4536"/>
                <w:sz w:val="18"/>
                <w:szCs w:val="18"/>
              </w:rPr>
              <w:t xml:space="preserve">FALHA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Abaixo de 4,5:1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Rótulo "eyebrow" (Kalam) #8A7F68 sobre creme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3,56:1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normal (13,5px)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4536"/>
                <w:sz w:val="18"/>
                <w:szCs w:val="18"/>
              </w:rPr>
              <w:t xml:space="preserve">FALHA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Abaixo de 4,5:1</w:t>
            </w:r>
          </w:p>
        </w:tc>
      </w:tr>
      <w:tr>
        <w:tc>
          <w:tcPr>
            <w:tcW w:type="dxa" w:w="3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Ícone de navegação (chevron) #A9A192 sobre branco</w:t>
            </w:r>
          </w:p>
        </w:tc>
        <w:tc>
          <w:tcPr>
            <w:tcW w:type="dxa" w:w="1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2,56:1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Componente de interface</w:t>
            </w:r>
          </w:p>
        </w:tc>
        <w:tc>
          <w:tcPr>
            <w:tcW w:type="dxa" w:w="1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4536"/>
                <w:sz w:val="18"/>
                <w:szCs w:val="18"/>
              </w:rPr>
              <w:t xml:space="preserve">FALHA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Abaixo até do mínimo de 3:1 para UI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Nota adesiva (sticky-note) #4A4022 sobre #FCF3D9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9,26:1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normal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F8F5B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achado mais relevante é que os três badges de nível de risco — justamente a informação mais importante da interface — não atingem o contraste mínimo de texto normal, embora passem no limiar mais permissivo de componente de interface (3:1). Como o nível de risco é lido rapidamente e por públicos diversos (incluindo responsáveis idosos ou com baixa visão), recomenda-se escurecer levemente as três cores de texto do badge ou aumentar o peso da fonte.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5.3 Outras falhas identificadas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Rótulos de formulário (&lt;label&gt;) não são associados aos campos por id/htmlFor — um leitor de tela pode não anunciar o rótulo ao focar no campo (WCAG 1.3.1 e 4.1.2).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O toast de confirmação não usa role="status"/aria-live, então usuários de leitor de tela não são avisados quando uma ação é concluída (WCAG 4.1.3 — Mensagens de status).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Não há landmarks semânticos (&lt;header&gt;, &lt;main&gt;, &lt;nav&gt;) nem link de "pular para o conteúdo" — layout inteiro é feito em &lt;div&gt;s genéricas (WCAG 1.3.1; e-MAG Recomendação 1.1 e 3.6).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Botões desabilitados não têm um texto associado explicando a condição pendente, o que afeta tanto a usabilidade (H9) quanto a acessibilidade (WCAG 3.3.1).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5.4 Mapeamento e-MAG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e-MAG (Modelo de Acessibilidade em Governo Eletrônico) é a referência de acessibilidade adotada por sistemas públicos brasileiros — relevante para o EscolaAlerta por seu contexto de uso em escolas da rede pública. O quadro abaixo cruza recomendações específicas do e-MAG com o que foi encontrado no protótipo: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1300"/>
        <w:gridCol w:w="14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Recomendação e-MAG</w:t>
            </w:r>
          </w:p>
        </w:tc>
        <w:tc>
          <w:tcPr>
            <w:tcW w:type="dxa" w:w="43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foi encontrado</w:t>
            </w:r>
          </w:p>
        </w:tc>
        <w:tc>
          <w:tcPr>
            <w:tcW w:type="dxa" w:w="13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14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 recomendada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Recomendação 1 — Marcação de idioma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documento define lang="pt-BR" no elemento &lt;html&gt;.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Atende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Recomendação 1.1 — Mecanismo de acesso rápido ("pular para o conteúdo")</w:t>
            </w:r>
          </w:p>
        </w:tc>
        <w:tc>
          <w:tcPr>
            <w:tcW w:type="dxa" w:w="4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há nenhum link de "pular para o conteúdo" no início da página.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atende</w:t>
            </w:r>
          </w:p>
        </w:tc>
        <w:tc>
          <w:tcPr>
            <w:tcW w:type="dxa" w:w="1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Adicionar skip link antes da barra superior.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Recomendação 3.6 — Uso correto de landmarks e estrutura semântica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barra superior e o conteúdo de cada tela são renderizados em &lt;div&gt;, sem elementos &lt;header&gt;, &lt;main&gt; ou &lt;nav&gt;.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atende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Substituir os contêineres de layout por elementos semânticos HTML5.</w:t>
            </w:r>
          </w:p>
        </w:tc>
      </w:tr>
      <w:tr>
        <w:tc>
          <w:tcPr>
            <w:tcW w:type="dxa" w:w="2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Recomendação 6.2 — Não transmitir informação apenas por cor</w:t>
            </w:r>
          </w:p>
        </w:tc>
        <w:tc>
          <w:tcPr>
            <w:tcW w:type="dxa" w:w="4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nível de risco é indicado por cor, texto ("Risco alto") e, quando aplicável, ícone de alerta — não depende só da cor.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Atende</w:t>
            </w:r>
          </w:p>
        </w:tc>
        <w:tc>
          <w:tcPr>
            <w:tcW w:type="dxa" w:w="1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Recomendação 6.6 — Botões de ícone com texto alternativo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Botões só com ícone (voltar, sair) usam aria-label.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Atende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Recomendação 4.3 — Mensagens de status para leitores de tela</w:t>
            </w:r>
          </w:p>
        </w:tc>
        <w:tc>
          <w:tcPr>
            <w:tcW w:type="dxa" w:w="4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 toast de confirmação não usa role="status" nem aria-live, então leitores de tela não são avisados quando ele aparece.</w:t>
            </w:r>
          </w:p>
        </w:tc>
        <w:tc>
          <w:tcPr>
            <w:tcW w:type="dxa" w:w="13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atende</w:t>
            </w:r>
          </w:p>
        </w:tc>
        <w:tc>
          <w:tcPr>
            <w:tcW w:type="dxa" w:w="1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Adicionar role="status" aria-live="polite" ao contêiner do toast.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Recomendação 7.2 — Associar rótulos aos campos de formulário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elementos &lt;label&gt; não usam htmlFor/id para se associar aos campos correspondentes.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atende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Adicionar id em cada input e htmlFor correspondente em cada label.</w:t>
            </w:r>
          </w:p>
        </w:tc>
      </w:tr>
    </w:tbl>
    <w:p>
      <w:pPr>
        <w:spacing w:after="200"/>
      </w:pPr>
    </w:p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6. Testes Empíricos de Usabilidade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Até o momento, o protótipo passou por avaliação heurística (seção 4) e por checagem técnica de acessibilidade (seção 5), mas não por testes empíricos com usuários reais. Esta seção define o protocolo a ser aplicado na próxima etapa do projeto — os resultados devem ser registrados aqui assim que os testes forem conduzidos.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6.1 Metodologia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Tipo de teste: </w:t>
      </w:r>
      <w:r>
        <w:rPr>
          <w:rFonts w:ascii="Calibri" w:cs="Calibri" w:eastAsia="Calibri" w:hAnsi="Calibri"/>
          <w:sz w:val="22"/>
          <w:szCs w:val="22"/>
        </w:rPr>
        <w:t xml:space="preserve">moderado, presencial ou remoto, com protocolo think-aloud (o participante verbaliza o raciocínio enquanto executa as tarefas).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Participantes sugeridos: </w:t>
      </w:r>
      <w:r>
        <w:rPr>
          <w:rFonts w:ascii="Calibri" w:cs="Calibri" w:eastAsia="Calibri" w:hAnsi="Calibri"/>
          <w:sz w:val="22"/>
          <w:szCs w:val="22"/>
        </w:rPr>
        <w:t xml:space="preserve">3 orientadores escolares (ou profissionais de coordenação pedagógica) e 3 pais/responsáveis — os dois perfis do sistema, com no mínimo 1 participante por perfil sem familiaridade prévia com o EscolaAlerta.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Duração estimada: </w:t>
      </w:r>
      <w:r>
        <w:rPr>
          <w:rFonts w:ascii="Calibri" w:cs="Calibri" w:eastAsia="Calibri" w:hAnsi="Calibri"/>
          <w:sz w:val="22"/>
          <w:szCs w:val="22"/>
        </w:rPr>
        <w:t xml:space="preserve">20 a 30 minutos por sessão, incluindo um questionário SUS (System Usability Scale) ao final.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6.2 Cenários de tarefa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90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69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Tarefa proposta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Orientador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Cadastrar um novo aluno chamado à sua escolha, na turma "6º ano A".</w:t>
            </w:r>
          </w:p>
        </w:tc>
      </w:tr>
      <w:tr>
        <w:tc>
          <w:tcPr>
            <w:tcW w:type="dxa" w:w="7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Orientador</w:t>
            </w:r>
          </w:p>
        </w:tc>
        <w:tc>
          <w:tcPr>
            <w:tcW w:type="dxa" w:w="6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Lançar 3 faltas não justificadas para um aluno e identificar se o nível de risco mudou.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Orientador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Encontrar, na lista de alunos, quem está em "Risco alto" no momento.</w:t>
            </w:r>
          </w:p>
        </w:tc>
      </w:tr>
      <w:tr>
        <w:tc>
          <w:tcPr>
            <w:tcW w:type="dxa" w:w="7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20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partir do painel, identificar o nível de risco atual do filho(a) e a causa principal.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Abrir o plano de ação sugerido e registrar um feedback de status "Em andamento".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6.3 Métricas a coletar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Taxa de sucesso por tarefa (concluiu sem ajuda / concluiu com ajuda / não concluiu).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Tempo de execução por tarefa.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Número de erros e de cliques em elementos não relacionados à tarefa.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Pontuação SUS (System Usability Scale, BROOKE, 1996) ao final da sessão.</w:t>
      </w:r>
    </w:p>
    <w:p>
      <w:pPr>
        <w:spacing w:after="9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•  Comentários espontâneos durante o think-aloud, especialmente sobre a compreensão do nível de risco e das sugestões do plano de ação.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D97D55"/>
          <w:sz w:val="24"/>
          <w:szCs w:val="24"/>
        </w:rPr>
        <w:t xml:space="preserve">6.4 Registro de resultados (a preencher após a aplicação)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900"/>
        <w:gridCol w:w="900"/>
        <w:gridCol w:w="900"/>
        <w:gridCol w:w="900"/>
        <w:gridCol w:w="1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14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9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T1</w:t>
            </w:r>
          </w:p>
        </w:tc>
        <w:tc>
          <w:tcPr>
            <w:tcW w:type="dxa" w:w="9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T2</w:t>
            </w:r>
          </w:p>
        </w:tc>
        <w:tc>
          <w:tcPr>
            <w:tcW w:type="dxa" w:w="9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T3</w:t>
            </w:r>
          </w:p>
        </w:tc>
        <w:tc>
          <w:tcPr>
            <w:tcW w:type="dxa" w:w="9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</w:t>
            </w:r>
          </w:p>
        </w:tc>
        <w:tc>
          <w:tcPr>
            <w:tcW w:type="dxa" w:w="9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</w:t>
            </w:r>
          </w:p>
        </w:tc>
        <w:tc>
          <w:tcPr>
            <w:tcW w:type="dxa" w:w="1100"/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Orientador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Orientador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Orientador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P4</w:t>
            </w:r>
          </w:p>
        </w:tc>
        <w:tc>
          <w:tcPr>
            <w:tcW w:type="dxa" w:w="1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11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P6</w:t>
            </w:r>
          </w:p>
        </w:tc>
        <w:tc>
          <w:tcPr>
            <w:tcW w:type="dxa" w:w="1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  <w:tc>
          <w:tcPr>
            <w:tcW w:type="dxa" w:w="11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200"/>
      </w:pPr>
    </w:p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7. Considerações Finais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protótipo do EscolaAlerta já resolve boa parte dos princípios básicos de usabilidade — feedback claro de ações, vocabulário do domínio, consistência visual e prevenção simples de erros. As lacunas mais relevantes encontradas (edição de indicadores, busca na lista de alunos, explicação do cálculo de risco e alguns pontos de contraste e semântica HTML) são pontuais e podem ser corrigidas sem alterar a arquitetura da interface. O ponto que mais vale destacar para o restante do projeto é que a explicabilidade do motor de regras — já prevista como requisito não funcional (RNF07) — ainda não aparece de forma visível na interface antes da tela de plano de ação; tornar isso visível desde o primeiro alerta reforça tanto a usabilidade quanto a proposta de valor do produto.</w:t>
      </w:r>
    </w:p>
    <w:p>
      <w:pPr>
        <w:pBdr>
          <w:bottom w:val="single" w:color="D9DCE5" w:sz="4" w:space="4"/>
        </w:pBdr>
        <w:spacing w:after="200" w:before="200"/>
      </w:pPr>
    </w:p>
    <w:p>
      <w:pPr>
        <w:spacing w:after="160" w:before="1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Referências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BRASIL. Departamento de Governo Digital. e-MAG — Modelo de Acessibilidade em Governo Eletrônico, versão 3.1. Brasília: Ministério da Gestão e da Inovação em Serviços Públicos, 2014.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BROOKE, John. SUS: A "quick and dirty" usability scale. In: JORDAN, P. W. et al. (Eds.). Usability Evaluation in Industry. London: Taylor &amp; Francis, 1996.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NIELSEN, Jakob. 10 Usability Heuristics for User Interface Design. Nielsen Norman Group, 1994 (revisado em 2020).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WORLD WIDE WEB CONSORTIUM (W3C). Web Content Accessibility Guidelines (WCAG) 2.1. W3C Recommendation, 2018.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2026-09-10T19:59:10.446Z</dcterms:created>
  <dcterms:modified xsi:type="dcterms:W3CDTF">2026-09-10T19:59:10.474Z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