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A pergunta "quando é 1+1 * 30" é uma questão de ordem de operações matemáticas.  De acordo com a ordem de operações (PEMDAS/BODMAS), a multiplicação é realizada antes da adição.  Portanto: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1 + 1 * 30 = 1 + (1 * 30) = 1 + 30 = 31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A resposta é **31**.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O texto que você forneceu é parte de um documento jurídico (provavelmente uma petição inicial) e não tem relação com o cálculo matemático.</w:t>
      </w:r>
      <w:r>
        <w:br/>
      </w:r>
      <w:r>
        <w:rPr>
          <w:rtl w:val="0"/>
        </w:rPr>
        <w:t xml:space="preserve">		2. Nº 5334162.38 - A ordem das operações matemáticas (PEMDAS/BODMAS) dita que a multiplicação deve ser feita antes da adição.  Portanto: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1 + 1 * 30 = 1 + (1 * 30) = 1 + 30 = 31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A resposta é **31**.  Os itens a, b, c e d são parte de um processo legal e não se relacionam com o cálculo matemático.</w:t>
      </w:r>
      <w:r>
        <w:br/>
      </w:r>
      <w:r>
        <w:rPr>
          <w:rtl w:val="0"/>
        </w:rPr>
        <w:t xml:space="preserve">		3. Nº 5858459.52 - A ordem das operações matemáticas (PEMDAS/BODMAS) dita que a multiplicação é feita antes da adição.  Portanto: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1 + 1 * 30 = 1 + (1 * 30) = 1 + 30 = 31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O texto que você forneceu é um trecho de uma petição ou documento jurídico, não relacionado ao cálculo matemático.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31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 teste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