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MetaLabel"/>
        <w:spacing w:before="1100"/>
      </w:pPr>
      <w:r>
        <w:t>SPRINT OPERACIONAL  •  03 A 07 DE AGOSTO DE 2026</w:t>
      </w:r>
    </w:p>
    <w:p>
      <w:pPr>
        <w:pStyle w:val="Title"/>
      </w:pPr>
      <w:r>
        <w:t>Relatório diário da sprint</w:t>
      </w:r>
    </w:p>
    <w:p>
      <w:pPr>
        <w:pStyle w:val="Subtitle"/>
      </w:pPr>
      <w:r>
        <w:t>Obrigações, documentos, robô local, calendário operacional e entregas por e-mail/WhatsApp</w:t>
      </w:r>
    </w:p>
    <w:p>
      <w:pPr>
        <w:spacing w:before="40" w:after="240"/>
        <w:pBdr>
          <w:bottom w:val="single" w:sz="32" w:space="1" w:color="2563EB"/>
        </w:pBdr>
      </w:pPr>
    </w:p>
    <w:p>
      <w:pPr>
        <w:pStyle w:val="Heading2"/>
        <w:keepNext/>
      </w:pPr>
      <w:r>
        <w:t>Grow Finance Hub</w:t>
      </w:r>
    </w:p>
    <w:p>
      <w:r>
        <w:t>Documento editável consolidado a partir do planejamento semanal e das implementações, diagnósticos e validações realizadas durante a sprint.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64"/>
      </w:tblGrid>
      <w:tr>
        <w:trPr/>
        <w:tc>
          <w:tcPr>
            <w:tcW w:type="dxa" w:w="9648"/>
            <w:shd w:fill="EAF1FF"/>
            <w:tcMar>
              <w:top w:w="150" w:type="dxa"/>
              <w:start w:w="170" w:type="dxa"/>
              <w:bottom w:w="150" w:type="dxa"/>
              <w:end w:w="170" w:type="dxa"/>
            </w:tcMar>
            <w:vAlign w:val="center"/>
          </w:tcPr>
          <w:p>
            <w:pPr>
              <w:spacing w:after="40"/>
            </w:pPr>
            <w:r>
              <w:rPr>
                <w:b/>
                <w:color w:val="2563EB"/>
                <w:sz w:val="17"/>
              </w:rPr>
              <w:t>RESULTADO DA SEMANA</w:t>
            </w:r>
          </w:p>
          <w:p>
            <w:pPr>
              <w:spacing w:after="40" w:line="259" w:lineRule="auto"/>
            </w:pPr>
            <w:r>
              <w:t>A sprint evoluiu de um fluxo fragmentado de obrigações para uma cadeia operacional integrada: regra de geração centralizada, instância vinculada à tarefa, leitura e classificação documental, calendário operacional, envio por links seguros e automação local com rastreabilidade.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82"/>
        <w:gridCol w:w="4882"/>
      </w:tblGrid>
      <w:tr>
        <w:trPr/>
        <w:tc>
          <w:tcPr>
            <w:tcW w:type="dxa" w:w="2448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center"/>
          </w:tcPr>
          <w:p>
            <w:pPr>
              <w:spacing w:after="40"/>
            </w:pPr>
            <w:r>
              <w:rPr>
                <w:b/>
              </w:rPr>
              <w:t>Período</w:t>
            </w:r>
          </w:p>
        </w:tc>
        <w:tc>
          <w:tcPr>
            <w:tcW w:type="dxa" w:w="72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40"/>
            </w:pPr>
            <w:r>
              <w:t>03/08/2026 a 07/08/2026</w:t>
            </w:r>
          </w:p>
        </w:tc>
      </w:tr>
      <w:tr>
        <w:trPr/>
        <w:tc>
          <w:tcPr>
            <w:tcW w:type="dxa" w:w="2448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center"/>
          </w:tcPr>
          <w:p>
            <w:pPr>
              <w:spacing w:after="40"/>
            </w:pPr>
            <w:r>
              <w:rPr>
                <w:b/>
              </w:rPr>
              <w:t>Escopo</w:t>
            </w:r>
          </w:p>
        </w:tc>
        <w:tc>
          <w:tcPr>
            <w:tcW w:type="dxa" w:w="72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40"/>
            </w:pPr>
            <w:r>
              <w:t>Dias 1 a 5 do planejamento da sprint</w:t>
            </w:r>
          </w:p>
        </w:tc>
      </w:tr>
      <w:tr>
        <w:trPr/>
        <w:tc>
          <w:tcPr>
            <w:tcW w:type="dxa" w:w="2448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center"/>
          </w:tcPr>
          <w:p>
            <w:pPr>
              <w:spacing w:after="40"/>
            </w:pPr>
            <w:r>
              <w:rPr>
                <w:b/>
              </w:rPr>
              <w:t>Produto</w:t>
            </w:r>
          </w:p>
        </w:tc>
        <w:tc>
          <w:tcPr>
            <w:tcW w:type="dxa" w:w="72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40"/>
            </w:pPr>
            <w:r>
              <w:t>Grow Finance Hub</w:t>
            </w:r>
          </w:p>
        </w:tc>
      </w:tr>
      <w:tr>
        <w:trPr/>
        <w:tc>
          <w:tcPr>
            <w:tcW w:type="dxa" w:w="2448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center"/>
          </w:tcPr>
          <w:p>
            <w:pPr>
              <w:spacing w:after="40"/>
            </w:pPr>
            <w:r>
              <w:rPr>
                <w:b/>
              </w:rPr>
              <w:t>Natureza</w:t>
            </w:r>
          </w:p>
        </w:tc>
        <w:tc>
          <w:tcPr>
            <w:tcW w:type="dxa" w:w="72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40"/>
            </w:pPr>
            <w:r>
              <w:t>Relatório técnico e gerencial editável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1. Visão executiva da sprint</w:t>
      </w:r>
    </w:p>
    <w:p>
      <w:r>
        <w:t>O planejamento da semana foi organizado em cinco frentes encadeadas. O trabalho começou pelo entendimento do domínio e das decisões de arquitetura, avançou para as regras de obrigação, consolidou o reconhecimento documental e o robô local, reformulou o calendário como instrumento operacional e terminou com a integração de entrega por WhatsApp, e-mail e links seguros.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64"/>
      </w:tblGrid>
      <w:tr>
        <w:trPr/>
        <w:tc>
          <w:tcPr>
            <w:tcW w:type="dxa" w:w="9648"/>
            <w:shd w:fill="FFF5D6"/>
            <w:tcMar>
              <w:top w:w="150" w:type="dxa"/>
              <w:start w:w="170" w:type="dxa"/>
              <w:bottom w:w="150" w:type="dxa"/>
              <w:end w:w="170" w:type="dxa"/>
            </w:tcMar>
            <w:vAlign w:val="center"/>
          </w:tcPr>
          <w:p>
            <w:pPr>
              <w:spacing w:after="40"/>
            </w:pPr>
            <w:r>
              <w:rPr>
                <w:b/>
                <w:color w:val="B7791F"/>
                <w:sz w:val="17"/>
              </w:rPr>
              <w:t>LEITURA DO STATUS</w:t>
            </w:r>
          </w:p>
          <w:p>
            <w:pPr>
              <w:spacing w:after="40" w:line="259" w:lineRule="auto"/>
            </w:pPr>
            <w:r>
              <w:t>Os status abaixo refletem o estado real após as implementações desta semana, substituindo o status inicial “Não iniciado” do planejamento. Itens marcados como concluídos com acompanhamento possuem fluxo funcional, mas ainda requerem observação em produção e ampliação da cobertura de cenários reais.</w:t>
            </w:r>
          </w:p>
        </w:tc>
      </w:tr>
    </w:tbl>
    <w:p>
      <w:pPr>
        <w:pStyle w:val="Heading2"/>
        <w:keepNext/>
      </w:pPr>
      <w:r>
        <w:t>Resumo por dia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1"/>
        <w:gridCol w:w="2441"/>
        <w:gridCol w:w="2441"/>
        <w:gridCol w:w="2441"/>
      </w:tblGrid>
      <w:tr>
        <w:trPr>
          <w:tblHeader w:val="true"/>
        </w:trPr>
        <w:tc>
          <w:tcPr>
            <w:tcW w:type="dxa" w:w="893"/>
            <w:tcMar>
              <w:top w:w="110" w:type="dxa"/>
              <w:start w:w="120" w:type="dxa"/>
              <w:bottom w:w="110" w:type="dxa"/>
              <w:end w:w="120" w:type="dxa"/>
            </w:tcMar>
            <w:shd w:fill="18213A"/>
            <w:vAlign w:val="center"/>
          </w:tcPr>
          <w:p>
            <w:pPr>
              <w:spacing w:after="40"/>
            </w:pPr>
            <w:r>
              <w:rPr>
                <w:b/>
                <w:color w:val="FFFFFF"/>
              </w:rPr>
              <w:t>Dia</w:t>
            </w:r>
          </w:p>
        </w:tc>
        <w:tc>
          <w:tcPr>
            <w:tcW w:type="dxa" w:w="2448"/>
            <w:tcMar>
              <w:top w:w="110" w:type="dxa"/>
              <w:start w:w="120" w:type="dxa"/>
              <w:bottom w:w="110" w:type="dxa"/>
              <w:end w:w="120" w:type="dxa"/>
            </w:tcMar>
            <w:shd w:fill="18213A"/>
            <w:vAlign w:val="center"/>
          </w:tcPr>
          <w:p>
            <w:pPr>
              <w:spacing w:after="40"/>
            </w:pPr>
            <w:r>
              <w:rPr>
                <w:b/>
                <w:color w:val="FFFFFF"/>
              </w:rPr>
              <w:t>Foco</w:t>
            </w:r>
          </w:p>
        </w:tc>
        <w:tc>
          <w:tcPr>
            <w:tcW w:type="dxa" w:w="4968"/>
            <w:tcMar>
              <w:top w:w="110" w:type="dxa"/>
              <w:start w:w="120" w:type="dxa"/>
              <w:bottom w:w="110" w:type="dxa"/>
              <w:end w:w="120" w:type="dxa"/>
            </w:tcMar>
            <w:shd w:fill="18213A"/>
            <w:vAlign w:val="center"/>
          </w:tcPr>
          <w:p>
            <w:pPr>
              <w:spacing w:after="40"/>
            </w:pPr>
            <w:r>
              <w:rPr>
                <w:b/>
                <w:color w:val="FFFFFF"/>
              </w:rPr>
              <w:t>Principal resultado</w:t>
            </w:r>
          </w:p>
        </w:tc>
        <w:tc>
          <w:tcPr>
            <w:tcW w:type="dxa" w:w="1339"/>
            <w:tcMar>
              <w:top w:w="110" w:type="dxa"/>
              <w:start w:w="120" w:type="dxa"/>
              <w:bottom w:w="110" w:type="dxa"/>
              <w:end w:w="120" w:type="dxa"/>
            </w:tcMar>
            <w:shd w:fill="18213A"/>
            <w:vAlign w:val="center"/>
          </w:tcPr>
          <w:p>
            <w:pPr>
              <w:spacing w:after="40"/>
            </w:pPr>
            <w:r>
              <w:rPr>
                <w:b/>
                <w:color w:val="FFFFFF"/>
              </w:rPr>
              <w:t>Status</w:t>
            </w:r>
          </w:p>
        </w:tc>
      </w:tr>
      <w:tr>
        <w:trPr/>
        <w:tc>
          <w:tcPr>
            <w:tcW w:type="dxa" w:w="2441"/>
            <w:vAlign w:val="center"/>
          </w:tcPr>
          <w:p>
            <w:pPr>
              <w:spacing w:after="40"/>
            </w:pPr>
            <w:r>
              <w:t>1</w:t>
            </w:r>
          </w:p>
        </w:tc>
        <w:tc>
          <w:tcPr>
            <w:tcW w:type="dxa" w:w="2441"/>
            <w:vAlign w:val="center"/>
          </w:tcPr>
          <w:p>
            <w:pPr>
              <w:spacing w:after="40"/>
            </w:pPr>
            <w:r>
              <w:t>Mapeamento e decisões</w:t>
            </w:r>
          </w:p>
        </w:tc>
        <w:tc>
          <w:tcPr>
            <w:tcW w:type="dxa" w:w="2441"/>
            <w:vAlign w:val="center"/>
          </w:tcPr>
          <w:p>
            <w:pPr>
              <w:spacing w:after="40"/>
            </w:pPr>
            <w:r>
              <w:t>Fluxo oficial definido: obrigação → instância → tarefa → calendário → documento → entrega.</w:t>
            </w:r>
          </w:p>
        </w:tc>
        <w:tc>
          <w:tcPr>
            <w:tcW w:type="dxa" w:w="2441"/>
            <w:shd w:fill="E8F6EE"/>
            <w:vAlign w:val="center"/>
          </w:tcPr>
          <w:p>
            <w:pPr>
              <w:spacing w:after="40"/>
            </w:pPr>
            <w:r>
              <w:rPr>
                <w:b/>
                <w:color w:val="198754"/>
              </w:rPr>
              <w:t>Concluído</w:t>
            </w:r>
          </w:p>
        </w:tc>
      </w:tr>
      <w:tr>
        <w:trPr/>
        <w:tc>
          <w:tcPr>
            <w:tcW w:type="dxa" w:w="2441"/>
            <w:vAlign w:val="center"/>
          </w:tcPr>
          <w:p>
            <w:pPr>
              <w:spacing w:after="40"/>
            </w:pPr>
            <w:r>
              <w:t>2</w:t>
            </w:r>
          </w:p>
        </w:tc>
        <w:tc>
          <w:tcPr>
            <w:tcW w:type="dxa" w:w="2441"/>
            <w:vAlign w:val="center"/>
          </w:tcPr>
          <w:p>
            <w:pPr>
              <w:spacing w:after="40"/>
            </w:pPr>
            <w:r>
              <w:t>Regras de obrigação</w:t>
            </w:r>
          </w:p>
        </w:tc>
        <w:tc>
          <w:tcPr>
            <w:tcW w:type="dxa" w:w="2441"/>
            <w:vAlign w:val="center"/>
          </w:tcPr>
          <w:p>
            <w:pPr>
              <w:spacing w:after="40"/>
            </w:pPr>
            <w:r>
              <w:t>Motor centralizado, competência/vencimento coerentes e geração fixada no dia 25.</w:t>
            </w:r>
          </w:p>
        </w:tc>
        <w:tc>
          <w:tcPr>
            <w:tcW w:type="dxa" w:w="2441"/>
            <w:shd w:fill="E8F6EE"/>
            <w:vAlign w:val="center"/>
          </w:tcPr>
          <w:p>
            <w:pPr>
              <w:spacing w:after="40"/>
            </w:pPr>
            <w:r>
              <w:rPr>
                <w:b/>
                <w:color w:val="198754"/>
              </w:rPr>
              <w:t>Concluído</w:t>
            </w:r>
          </w:p>
        </w:tc>
      </w:tr>
      <w:tr>
        <w:trPr/>
        <w:tc>
          <w:tcPr>
            <w:tcW w:type="dxa" w:w="2441"/>
            <w:vAlign w:val="center"/>
          </w:tcPr>
          <w:p>
            <w:pPr>
              <w:spacing w:after="40"/>
            </w:pPr>
            <w:r>
              <w:t>3</w:t>
            </w:r>
          </w:p>
        </w:tc>
        <w:tc>
          <w:tcPr>
            <w:tcW w:type="dxa" w:w="2441"/>
            <w:vAlign w:val="center"/>
          </w:tcPr>
          <w:p>
            <w:pPr>
              <w:spacing w:after="40"/>
            </w:pPr>
            <w:r>
              <w:t>Documentos e robô</w:t>
            </w:r>
          </w:p>
        </w:tc>
        <w:tc>
          <w:tcPr>
            <w:tcW w:type="dxa" w:w="2441"/>
            <w:vAlign w:val="center"/>
          </w:tcPr>
          <w:p>
            <w:pPr>
              <w:spacing w:after="40"/>
            </w:pPr>
            <w:r>
              <w:t>Leitura por conteúdo/modelo, correção manual, robô de pasta e ciclo seguro de arquivos.</w:t>
            </w:r>
          </w:p>
        </w:tc>
        <w:tc>
          <w:tcPr>
            <w:tcW w:type="dxa" w:w="2441"/>
            <w:shd w:fill="FFF5D6"/>
            <w:vAlign w:val="center"/>
          </w:tcPr>
          <w:p>
            <w:pPr>
              <w:spacing w:after="40"/>
            </w:pPr>
            <w:r>
              <w:rPr>
                <w:b/>
                <w:color w:val="B7791F"/>
              </w:rPr>
              <w:t>Em validação</w:t>
            </w:r>
          </w:p>
        </w:tc>
      </w:tr>
      <w:tr>
        <w:trPr/>
        <w:tc>
          <w:tcPr>
            <w:tcW w:type="dxa" w:w="2441"/>
            <w:vAlign w:val="center"/>
          </w:tcPr>
          <w:p>
            <w:pPr>
              <w:spacing w:after="40"/>
            </w:pPr>
            <w:r>
              <w:t>4</w:t>
            </w:r>
          </w:p>
        </w:tc>
        <w:tc>
          <w:tcPr>
            <w:tcW w:type="dxa" w:w="2441"/>
            <w:vAlign w:val="center"/>
          </w:tcPr>
          <w:p>
            <w:pPr>
              <w:spacing w:after="40"/>
            </w:pPr>
            <w:r>
              <w:t>Calendário operacional</w:t>
            </w:r>
          </w:p>
        </w:tc>
        <w:tc>
          <w:tcPr>
            <w:tcW w:type="dxa" w:w="2441"/>
            <w:vAlign w:val="center"/>
          </w:tcPr>
          <w:p>
            <w:pPr>
              <w:spacing w:after="40"/>
            </w:pPr>
            <w:r>
              <w:t>Visão diária de obrigações e tarefas com agrupamento, status e abertura lateral.</w:t>
            </w:r>
          </w:p>
        </w:tc>
        <w:tc>
          <w:tcPr>
            <w:tcW w:type="dxa" w:w="2441"/>
            <w:shd w:fill="E8F6EE"/>
            <w:vAlign w:val="center"/>
          </w:tcPr>
          <w:p>
            <w:pPr>
              <w:spacing w:after="40"/>
            </w:pPr>
            <w:r>
              <w:rPr>
                <w:b/>
                <w:color w:val="198754"/>
              </w:rPr>
              <w:t>Concluído</w:t>
            </w:r>
          </w:p>
        </w:tc>
      </w:tr>
      <w:tr>
        <w:trPr/>
        <w:tc>
          <w:tcPr>
            <w:tcW w:type="dxa" w:w="2441"/>
            <w:vAlign w:val="center"/>
          </w:tcPr>
          <w:p>
            <w:pPr>
              <w:spacing w:after="40"/>
            </w:pPr>
            <w:r>
              <w:t>5</w:t>
            </w:r>
          </w:p>
        </w:tc>
        <w:tc>
          <w:tcPr>
            <w:tcW w:type="dxa" w:w="2441"/>
            <w:vAlign w:val="center"/>
          </w:tcPr>
          <w:p>
            <w:pPr>
              <w:spacing w:after="40"/>
            </w:pPr>
            <w:r>
              <w:t>WhatsApp e fechamento</w:t>
            </w:r>
          </w:p>
        </w:tc>
        <w:tc>
          <w:tcPr>
            <w:tcW w:type="dxa" w:w="2441"/>
            <w:vAlign w:val="center"/>
          </w:tcPr>
          <w:p>
            <w:pPr>
              <w:spacing w:after="40"/>
            </w:pPr>
            <w:r>
              <w:t>Envio automático pelos canais cadastrados, links seguros, auditoria e idempotência.</w:t>
            </w:r>
          </w:p>
        </w:tc>
        <w:tc>
          <w:tcPr>
            <w:tcW w:type="dxa" w:w="2441"/>
            <w:shd w:fill="FFF5D6"/>
            <w:vAlign w:val="center"/>
          </w:tcPr>
          <w:p>
            <w:pPr>
              <w:spacing w:after="40"/>
            </w:pPr>
            <w:r>
              <w:rPr>
                <w:b/>
                <w:color w:val="B7791F"/>
              </w:rPr>
              <w:t>Em validação</w:t>
            </w:r>
          </w:p>
        </w:tc>
      </w:tr>
    </w:tbl>
    <w:p>
      <w:pPr>
        <w:pStyle w:val="Heading2"/>
        <w:keepNext/>
      </w:pPr>
      <w:r>
        <w:t>Entregas transversais</w:t>
      </w:r>
    </w:p>
    <w:p>
      <w:pPr>
        <w:pStyle w:val="ListBullet"/>
      </w:pPr>
      <w:r>
        <w:rPr>
          <w:b/>
        </w:rPr>
        <w:t xml:space="preserve">Integração de dados: </w:t>
      </w:r>
      <w:r>
        <w:t>obrigações, instâncias, tarefas, calendário, arquivos e tentativas de envio passaram a compartilhar vínculos rastreáveis.</w:t>
      </w:r>
    </w:p>
    <w:p>
      <w:pPr>
        <w:pStyle w:val="ListBullet"/>
      </w:pPr>
      <w:r>
        <w:rPr>
          <w:b/>
        </w:rPr>
        <w:t xml:space="preserve">Experiência operacional: </w:t>
      </w:r>
      <w:r>
        <w:t>telas de catálogo, lista de entregas e páginas de clientes receberam filtros, colapsos e acesso direto às tarefas/documentos.</w:t>
      </w:r>
    </w:p>
    <w:p>
      <w:pPr>
        <w:pStyle w:val="ListBullet"/>
      </w:pPr>
      <w:r>
        <w:rPr>
          <w:b/>
        </w:rPr>
        <w:t xml:space="preserve">Segurança e auditoria: </w:t>
      </w:r>
      <w:r>
        <w:t>documentos passaram a ser enviados por links temporários, com registro de acesso, canal, destinatário e identificador do provedor.</w:t>
      </w:r>
    </w:p>
    <w:p>
      <w:pPr>
        <w:pStyle w:val="ListBullet"/>
      </w:pPr>
      <w:r>
        <w:rPr>
          <w:b/>
        </w:rPr>
        <w:t xml:space="preserve">Automação local: </w:t>
      </w:r>
      <w:r>
        <w:t>o robô monitora a pasta de entrada, lê PDFs, envia ao backend e remove somente após confirmação; falhas permanentes são isoladas.</w:t>
      </w:r>
    </w:p>
    <w:p>
      <w:pPr>
        <w:pStyle w:val="ListBullet"/>
      </w:pPr>
      <w:r>
        <w:rPr>
          <w:b/>
        </w:rPr>
        <w:t xml:space="preserve">Confiabilidade: </w:t>
      </w:r>
      <w:r>
        <w:t>foram introduzidos deduplicação, reprocessamento controlado, idempotência e testes automatizados dos fluxos críticos.</w:t>
      </w:r>
    </w:p>
    <w:p>
      <w:pPr>
        <w:pStyle w:val="MetaLabel"/>
        <w:pageBreakBefore/>
      </w:pPr>
      <w:r>
        <w:t>DIA 1  •  03/08/2026</w:t>
      </w:r>
    </w:p>
    <w:p>
      <w:pPr>
        <w:pStyle w:val="Heading1"/>
        <w:keepNext/>
        <w:spacing w:before="40"/>
      </w:pPr>
      <w:r>
        <w:t>Mapeamento e decisões</w:t>
      </w:r>
    </w:p>
    <w:p>
      <w:pPr>
        <w:spacing w:before="40" w:after="240"/>
        <w:pBdr>
          <w:bottom w:val="single" w:sz="24" w:space="1" w:color="2563EB"/>
        </w:pBdr>
      </w:pPr>
    </w:p>
    <w:p>
      <w:pPr>
        <w:pStyle w:val="Heading2"/>
        <w:keepNext/>
      </w:pPr>
      <w:r>
        <w:t>Objetivo planejado</w:t>
      </w:r>
    </w:p>
    <w:p>
      <w:r>
        <w:t>Entender o fluxo atual e fechar o fluxo oficial da sprint.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82"/>
        <w:gridCol w:w="4882"/>
      </w:tblGrid>
      <w:tr>
        <w:trPr/>
        <w:tc>
          <w:tcPr>
            <w:tcW w:type="dxa" w:w="2088"/>
            <w:tcMar>
              <w:top w:w="110" w:type="dxa"/>
              <w:start w:w="120" w:type="dxa"/>
              <w:bottom w:w="110" w:type="dxa"/>
              <w:end w:w="120" w:type="dxa"/>
            </w:tcMar>
            <w:shd w:fill="E8F6EE"/>
            <w:vAlign w:val="center"/>
          </w:tcPr>
          <w:p>
            <w:pPr>
              <w:spacing w:after="40"/>
              <w:jc w:val="center"/>
            </w:pPr>
            <w:r>
              <w:rPr>
                <w:b/>
                <w:color w:val="198754"/>
              </w:rPr>
              <w:t>Concluído</w:t>
            </w:r>
          </w:p>
        </w:tc>
        <w:tc>
          <w:tcPr>
            <w:tcW w:type="dxa" w:w="7560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center"/>
          </w:tcPr>
          <w:p>
            <w:pPr>
              <w:spacing w:after="40"/>
            </w:pPr>
            <w:r>
              <w:t>O fluxo dono da regra foi identificado e as responsabilidades entre obrigação, instância, tarefa, documento, calendário e entrega foram separadas.</w:t>
            </w:r>
          </w:p>
        </w:tc>
      </w:tr>
    </w:tbl>
    <w:p>
      <w:pPr>
        <w:pStyle w:val="Heading2"/>
        <w:keepNext/>
      </w:pPr>
      <w:r>
        <w:t>Planejamento original</w:t>
      </w:r>
    </w:p>
    <w:p>
      <w:r>
        <w:t>Revisar cadastro da obrigação, documento esperado, vínculo com empresa, geração de tarefa, anexo, leitura do robô, envio ao cliente e baixa; separar regra válida do legado e validar exemplos reais como folha, FGTS, PGDAS, IRPJ/CSLL e recibo de salário.</w:t>
      </w:r>
    </w:p>
    <w:p>
      <w:pPr>
        <w:pStyle w:val="Heading2"/>
        <w:keepNext/>
      </w:pPr>
      <w:r>
        <w:t>Trabalho realizado</w:t>
      </w:r>
    </w:p>
    <w:p>
      <w:pPr>
        <w:pStyle w:val="ListBullet"/>
      </w:pPr>
      <w:r>
        <w:rPr>
          <w:b/>
        </w:rPr>
        <w:t xml:space="preserve">Modelo operacional definido: </w:t>
      </w:r>
      <w:r>
        <w:t>a obrigação funciona como cadastro/regra; a instância representa a competência; a tarefa concentra o trabalho; o calendário exibe o vencimento; o documento é associado à instância e à tarefa; a entrega registra a comunicação.</w:t>
      </w:r>
    </w:p>
    <w:p>
      <w:pPr>
        <w:pStyle w:val="ListBullet"/>
      </w:pPr>
      <w:r>
        <w:rPr>
          <w:b/>
        </w:rPr>
        <w:t xml:space="preserve">Padrões editáveis: </w:t>
      </w:r>
      <w:r>
        <w:t>obrigações padrão do sistema foram liberadas para ajustes pontuais com comportamento equivalente às cadastradas manualmente.</w:t>
      </w:r>
    </w:p>
    <w:p>
      <w:pPr>
        <w:pStyle w:val="ListBullet"/>
      </w:pPr>
      <w:r>
        <w:rPr>
          <w:b/>
        </w:rPr>
        <w:t xml:space="preserve">Origem correta das tarefas: </w:t>
      </w:r>
      <w:r>
        <w:t>tarefas geradas por obrigações deixaram de usar a identificação genérica de criação interna e passaram a ser reconhecidas como originadas de obrigações.</w:t>
      </w:r>
    </w:p>
    <w:p>
      <w:pPr>
        <w:pStyle w:val="ListBullet"/>
      </w:pPr>
      <w:r>
        <w:rPr>
          <w:b/>
        </w:rPr>
        <w:t xml:space="preserve">Vínculos entre artefatos: </w:t>
      </w:r>
      <w:r>
        <w:t>foi consolidada a relação entre obrigação, instância, tarefa e marcação no calendário, evitando três estados independentes para o mesmo trabalho.</w:t>
      </w:r>
    </w:p>
    <w:p>
      <w:pPr>
        <w:pStyle w:val="ListBullet"/>
      </w:pPr>
      <w:r>
        <w:rPr>
          <w:b/>
        </w:rPr>
        <w:t xml:space="preserve">Documento no andamento: </w:t>
      </w:r>
      <w:r>
        <w:t>quando o robô reconhece e vincula um arquivo à obrigação, o documento também passa a constar no andamento da tarefa correspondente.</w:t>
      </w:r>
    </w:p>
    <w:p>
      <w:pPr>
        <w:pStyle w:val="ListBullet"/>
      </w:pPr>
      <w:r>
        <w:rPr>
          <w:b/>
        </w:rPr>
        <w:t xml:space="preserve">Transição para revisão: </w:t>
      </w:r>
      <w:r>
        <w:t>o recebimento do documento direciona a obrigação para a etapa de revisão, preservando o fluxo operacional após o upload.</w:t>
      </w:r>
    </w:p>
    <w:p>
      <w:pPr>
        <w:pStyle w:val="ListBullet"/>
      </w:pPr>
      <w:r>
        <w:rPr>
          <w:b/>
        </w:rPr>
        <w:t xml:space="preserve">Página do cliente: </w:t>
      </w:r>
      <w:r>
        <w:t>obrigações ativas e competências concluídas ou pendentes passaram a ser apresentadas no contexto do cliente, com acesso mais direto às tarefas e entregas.</w:t>
      </w:r>
    </w:p>
    <w:p>
      <w:pPr>
        <w:pStyle w:val="Heading2"/>
        <w:keepNext/>
      </w:pPr>
      <w:r>
        <w:t>Decisões técnicas e de produto</w:t>
      </w:r>
    </w:p>
    <w:p>
      <w:pPr>
        <w:pStyle w:val="ListBullet"/>
      </w:pPr>
      <w:r>
        <w:t>O status operacional da obrigação deve ser derivado prioritariamente da tarefa/instância, evitando controles paralelos no calendário.</w:t>
      </w:r>
    </w:p>
    <w:p>
      <w:pPr>
        <w:pStyle w:val="ListBullet"/>
      </w:pPr>
      <w:r>
        <w:t>Sincronização, deduplicação e automações devem residir no backend responsável, e não apenas em filtros ou efeitos do frontend.</w:t>
      </w:r>
    </w:p>
    <w:p>
      <w:pPr>
        <w:pStyle w:val="ListBullet"/>
      </w:pPr>
      <w:r>
        <w:t>Documento esperado (modelo cadastrado) e documento efetivamente enviado são entidades distintas; o primeiro orienta reconhecimento, o segundo compõe a execução e a entrega.</w:t>
      </w:r>
    </w:p>
    <w:p>
      <w:pPr>
        <w:pStyle w:val="ListBullet"/>
      </w:pPr>
      <w:r>
        <w:t>Históricos técnicos extensos não devem poluir a visão operacional principal; permanecem disponíveis em áreas apropriadas de auditoria.</w:t>
      </w:r>
    </w:p>
    <w:p>
      <w:pPr>
        <w:pStyle w:val="Heading2"/>
        <w:keepNext/>
      </w:pPr>
      <w:r>
        <w:t>Critério de aceite e evidências</w:t>
      </w:r>
    </w:p>
    <w:p>
      <w:pPr>
        <w:pStyle w:val="ListBullet"/>
      </w:pPr>
      <w:r>
        <w:t>Existe uma definição clara do fluxo que permanece no sistema e das responsabilidades de cada componente.</w:t>
      </w:r>
    </w:p>
    <w:p>
      <w:pPr>
        <w:pStyle w:val="ListBullet"/>
      </w:pPr>
      <w:r>
        <w:t>A tarefa pode ser aberta diretamente a partir do calendário e da lista de competências.</w:t>
      </w:r>
    </w:p>
    <w:p>
      <w:pPr>
        <w:pStyle w:val="ListBullet"/>
      </w:pPr>
      <w:r>
        <w:t>A tela do cliente distingue vínculos ativos de histórico de competências e entregas.</w:t>
      </w:r>
    </w:p>
    <w:p>
      <w:pPr>
        <w:pStyle w:val="ListBullet"/>
      </w:pPr>
      <w:r>
        <w:t>Consultas de obrigações foram revisadas para buscar apenas o recorte necessário no backend, reduzindo filtragem pesada no frontend.</w:t>
      </w:r>
    </w:p>
    <w:p>
      <w:pPr>
        <w:pStyle w:val="Heading2"/>
        <w:keepNext/>
      </w:pPr>
      <w:r>
        <w:t>Pendências e recomendações</w:t>
      </w:r>
    </w:p>
    <w:p>
      <w:pPr>
        <w:pStyle w:val="ListBullet"/>
      </w:pPr>
      <w:r>
        <w:t>Formalizar o diagrama do domínio e a matriz de estados como documentação permanente do projeto.</w:t>
      </w:r>
    </w:p>
    <w:p>
      <w:pPr>
        <w:pStyle w:val="ListBullet"/>
      </w:pPr>
      <w:r>
        <w:t>Adicionar testes de contrato para impedir que uma mudança de UI recrie estados paralelos entre tarefa, instância e calendário.</w:t>
      </w:r>
    </w:p>
    <w:p>
      <w:pPr>
        <w:pStyle w:val="MetaLabel"/>
        <w:pageBreakBefore/>
      </w:pPr>
      <w:r>
        <w:t>DIA 2  •  04/08/2026</w:t>
      </w:r>
    </w:p>
    <w:p>
      <w:pPr>
        <w:pStyle w:val="Heading1"/>
        <w:keepNext/>
        <w:spacing w:before="40"/>
      </w:pPr>
      <w:r>
        <w:t>Regras de obrigação</w:t>
      </w:r>
    </w:p>
    <w:p>
      <w:pPr>
        <w:spacing w:before="40" w:after="240"/>
        <w:pBdr>
          <w:bottom w:val="single" w:sz="24" w:space="1" w:color="2563EB"/>
        </w:pBdr>
      </w:pPr>
    </w:p>
    <w:p>
      <w:pPr>
        <w:pStyle w:val="Heading2"/>
        <w:keepNext/>
      </w:pPr>
      <w:r>
        <w:t>Objetivo planejado</w:t>
      </w:r>
    </w:p>
    <w:p>
      <w:r>
        <w:t>Corrigir e centralizar competência, vencimento e geração de tarefas.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82"/>
        <w:gridCol w:w="4882"/>
      </w:tblGrid>
      <w:tr>
        <w:trPr/>
        <w:tc>
          <w:tcPr>
            <w:tcW w:type="dxa" w:w="2088"/>
            <w:tcMar>
              <w:top w:w="110" w:type="dxa"/>
              <w:start w:w="120" w:type="dxa"/>
              <w:bottom w:w="110" w:type="dxa"/>
              <w:end w:w="120" w:type="dxa"/>
            </w:tcMar>
            <w:shd w:fill="E8F6EE"/>
            <w:vAlign w:val="center"/>
          </w:tcPr>
          <w:p>
            <w:pPr>
              <w:spacing w:after="40"/>
              <w:jc w:val="center"/>
            </w:pPr>
            <w:r>
              <w:rPr>
                <w:b/>
                <w:color w:val="198754"/>
              </w:rPr>
              <w:t>Concluído</w:t>
            </w:r>
          </w:p>
        </w:tc>
        <w:tc>
          <w:tcPr>
            <w:tcW w:type="dxa" w:w="7560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center"/>
          </w:tcPr>
          <w:p>
            <w:pPr>
              <w:spacing w:after="40"/>
            </w:pPr>
            <w:r>
              <w:t>As regras foram centralizadas e o motor de geração passou a utilizar o dia fixo 25, com competência e vencimento derivados de forma consistente.</w:t>
            </w:r>
          </w:p>
        </w:tc>
      </w:tr>
    </w:tbl>
    <w:p>
      <w:pPr>
        <w:pStyle w:val="Heading2"/>
        <w:keepNext/>
      </w:pPr>
      <w:r>
        <w:t>Planejamento original</w:t>
      </w:r>
    </w:p>
    <w:p>
      <w:r>
        <w:t>Validar mês base anterior e vigente, dia fixo, dia útil, periodicidades mensal, trimestral e anual, múltiplas datas anuais, geração no dia 27, deduplicação e vínculo por regime tributário.</w:t>
      </w:r>
    </w:p>
    <w:p>
      <w:pPr>
        <w:pStyle w:val="Heading2"/>
        <w:keepNext/>
      </w:pPr>
      <w:r>
        <w:t>Trabalho realizado</w:t>
      </w:r>
    </w:p>
    <w:p>
      <w:pPr>
        <w:pStyle w:val="ListBullet"/>
      </w:pPr>
      <w:r>
        <w:rPr>
          <w:b/>
        </w:rPr>
        <w:t xml:space="preserve">Motor único de geração: </w:t>
      </w:r>
      <w:r>
        <w:t>a geração automática foi consolidada no dia 25 de cada mês, substituindo caminhos concorrentes e reduzindo divergências.</w:t>
      </w:r>
    </w:p>
    <w:p>
      <w:pPr>
        <w:pStyle w:val="ListBullet"/>
      </w:pPr>
      <w:r>
        <w:rPr>
          <w:b/>
        </w:rPr>
        <w:t xml:space="preserve">Competência centralizada: </w:t>
      </w:r>
      <w:r>
        <w:t>o cálculo passou a respeitar mês base anterior ou vigente conforme a regra da obrigação, com competência reutilizada por instância, tarefa e calendário.</w:t>
      </w:r>
    </w:p>
    <w:p>
      <w:pPr>
        <w:pStyle w:val="ListBullet"/>
      </w:pPr>
      <w:r>
        <w:rPr>
          <w:b/>
        </w:rPr>
        <w:t xml:space="preserve">Vencimentos: </w:t>
      </w:r>
      <w:r>
        <w:t>foram revisadas regras de dia fixo, dia útil e periodicidades mensal, trimestral e anual, incluindo cenários com múltiplas datas anuais.</w:t>
      </w:r>
    </w:p>
    <w:p>
      <w:pPr>
        <w:pStyle w:val="ListBullet"/>
      </w:pPr>
      <w:r>
        <w:rPr>
          <w:b/>
        </w:rPr>
        <w:t xml:space="preserve">Deduplicação: </w:t>
      </w:r>
      <w:r>
        <w:t>a criação automática passou a reaproveitar/identificar a combinação de cliente, obrigação e competência para impedir tarefas e instâncias duplicadas.</w:t>
      </w:r>
    </w:p>
    <w:p>
      <w:pPr>
        <w:pStyle w:val="ListBullet"/>
      </w:pPr>
      <w:r>
        <w:rPr>
          <w:b/>
        </w:rPr>
        <w:t xml:space="preserve">Regime tributário: </w:t>
      </w:r>
      <w:r>
        <w:t>obrigações padrão são vinculadas e mantidas conforme o regime do cliente, preservando a possibilidade de edição pontual.</w:t>
      </w:r>
    </w:p>
    <w:p>
      <w:pPr>
        <w:pStyle w:val="ListBullet"/>
      </w:pPr>
      <w:r>
        <w:rPr>
          <w:b/>
        </w:rPr>
        <w:t xml:space="preserve">Terminologia na página do cliente: </w:t>
      </w:r>
      <w:r>
        <w:t>“Vigência inicial” foi substituído por “Mês de vinculação”, deixando claro que a data representa a entrada da obrigação no cadastro do cliente.</w:t>
      </w:r>
    </w:p>
    <w:p>
      <w:pPr>
        <w:pStyle w:val="ListBullet"/>
      </w:pPr>
      <w:r>
        <w:rPr>
          <w:b/>
        </w:rPr>
        <w:t xml:space="preserve">Filtro mensal: </w:t>
      </w:r>
      <w:r>
        <w:t>o histórico de competências recebeu seleção por mês, permitindo consultar períodos anteriores sem carregar ou misturar todas as instâncias.</w:t>
      </w:r>
    </w:p>
    <w:p>
      <w:pPr>
        <w:pStyle w:val="Heading2"/>
        <w:keepNext/>
      </w:pPr>
      <w:r>
        <w:t>Validações executadas</w:t>
      </w:r>
    </w:p>
    <w:p>
      <w:pPr>
        <w:pStyle w:val="ListBullet"/>
      </w:pPr>
      <w:r>
        <w:t>Comparação entre obrigações ativas do cliente e instâncias efetivamente geradas por competência.</w:t>
      </w:r>
    </w:p>
    <w:p>
      <w:pPr>
        <w:pStyle w:val="ListBullet"/>
      </w:pPr>
      <w:r>
        <w:t>Conferência de tarefas mensais com competência e vencimento coerentes.</w:t>
      </w:r>
    </w:p>
    <w:p>
      <w:pPr>
        <w:pStyle w:val="ListBullet"/>
      </w:pPr>
      <w:r>
        <w:t>Separação visual entre vínculos permanentes da obrigação e ocorrências mensais no histórico.</w:t>
      </w:r>
    </w:p>
    <w:p>
      <w:pPr>
        <w:pStyle w:val="ListBullet"/>
      </w:pPr>
      <w:r>
        <w:t>Revisão do comportamento de tarefas geradas por obrigação para manter sua origem e seu vínculo operacional.</w:t>
      </w:r>
    </w:p>
    <w:p>
      <w:pPr>
        <w:pStyle w:val="Heading2"/>
        <w:keepNext/>
      </w:pPr>
      <w:r>
        <w:t>Critério de aceite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64"/>
      </w:tblGrid>
      <w:tr>
        <w:trPr/>
        <w:tc>
          <w:tcPr>
            <w:tcW w:type="dxa" w:w="9648"/>
            <w:shd w:fill="E8F6EE"/>
            <w:tcMar>
              <w:top w:w="150" w:type="dxa"/>
              <w:start w:w="170" w:type="dxa"/>
              <w:bottom w:w="150" w:type="dxa"/>
              <w:end w:w="170" w:type="dxa"/>
            </w:tcMar>
            <w:vAlign w:val="center"/>
          </w:tcPr>
          <w:p>
            <w:pPr>
              <w:spacing w:after="40"/>
            </w:pPr>
            <w:r>
              <w:rPr>
                <w:b/>
                <w:color w:val="198754"/>
                <w:sz w:val="17"/>
              </w:rPr>
              <w:t>ACEITE ATENDIDO</w:t>
            </w:r>
          </w:p>
          <w:p>
            <w:pPr>
              <w:spacing w:after="40" w:line="259" w:lineRule="auto"/>
            </w:pPr>
            <w:r>
              <w:t>Obrigações mensais, anuais e baseadas em dia útil geram tarefa/instância com competência e vencimento coerentes, sem depender de múltiplos motores de geração.</w:t>
            </w:r>
          </w:p>
        </w:tc>
      </w:tr>
    </w:tbl>
    <w:p>
      <w:pPr>
        <w:pStyle w:val="Heading2"/>
        <w:keepNext/>
      </w:pPr>
      <w:r>
        <w:t>Pendências e recomendações</w:t>
      </w:r>
    </w:p>
    <w:p>
      <w:pPr>
        <w:pStyle w:val="ListBullet"/>
      </w:pPr>
      <w:r>
        <w:t>Criar uma suíte de cenários de borda para feriados municipais/estaduais, fevereiro, anos bissextos e mudança de regime no meio da competência.</w:t>
      </w:r>
    </w:p>
    <w:p>
      <w:pPr>
        <w:pStyle w:val="ListBullet"/>
      </w:pPr>
      <w:r>
        <w:t>Registrar versão da regra usada na criação de cada instância para facilitar auditoria futura.</w:t>
      </w:r>
    </w:p>
    <w:p>
      <w:pPr>
        <w:pStyle w:val="MetaLabel"/>
        <w:pageBreakBefore/>
      </w:pPr>
      <w:r>
        <w:t>DIA 3  •  05/08/2026</w:t>
      </w:r>
    </w:p>
    <w:p>
      <w:pPr>
        <w:pStyle w:val="Heading1"/>
        <w:keepNext/>
        <w:spacing w:before="40"/>
      </w:pPr>
      <w:r>
        <w:t>Documentos e robô</w:t>
      </w:r>
    </w:p>
    <w:p>
      <w:pPr>
        <w:spacing w:before="40" w:after="240"/>
        <w:pBdr>
          <w:bottom w:val="single" w:sz="24" w:space="1" w:color="2563EB"/>
        </w:pBdr>
      </w:pPr>
    </w:p>
    <w:p>
      <w:pPr>
        <w:pStyle w:val="Heading2"/>
        <w:keepNext/>
      </w:pPr>
      <w:r>
        <w:t>Objetivo planejado</w:t>
      </w:r>
    </w:p>
    <w:p>
      <w:r>
        <w:t>Melhorar o reconhecimento dos documentos esperados.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82"/>
        <w:gridCol w:w="4882"/>
      </w:tblGrid>
      <w:tr>
        <w:trPr/>
        <w:tc>
          <w:tcPr>
            <w:tcW w:type="dxa" w:w="2088"/>
            <w:tcMar>
              <w:top w:w="110" w:type="dxa"/>
              <w:start w:w="120" w:type="dxa"/>
              <w:bottom w:w="110" w:type="dxa"/>
              <w:end w:w="120" w:type="dxa"/>
            </w:tcMar>
            <w:shd w:fill="E8F6EE"/>
            <w:vAlign w:val="center"/>
          </w:tcPr>
          <w:p>
            <w:pPr>
              <w:spacing w:after="40"/>
              <w:jc w:val="center"/>
            </w:pPr>
            <w:r>
              <w:rPr>
                <w:b/>
                <w:color w:val="198754"/>
              </w:rPr>
              <w:t>Concluído com acompanhamento</w:t>
            </w:r>
          </w:p>
        </w:tc>
        <w:tc>
          <w:tcPr>
            <w:tcW w:type="dxa" w:w="7560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center"/>
          </w:tcPr>
          <w:p>
            <w:pPr>
              <w:spacing w:after="40"/>
            </w:pPr>
            <w:r>
              <w:t>O fluxo está operacional e foi validado com PDFs reais; por envolver modelos variados, OCR, pasta local e integrações externas, permanece em observação controlada.</w:t>
            </w:r>
          </w:p>
        </w:tc>
      </w:tr>
    </w:tbl>
    <w:p>
      <w:pPr>
        <w:pStyle w:val="Heading2"/>
        <w:keepNext/>
      </w:pPr>
      <w:r>
        <w:t>Planejamento original</w:t>
      </w:r>
    </w:p>
    <w:p>
      <w:r>
        <w:t>Revisar PDFs reais, cadastrar modelos, marcar áreas de CNPJ e competência, testar upload e corrigir identificação de obrigação, cliente e competência, evitando dependência do nome do arquivo.</w:t>
      </w:r>
    </w:p>
    <w:p>
      <w:pPr>
        <w:pStyle w:val="Heading2"/>
        <w:keepNext/>
      </w:pPr>
      <w:r>
        <w:t>Central de documentos e modelos</w:t>
      </w:r>
    </w:p>
    <w:p>
      <w:pPr>
        <w:pStyle w:val="ListBullet"/>
      </w:pPr>
      <w:r>
        <w:rPr>
          <w:b/>
        </w:rPr>
        <w:t xml:space="preserve">Modelo documental: </w:t>
      </w:r>
      <w:r>
        <w:t>o documento esperado cadastrado na obrigação passou a funcionar como referência para identificar tipo documental e campos relevantes.</w:t>
      </w:r>
    </w:p>
    <w:p>
      <w:pPr>
        <w:pStyle w:val="ListBullet"/>
      </w:pPr>
      <w:r>
        <w:rPr>
          <w:b/>
        </w:rPr>
        <w:t xml:space="preserve">Áreas marcadas: </w:t>
      </w:r>
      <w:r>
        <w:t>foram estruturadas zonas de leitura para CNPJ e competência, com evidências de reconhecimento e possibilidade de correção manual.</w:t>
      </w:r>
    </w:p>
    <w:p>
      <w:pPr>
        <w:pStyle w:val="ListBullet"/>
      </w:pPr>
      <w:r>
        <w:rPr>
          <w:b/>
        </w:rPr>
        <w:t xml:space="preserve">Leitura por conteúdo: </w:t>
      </w:r>
      <w:r>
        <w:t>a identificação utiliza texto extraído, CNPJ, competência, família documental e referência cadastrada; o nome do arquivo não é usado como decisão principal.</w:t>
      </w:r>
    </w:p>
    <w:p>
      <w:pPr>
        <w:pStyle w:val="ListBullet"/>
      </w:pPr>
      <w:r>
        <w:rPr>
          <w:b/>
        </w:rPr>
        <w:t xml:space="preserve">Competência corrigida: </w:t>
      </w:r>
      <w:r>
        <w:t>o recibo de salário inicialmente confundia a data de admissão (11/2025) com a referência Julho/2026; o ranking e o reprocessamento foram ajustados para considerar 07/2026.</w:t>
      </w:r>
    </w:p>
    <w:p>
      <w:pPr>
        <w:pStyle w:val="ListBullet"/>
      </w:pPr>
      <w:r>
        <w:rPr>
          <w:b/>
        </w:rPr>
        <w:t xml:space="preserve">Rota determinística: </w:t>
      </w:r>
      <w:r>
        <w:t>quando CNPJ, competência, família documental e uma única instância elegível concordam, o arquivo pode ser vinculado automaticamente mesmo com assinatura estrutural antiga do modelo.</w:t>
      </w:r>
    </w:p>
    <w:p>
      <w:pPr>
        <w:pStyle w:val="ListBullet"/>
      </w:pPr>
      <w:r>
        <w:rPr>
          <w:b/>
        </w:rPr>
        <w:t xml:space="preserve">Revisão humana: </w:t>
      </w:r>
      <w:r>
        <w:t>casos sem CNPJ, com ambiguidade, divergência de família ou mais de uma instância permanecem bloqueados para correção manual.</w:t>
      </w:r>
    </w:p>
    <w:p>
      <w:pPr>
        <w:pStyle w:val="Heading2"/>
        <w:keepNext/>
      </w:pPr>
      <w:r>
        <w:t>Robô local de pasta</w:t>
      </w:r>
    </w:p>
    <w:p>
      <w:pPr>
        <w:pStyle w:val="ListBullet"/>
      </w:pPr>
      <w:r>
        <w:rPr>
          <w:b/>
        </w:rPr>
        <w:t xml:space="preserve">Instalação simplificada: </w:t>
      </w:r>
      <w:r>
        <w:t>foi disponibilizado fluxo de instalação/inicialização pelo frontend da Central de Documentos e scripts de execução no Windows.</w:t>
      </w:r>
    </w:p>
    <w:p>
      <w:pPr>
        <w:pStyle w:val="ListBullet"/>
      </w:pPr>
      <w:r>
        <w:rPr>
          <w:b/>
        </w:rPr>
        <w:t xml:space="preserve">Monitoramento: </w:t>
      </w:r>
      <w:r>
        <w:t>o robô acompanha a pasta C:\Grow\Entrada-eContinuo, autentica-se no Supabase, extrai texto do PDF e registra o documento no backend.</w:t>
      </w:r>
    </w:p>
    <w:p>
      <w:pPr>
        <w:pStyle w:val="ListBullet"/>
      </w:pPr>
      <w:r>
        <w:rPr>
          <w:b/>
        </w:rPr>
        <w:t xml:space="preserve">Ciclo seguro: </w:t>
      </w:r>
      <w:r>
        <w:t>o PDF é removido somente depois da confirmação remota de processamento; falhas definitivas são destinadas à pasta nao_processado.</w:t>
      </w:r>
    </w:p>
    <w:p>
      <w:pPr>
        <w:pStyle w:val="ListBullet"/>
      </w:pPr>
      <w:r>
        <w:rPr>
          <w:b/>
        </w:rPr>
        <w:t xml:space="preserve">Reaparecimento: </w:t>
      </w:r>
      <w:r>
        <w:t>um arquivo recolocado na pasta volta à fila mesmo que preserve nome, tamanho e data de modificação.</w:t>
      </w:r>
    </w:p>
    <w:p>
      <w:pPr>
        <w:pStyle w:val="ListBullet"/>
      </w:pPr>
      <w:r>
        <w:rPr>
          <w:b/>
        </w:rPr>
        <w:t xml:space="preserve">Estado local: </w:t>
      </w:r>
      <w:r>
        <w:t>entradas já ausentes não são reprocessadas, eliminando erros ENOENT e falsas tentativas após remoção.</w:t>
      </w:r>
    </w:p>
    <w:p>
      <w:pPr>
        <w:pStyle w:val="ListBullet"/>
      </w:pPr>
      <w:r>
        <w:rPr>
          <w:b/>
        </w:rPr>
        <w:t xml:space="preserve">Nova submissão: </w:t>
      </w:r>
      <w:r>
        <w:t>cada nova colocação na pasta recebe um identificador próprio, permitindo diferenciar reenvio intencional de uma retentativa técnica.</w:t>
      </w:r>
    </w:p>
    <w:p>
      <w:pPr>
        <w:pStyle w:val="Heading2"/>
        <w:keepNext/>
      </w:pPr>
      <w:r>
        <w:t>Confiabilidade e validação</w:t>
      </w:r>
    </w:p>
    <w:p>
      <w:pPr>
        <w:pStyle w:val="ListBullet"/>
      </w:pPr>
      <w:r>
        <w:t>Deduplicação do hash deixou de reutilizar indefinidamente classificações antigas em revisão; arquivos pendentes podem ser reavaliados após melhoria do extrator/modelo.</w:t>
      </w:r>
    </w:p>
    <w:p>
      <w:pPr>
        <w:pStyle w:val="ListBullet"/>
      </w:pPr>
      <w:r>
        <w:t>Foram adicionadas chaves de idempotência para evitar múltiplos envios quando a mesma submissão sofre retentativa.</w:t>
      </w:r>
    </w:p>
    <w:p>
      <w:pPr>
        <w:pStyle w:val="ListBullet"/>
      </w:pPr>
      <w:r>
        <w:t>O arquivo de teste foi reconhecido como Recibo de Salário, CNPJ 26.141.427/0001-01 e competência 07/2026, vinculado à instância única e processado automaticamente.</w:t>
      </w:r>
    </w:p>
    <w:p>
      <w:pPr>
        <w:pStyle w:val="ListBullet"/>
      </w:pPr>
      <w:r>
        <w:t>A bateria crítica de robô e entrega atingiu 18 testes automatizados aprovados após as correções desta frente.</w:t>
      </w:r>
    </w:p>
    <w:p>
      <w:pPr>
        <w:pStyle w:val="Heading2"/>
        <w:keepNext/>
      </w:pPr>
      <w:r>
        <w:t>Critério de aceite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64"/>
      </w:tblGrid>
      <w:tr>
        <w:trPr/>
        <w:tc>
          <w:tcPr>
            <w:tcW w:type="dxa" w:w="9648"/>
            <w:shd w:fill="E8F6EE"/>
            <w:tcMar>
              <w:top w:w="150" w:type="dxa"/>
              <w:start w:w="170" w:type="dxa"/>
              <w:bottom w:w="150" w:type="dxa"/>
              <w:end w:w="170" w:type="dxa"/>
            </w:tcMar>
            <w:vAlign w:val="center"/>
          </w:tcPr>
          <w:p>
            <w:pPr>
              <w:spacing w:after="40"/>
            </w:pPr>
            <w:r>
              <w:rPr>
                <w:b/>
                <w:color w:val="198754"/>
                <w:sz w:val="17"/>
              </w:rPr>
              <w:t>ACEITE FUNCIONAL</w:t>
            </w:r>
          </w:p>
          <w:p>
            <w:pPr>
              <w:spacing w:after="40" w:line="259" w:lineRule="auto"/>
            </w:pPr>
            <w:r>
              <w:t>O robô identifica o documento por conteúdo e regras cadastradas, não sugere automaticamente uma obrigação quando há conflito e preserva o arquivo local enquanto o processamento/entrega não for confirmado.</w:t>
            </w:r>
          </w:p>
        </w:tc>
      </w:tr>
    </w:tbl>
    <w:p>
      <w:pPr>
        <w:pStyle w:val="Heading2"/>
        <w:keepNext/>
      </w:pPr>
      <w:r>
        <w:t>Riscos e próximos passos</w:t>
      </w:r>
    </w:p>
    <w:p>
      <w:pPr>
        <w:pStyle w:val="ListBullet"/>
      </w:pPr>
      <w:r>
        <w:t>Ampliar a biblioteca de PDFs reais por obrigação e fornecedor de software contábil.</w:t>
      </w:r>
    </w:p>
    <w:p>
      <w:pPr>
        <w:pStyle w:val="ListBullet"/>
      </w:pPr>
      <w:r>
        <w:t>Medir precisão por campo e modelo, mantendo amostras aprovadas e falsos positivos para evolução do limiar.</w:t>
      </w:r>
    </w:p>
    <w:p>
      <w:pPr>
        <w:pStyle w:val="ListBullet"/>
      </w:pPr>
      <w:r>
        <w:t>Adicionar telemetria visível do robô no frontend: último ciclo, arquivo atual, motivo de revisão e resultado por canal.</w:t>
      </w:r>
    </w:p>
    <w:p>
      <w:pPr>
        <w:pStyle w:val="MetaLabel"/>
        <w:pageBreakBefore/>
      </w:pPr>
      <w:r>
        <w:t>DIA 4  •  06/08/2026</w:t>
      </w:r>
    </w:p>
    <w:p>
      <w:pPr>
        <w:pStyle w:val="Heading1"/>
        <w:keepNext/>
        <w:spacing w:before="40"/>
      </w:pPr>
      <w:r>
        <w:t>Calendário operacional</w:t>
      </w:r>
    </w:p>
    <w:p>
      <w:pPr>
        <w:spacing w:before="40" w:after="240"/>
        <w:pBdr>
          <w:bottom w:val="single" w:sz="24" w:space="1" w:color="2563EB"/>
        </w:pBdr>
      </w:pPr>
    </w:p>
    <w:p>
      <w:pPr>
        <w:pStyle w:val="Heading2"/>
        <w:keepNext/>
      </w:pPr>
      <w:r>
        <w:t>Objetivo planejado</w:t>
      </w:r>
    </w:p>
    <w:p>
      <w:r>
        <w:t>Reformular o calendário como visão de controle das obrigações.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82"/>
        <w:gridCol w:w="4882"/>
      </w:tblGrid>
      <w:tr>
        <w:trPr/>
        <w:tc>
          <w:tcPr>
            <w:tcW w:type="dxa" w:w="2088"/>
            <w:tcMar>
              <w:top w:w="110" w:type="dxa"/>
              <w:start w:w="120" w:type="dxa"/>
              <w:bottom w:w="110" w:type="dxa"/>
              <w:end w:w="120" w:type="dxa"/>
            </w:tcMar>
            <w:shd w:fill="E8F6EE"/>
            <w:vAlign w:val="center"/>
          </w:tcPr>
          <w:p>
            <w:pPr>
              <w:spacing w:after="40"/>
              <w:jc w:val="center"/>
            </w:pPr>
            <w:r>
              <w:rPr>
                <w:b/>
                <w:color w:val="198754"/>
              </w:rPr>
              <w:t>Concluído</w:t>
            </w:r>
          </w:p>
        </w:tc>
        <w:tc>
          <w:tcPr>
            <w:tcW w:type="dxa" w:w="7560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center"/>
          </w:tcPr>
          <w:p>
            <w:pPr>
              <w:spacing w:after="40"/>
            </w:pPr>
            <w:r>
              <w:t>O calendário passou a combinar vencimentos de obrigações e tarefas comuns, com agenda diária, agrupamento e navegação operacional.</w:t>
            </w:r>
          </w:p>
        </w:tc>
      </w:tr>
    </w:tbl>
    <w:p>
      <w:pPr>
        <w:pStyle w:val="Heading2"/>
        <w:keepNext/>
      </w:pPr>
      <w:r>
        <w:t>Planejamento original</w:t>
      </w:r>
    </w:p>
    <w:p>
      <w:r>
        <w:t>Mostrar vencimentos por data, agrupar obrigações em colapsos, listar empresas dentro de cada obrigação, exibir status visual e manter tarefas comuns do dia separadas.</w:t>
      </w:r>
    </w:p>
    <w:p>
      <w:pPr>
        <w:pStyle w:val="Heading2"/>
        <w:keepNext/>
      </w:pPr>
      <w:r>
        <w:t>Trabalho realizado</w:t>
      </w:r>
    </w:p>
    <w:p>
      <w:pPr>
        <w:pStyle w:val="ListBullet"/>
      </w:pPr>
      <w:r>
        <w:rPr>
          <w:b/>
        </w:rPr>
        <w:t xml:space="preserve">Visão mensal e agenda diária: </w:t>
      </w:r>
      <w:r>
        <w:t>o calendário destaca dias com eventos e obrigações; a seleção de uma data atualiza a agenda com os itens correspondentes.</w:t>
      </w:r>
    </w:p>
    <w:p>
      <w:pPr>
        <w:pStyle w:val="ListBullet"/>
      </w:pPr>
      <w:r>
        <w:rPr>
          <w:b/>
        </w:rPr>
        <w:t xml:space="preserve">Hierarquia operacional: </w:t>
      </w:r>
      <w:r>
        <w:t>obrigações são agrupadas por tipo e podem ser expandidas para exibir clientes/empresas e situação de cada competência.</w:t>
      </w:r>
    </w:p>
    <w:p>
      <w:pPr>
        <w:pStyle w:val="ListBullet"/>
      </w:pPr>
      <w:r>
        <w:rPr>
          <w:b/>
        </w:rPr>
        <w:t xml:space="preserve">Separação de natureza: </w:t>
      </w:r>
      <w:r>
        <w:t>tarefas comuns do dia permanecem separadas das obrigações, evitando que atividades avulsas sejam confundidas com entregas recorrentes.</w:t>
      </w:r>
    </w:p>
    <w:p>
      <w:pPr>
        <w:pStyle w:val="ListBullet"/>
      </w:pPr>
      <w:r>
        <w:rPr>
          <w:b/>
        </w:rPr>
        <w:t xml:space="preserve">Status visual: </w:t>
      </w:r>
      <w:r>
        <w:t>os itens apresentam estado operacional, cliente, obrigação e vencimento, tornando atrasos e pendências identificáveis sem abrir várias telas.</w:t>
      </w:r>
    </w:p>
    <w:p>
      <w:pPr>
        <w:pStyle w:val="ListBullet"/>
      </w:pPr>
      <w:r>
        <w:rPr>
          <w:b/>
        </w:rPr>
        <w:t xml:space="preserve">Abertura da tarefa: </w:t>
      </w:r>
      <w:r>
        <w:t>ao clicar em uma tarefa/registro operacional no calendário, o menu lateral da tarefa é aberto para consulta e atualização.</w:t>
      </w:r>
    </w:p>
    <w:p>
      <w:pPr>
        <w:pStyle w:val="ListBullet"/>
      </w:pPr>
      <w:r>
        <w:rPr>
          <w:b/>
        </w:rPr>
        <w:t xml:space="preserve">Composição da tela: </w:t>
      </w:r>
      <w:r>
        <w:t>a disposição entre calendário e agenda foi invertida conforme o feedback visual, priorizando a leitura operacional desejada.</w:t>
      </w:r>
    </w:p>
    <w:p>
      <w:pPr>
        <w:pStyle w:val="Heading2"/>
        <w:keepNext/>
      </w:pPr>
      <w:r>
        <w:t>Integração com demais módulos</w:t>
      </w:r>
    </w:p>
    <w:p>
      <w:pPr>
        <w:pStyle w:val="ListBullet"/>
      </w:pPr>
      <w:r>
        <w:t>O calendário usa a mesma instância/tarefa gerada pela obrigação; não cria um terceiro controle de status.</w:t>
      </w:r>
    </w:p>
    <w:p>
      <w:pPr>
        <w:pStyle w:val="ListBullet"/>
      </w:pPr>
      <w:r>
        <w:t>A conclusão e o andamento refletem o estado operacional compartilhado com Kanban, lista de entregas e página do cliente.</w:t>
      </w:r>
    </w:p>
    <w:p>
      <w:pPr>
        <w:pStyle w:val="ListBullet"/>
      </w:pPr>
      <w:r>
        <w:t>A consulta foi orientada ao intervalo mensal/dia selecionado para evitar carregar todo o histórico e filtrar no navegador.</w:t>
      </w:r>
    </w:p>
    <w:p>
      <w:pPr>
        <w:pStyle w:val="Heading2"/>
        <w:keepNext/>
      </w:pPr>
      <w:r>
        <w:t>Critério de aceite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64"/>
      </w:tblGrid>
      <w:tr>
        <w:trPr/>
        <w:tc>
          <w:tcPr>
            <w:tcW w:type="dxa" w:w="9648"/>
            <w:shd w:fill="E8F6EE"/>
            <w:tcMar>
              <w:top w:w="150" w:type="dxa"/>
              <w:start w:w="170" w:type="dxa"/>
              <w:bottom w:w="150" w:type="dxa"/>
              <w:end w:w="170" w:type="dxa"/>
            </w:tcMar>
            <w:vAlign w:val="center"/>
          </w:tcPr>
          <w:p>
            <w:pPr>
              <w:spacing w:after="40"/>
            </w:pPr>
            <w:r>
              <w:rPr>
                <w:b/>
                <w:color w:val="198754"/>
                <w:sz w:val="17"/>
              </w:rPr>
              <w:t>ACEITE ATENDIDO</w:t>
            </w:r>
          </w:p>
          <w:p>
            <w:pPr>
              <w:spacing w:after="40" w:line="259" w:lineRule="auto"/>
            </w:pPr>
            <w:r>
              <w:t>A visão permite identificar o que vence no dia por obrigação, cliente e status, preservando a distinção entre obrigações e tarefas comuns.</w:t>
            </w:r>
          </w:p>
        </w:tc>
      </w:tr>
    </w:tbl>
    <w:p>
      <w:pPr>
        <w:pStyle w:val="Heading2"/>
        <w:keepNext/>
      </w:pPr>
      <w:r>
        <w:t>Recomendações</w:t>
      </w:r>
    </w:p>
    <w:p>
      <w:pPr>
        <w:pStyle w:val="ListBullet"/>
      </w:pPr>
      <w:r>
        <w:t>Adicionar filtros persistentes por setor, responsável e status diretamente na agenda.</w:t>
      </w:r>
    </w:p>
    <w:p>
      <w:pPr>
        <w:pStyle w:val="ListBullet"/>
      </w:pPr>
      <w:r>
        <w:t>Criar indicadores de carga diária/semanal e alertas de concentração de vencimentos.</w:t>
      </w:r>
    </w:p>
    <w:p>
      <w:pPr>
        <w:pStyle w:val="ListBullet"/>
      </w:pPr>
      <w:r>
        <w:t>Validar acessibilidade de cores e navegação por teclado nos colapsos e no painel lateral.</w:t>
      </w:r>
    </w:p>
    <w:p>
      <w:pPr>
        <w:pStyle w:val="MetaLabel"/>
        <w:pageBreakBefore/>
      </w:pPr>
      <w:r>
        <w:t>DIA 5  •  07/08/2026</w:t>
      </w:r>
    </w:p>
    <w:p>
      <w:pPr>
        <w:pStyle w:val="Heading1"/>
        <w:keepNext/>
        <w:spacing w:before="40"/>
      </w:pPr>
      <w:r>
        <w:t>WhatsApp, legado e fechamento</w:t>
      </w:r>
    </w:p>
    <w:p>
      <w:pPr>
        <w:spacing w:before="40" w:after="240"/>
        <w:pBdr>
          <w:bottom w:val="single" w:sz="24" w:space="1" w:color="2563EB"/>
        </w:pBdr>
      </w:pPr>
    </w:p>
    <w:p>
      <w:pPr>
        <w:pStyle w:val="Heading2"/>
        <w:keepNext/>
      </w:pPr>
      <w:r>
        <w:t>Objetivo planejado</w:t>
      </w:r>
    </w:p>
    <w:p>
      <w:r>
        <w:t>Validar integração, remover legado e preparar o fechamento da sprint.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82"/>
        <w:gridCol w:w="4882"/>
      </w:tblGrid>
      <w:tr>
        <w:trPr/>
        <w:tc>
          <w:tcPr>
            <w:tcW w:type="dxa" w:w="2088"/>
            <w:tcMar>
              <w:top w:w="110" w:type="dxa"/>
              <w:start w:w="120" w:type="dxa"/>
              <w:bottom w:w="110" w:type="dxa"/>
              <w:end w:w="120" w:type="dxa"/>
            </w:tcMar>
            <w:shd w:fill="E8F6EE"/>
            <w:vAlign w:val="center"/>
          </w:tcPr>
          <w:p>
            <w:pPr>
              <w:spacing w:after="40"/>
              <w:jc w:val="center"/>
            </w:pPr>
            <w:r>
              <w:rPr>
                <w:b/>
                <w:color w:val="198754"/>
              </w:rPr>
              <w:t>Concluído com acompanhamento</w:t>
            </w:r>
          </w:p>
        </w:tc>
        <w:tc>
          <w:tcPr>
            <w:tcW w:type="dxa" w:w="7560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center"/>
          </w:tcPr>
          <w:p>
            <w:pPr>
              <w:spacing w:after="40"/>
            </w:pPr>
            <w:r>
              <w:t>E-mail e WhatsApp utilizam a configuração da obrigação e o mesmo fluxo auditável de links; o monitoramento inicial em produção continua recomendado.</w:t>
            </w:r>
          </w:p>
        </w:tc>
      </w:tr>
    </w:tbl>
    <w:p>
      <w:pPr>
        <w:pStyle w:val="Heading2"/>
        <w:keepNext/>
      </w:pPr>
      <w:r>
        <w:t>Planejamento original</w:t>
      </w:r>
    </w:p>
    <w:p>
      <w:r>
        <w:t>Testar vínculo obrigação/tarefa/cliente no WhatsApp, revisar envio piloto, remover funções antigas, testar o fluxo ponta a ponta e preparar o resumo da sprint.</w:t>
      </w:r>
    </w:p>
    <w:p>
      <w:pPr>
        <w:pStyle w:val="Heading2"/>
        <w:keepNext/>
      </w:pPr>
      <w:r>
        <w:t>Configuração e envio multicanal</w:t>
      </w:r>
    </w:p>
    <w:p>
      <w:pPr>
        <w:pStyle w:val="ListBullet"/>
      </w:pPr>
      <w:r>
        <w:rPr>
          <w:b/>
        </w:rPr>
        <w:t xml:space="preserve">Canal pré-configurado: </w:t>
      </w:r>
      <w:r>
        <w:t>a escolha não ocorre no momento do envio. As caixas de e-mail e WhatsApp ficam cadastradas na obrigação; se ambas estiverem habilitadas, ambos os canais são acionados.</w:t>
      </w:r>
    </w:p>
    <w:p>
      <w:pPr>
        <w:pStyle w:val="ListBullet"/>
      </w:pPr>
      <w:r>
        <w:rPr>
          <w:b/>
        </w:rPr>
        <w:t xml:space="preserve">Número de produção: </w:t>
      </w:r>
      <w:r>
        <w:t>o destino foi corrigido para usar o telefone válido do cliente com DDD, resolvendo o número +55 51 99861-2360 em vez do campo WhatsApp corrompido/teste.</w:t>
      </w:r>
    </w:p>
    <w:p>
      <w:pPr>
        <w:pStyle w:val="ListBullet"/>
      </w:pPr>
      <w:r>
        <w:rPr>
          <w:b/>
        </w:rPr>
        <w:t xml:space="preserve">Fluxo equivalente: </w:t>
      </w:r>
      <w:r>
        <w:t>e-mail e WhatsApp usam o mesmo documento vinculado, link seguro, histórico de tentativa, destinatário e identificador retornado pelo provedor.</w:t>
      </w:r>
    </w:p>
    <w:p>
      <w:pPr>
        <w:pStyle w:val="ListBullet"/>
      </w:pPr>
      <w:r>
        <w:rPr>
          <w:b/>
        </w:rPr>
        <w:t xml:space="preserve">Links seguros: </w:t>
      </w:r>
      <w:r>
        <w:t>o PDF não é anexado diretamente; o cliente recebe URL curta/segura que direciona à página do documento, com token temporário e trilha de acesso.</w:t>
      </w:r>
    </w:p>
    <w:p>
      <w:pPr>
        <w:pStyle w:val="ListBullet"/>
      </w:pPr>
      <w:r>
        <w:rPr>
          <w:b/>
        </w:rPr>
        <w:t xml:space="preserve">Leitura do cliente: </w:t>
      </w:r>
      <w:r>
        <w:t>o histórico registra quando o link é acessado e por qual canal/meio, apoiando auditoria e acompanhamento de entrega.</w:t>
      </w:r>
    </w:p>
    <w:p>
      <w:pPr>
        <w:pStyle w:val="Heading2"/>
        <w:keepNext/>
      </w:pPr>
      <w:r>
        <w:t>Conteúdo das mensagens</w:t>
      </w:r>
    </w:p>
    <w:p>
      <w:pPr>
        <w:pStyle w:val="ListBullet"/>
      </w:pPr>
      <w:r>
        <w:t>O e-mail foi simplificado para um formato padrão, sem cartões ou layouts ornamentais.</w:t>
      </w:r>
    </w:p>
    <w:p>
      <w:pPr>
        <w:pStyle w:val="ListBullet"/>
      </w:pPr>
      <w:r>
        <w:t>O texto do link usa o nome da obrigação cadastrada, e não o nome técnico do arquivo PDF.</w:t>
      </w:r>
    </w:p>
    <w:p>
      <w:pPr>
        <w:pStyle w:val="ListBullet"/>
      </w:pPr>
      <w:r>
        <w:t>O link aparece como “Clique aqui” no HTML do e-mail e como URL curta no WhatsApp, respeitando limitações do canal.</w:t>
      </w:r>
    </w:p>
    <w:p>
      <w:pPr>
        <w:pStyle w:val="ListBullet"/>
      </w:pPr>
      <w:r>
        <w:t>A frase “Documentos disponíveis por 30 dias” e seu equivalente textual foram removidos de e-mail e WhatsApp, mantendo os links funcionais.</w:t>
      </w:r>
    </w:p>
    <w:p>
      <w:pPr>
        <w:pStyle w:val="Heading2"/>
        <w:keepNext/>
      </w:pPr>
      <w:r>
        <w:t>Correções do fluxo da pasta para entrega</w:t>
      </w:r>
    </w:p>
    <w:p>
      <w:pPr>
        <w:pStyle w:val="ListBullet"/>
      </w:pPr>
      <w:r>
        <w:rPr>
          <w:b/>
        </w:rPr>
        <w:t xml:space="preserve">Problema identificado: </w:t>
      </w:r>
      <w:r>
        <w:t>o arquivo podia ser classificado e removido da pasta porque o backend tratava uma entrega anterior da mesma instância como sucesso da nova submissão, sem gerar uma nova mensagem.</w:t>
      </w:r>
    </w:p>
    <w:p>
      <w:pPr>
        <w:pStyle w:val="ListBullet"/>
      </w:pPr>
      <w:r>
        <w:rPr>
          <w:b/>
        </w:rPr>
        <w:t xml:space="preserve">Separação de eventos: </w:t>
      </w:r>
      <w:r>
        <w:t>uma nova colocação na pasta passou a ser distinguida de uma retentativa do mesmo processamento por um submissionId persistente.</w:t>
      </w:r>
    </w:p>
    <w:p>
      <w:pPr>
        <w:pStyle w:val="ListBullet"/>
      </w:pPr>
      <w:r>
        <w:rPr>
          <w:b/>
        </w:rPr>
        <w:t xml:space="preserve">Reenvio intencional: </w:t>
      </w:r>
      <w:r>
        <w:t>uma nova submissão pode reenviar pelos canais configurados mesmo que a competência já possua entrega anterior.</w:t>
      </w:r>
    </w:p>
    <w:p>
      <w:pPr>
        <w:pStyle w:val="ListBullet"/>
      </w:pPr>
      <w:r>
        <w:rPr>
          <w:b/>
        </w:rPr>
        <w:t xml:space="preserve">Idempotência: </w:t>
      </w:r>
      <w:r>
        <w:t>retentativas da mesma submissão usam chaves específicas por canal, reduzindo o risco de e-mails ou WhatsApps duplicados em caso de falha de rede.</w:t>
      </w:r>
    </w:p>
    <w:p>
      <w:pPr>
        <w:pStyle w:val="ListBullet"/>
      </w:pPr>
      <w:r>
        <w:rPr>
          <w:b/>
        </w:rPr>
        <w:t xml:space="preserve">Confirmação antes da remoção: </w:t>
      </w:r>
      <w:r>
        <w:t>o estado local é persistido e o PDF só é excluído depois de o backend confirmar a conclusão do fluxo.</w:t>
      </w:r>
    </w:p>
    <w:p>
      <w:pPr>
        <w:pStyle w:val="ListBullet"/>
      </w:pPr>
      <w:r>
        <w:rPr>
          <w:b/>
        </w:rPr>
        <w:t xml:space="preserve">Status final: </w:t>
      </w:r>
      <w:r>
        <w:t>após o envio, job, documento e publicação passam a registrar comunicação enviada/publicada, evitando sucesso aparente com comunicação pendente.</w:t>
      </w:r>
    </w:p>
    <w:p>
      <w:pPr>
        <w:pStyle w:val="Heading2"/>
        <w:keepNext/>
      </w:pPr>
      <w:r>
        <w:t>Validações realizadas</w:t>
      </w:r>
    </w:p>
    <w:p>
      <w:pPr>
        <w:pStyle w:val="ListBullet"/>
      </w:pPr>
      <w:r>
        <w:t>Envios de e-mail registrados com identificador SMTP/provedor e destinatário configurado.</w:t>
      </w:r>
    </w:p>
    <w:p>
      <w:pPr>
        <w:pStyle w:val="ListBullet"/>
      </w:pPr>
      <w:r>
        <w:t>Envios de WhatsApp registrados com wamid retornado pela Meta e número de produção resolvido.</w:t>
      </w:r>
    </w:p>
    <w:p>
      <w:pPr>
        <w:pStyle w:val="ListBullet"/>
      </w:pPr>
      <w:r>
        <w:t>Testes automatizados cobrem canais configurados, links seguros, ciclo do arquivo, deduplicação e idempotência.</w:t>
      </w:r>
    </w:p>
    <w:p>
      <w:pPr>
        <w:pStyle w:val="ListBullet"/>
      </w:pPr>
      <w:r>
        <w:t>A Edge Function de entrega e o robô instalado foram atualizados e reiniciados após as correções.</w:t>
      </w:r>
    </w:p>
    <w:p>
      <w:pPr>
        <w:pStyle w:val="Heading2"/>
        <w:keepNext/>
      </w:pPr>
      <w:r>
        <w:t>Critério de aceite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64"/>
      </w:tblGrid>
      <w:tr>
        <w:trPr/>
        <w:tc>
          <w:tcPr>
            <w:tcW w:type="dxa" w:w="9648"/>
            <w:shd w:fill="E8F6EE"/>
            <w:tcMar>
              <w:top w:w="150" w:type="dxa"/>
              <w:start w:w="170" w:type="dxa"/>
              <w:bottom w:w="150" w:type="dxa"/>
              <w:end w:w="170" w:type="dxa"/>
            </w:tcMar>
            <w:vAlign w:val="center"/>
          </w:tcPr>
          <w:p>
            <w:pPr>
              <w:spacing w:after="40"/>
            </w:pPr>
            <w:r>
              <w:rPr>
                <w:b/>
                <w:color w:val="198754"/>
                <w:sz w:val="17"/>
              </w:rPr>
              <w:t>ACEITE FUNCIONAL</w:t>
            </w:r>
          </w:p>
          <w:p>
            <w:pPr>
              <w:spacing w:after="40" w:line="259" w:lineRule="auto"/>
            </w:pPr>
            <w:r>
              <w:t>O fluxo pode ser apresentado do início ao fim: obrigação e competência identificadas, tarefa/instância vinculadas, documento processado, canais cadastrados acionados, links auditáveis gerados e arquivo local removido somente após confirmação.</w:t>
            </w:r>
          </w:p>
        </w:tc>
      </w:tr>
    </w:tbl>
    <w:p>
      <w:pPr>
        <w:pStyle w:val="Heading2"/>
        <w:keepNext/>
      </w:pPr>
      <w:r>
        <w:t>Pendências de fechamento</w:t>
      </w:r>
    </w:p>
    <w:p>
      <w:pPr>
        <w:pStyle w:val="ListBullet"/>
      </w:pPr>
      <w:r>
        <w:t>Executar uma bateria assistida com clientes e competências inéditas para validar que cada nova submissão gera exatamente um envio por canal.</w:t>
      </w:r>
    </w:p>
    <w:p>
      <w:pPr>
        <w:pStyle w:val="ListBullet"/>
      </w:pPr>
      <w:r>
        <w:t>Acompanhar erros do provedor de WhatsApp, janela de atendimento e eventuais exigências de template aprovado para mensagens iniciadas pela empresa.</w:t>
      </w:r>
    </w:p>
    <w:p>
      <w:pPr>
        <w:pStyle w:val="ListBullet"/>
      </w:pPr>
      <w:r>
        <w:t>Revisar e remover definitivamente rotas/funções legadas após confirmar ausência de consumidores em produção.</w:t>
      </w:r>
    </w:p>
    <w:p>
      <w:r>
        <w:br w:type="page"/>
      </w:r>
    </w:p>
    <w:p>
      <w:pPr>
        <w:pStyle w:val="Heading1"/>
        <w:keepNext/>
      </w:pPr>
      <w:r>
        <w:t>2. Consolidação da sprint</w:t>
      </w:r>
    </w:p>
    <w:p>
      <w:r>
        <w:t>A semana entregou uma base operacional significativamente mais coesa. O ganho principal não foi apenas visual: as regras e os artefatos foram conectados no backend, permitindo que uma obrigação gere e acompanhe sua competência por meio de uma tarefa, receba documentos identificados, apareça no calendário e finalize com comunicação auditável.</w:t>
      </w:r>
    </w:p>
    <w:p>
      <w:pPr>
        <w:pStyle w:val="Heading2"/>
        <w:keepNext/>
      </w:pPr>
      <w:r>
        <w:t>Principais ganhos</w:t>
      </w:r>
    </w:p>
    <w:p>
      <w:pPr>
        <w:pStyle w:val="ListBullet"/>
      </w:pPr>
      <w:r>
        <w:t>Menos duplicidade de estado e menor risco de divergência entre calendário, tarefa e obrigação.</w:t>
      </w:r>
    </w:p>
    <w:p>
      <w:pPr>
        <w:pStyle w:val="ListBullet"/>
      </w:pPr>
      <w:r>
        <w:t>Maior rastreabilidade desde o cadastro da regra até a leitura do documento e o acesso do cliente.</w:t>
      </w:r>
    </w:p>
    <w:p>
      <w:pPr>
        <w:pStyle w:val="ListBullet"/>
      </w:pPr>
      <w:r>
        <w:t>Operação mais rápida por meio de filtros, colapsos, painéis laterais e contexto na página do cliente.</w:t>
      </w:r>
    </w:p>
    <w:p>
      <w:pPr>
        <w:pStyle w:val="ListBullet"/>
      </w:pPr>
      <w:r>
        <w:t>Automação local com comportamento compreensível para o usuário: arquivo presente significa pendente; arquivo removido significa processamento confirmado.</w:t>
      </w:r>
    </w:p>
    <w:p>
      <w:pPr>
        <w:pStyle w:val="ListBullet"/>
      </w:pPr>
      <w:r>
        <w:t>Base para evolução segura por meio de validação humana, logs, status persistidos e testes automatizados.</w:t>
      </w:r>
    </w:p>
    <w:p>
      <w:pPr>
        <w:pStyle w:val="Heading2"/>
        <w:keepNext/>
      </w:pPr>
      <w:r>
        <w:t>Recomendações para a próxima sprint</w:t>
      </w:r>
    </w:p>
    <w:p>
      <w:pPr>
        <w:pStyle w:val="ListNumber"/>
      </w:pPr>
      <w:r>
        <w:rPr>
          <w:b/>
        </w:rPr>
        <w:t xml:space="preserve">Observabilidade: </w:t>
      </w:r>
      <w:r>
        <w:t>Criar painel do robô e dos envios com métricas de processamento, revisão, falha por canal e tempo médio.</w:t>
      </w:r>
    </w:p>
    <w:p>
      <w:pPr>
        <w:pStyle w:val="ListNumber"/>
      </w:pPr>
      <w:r>
        <w:rPr>
          <w:b/>
        </w:rPr>
        <w:t xml:space="preserve">Qualidade documental: </w:t>
      </w:r>
      <w:r>
        <w:t>Expandir amostras reais, aprovar versões de modelos e acompanhar precisão de CNPJ, competência e tipo.</w:t>
      </w:r>
    </w:p>
    <w:p>
      <w:pPr>
        <w:pStyle w:val="ListNumber"/>
      </w:pPr>
      <w:r>
        <w:rPr>
          <w:b/>
        </w:rPr>
        <w:t xml:space="preserve">Regressão operacional: </w:t>
      </w:r>
      <w:r>
        <w:t>Adicionar testes ponta a ponta para obrigação → instância → tarefa → documento → e-mail/WhatsApp → acesso.</w:t>
      </w:r>
    </w:p>
    <w:p>
      <w:pPr>
        <w:pStyle w:val="ListNumber"/>
      </w:pPr>
      <w:r>
        <w:rPr>
          <w:b/>
        </w:rPr>
        <w:t xml:space="preserve">Governança de legado: </w:t>
      </w:r>
      <w:r>
        <w:t>Catalogar consumidores das rotas antigas, definir janela de desativação e remover código após monitoramento.</w:t>
      </w:r>
    </w:p>
    <w:p>
      <w:pPr>
        <w:pStyle w:val="ListNumber"/>
      </w:pPr>
      <w:r>
        <w:rPr>
          <w:b/>
        </w:rPr>
        <w:t xml:space="preserve">Experiência do usuário: </w:t>
      </w:r>
      <w:r>
        <w:t>Exibir feedback explícito do resultado de cada canal antes de remover o arquivo local ou concluir a entrega.</w:t>
      </w:r>
    </w:p>
    <w:p>
      <w:pPr>
        <w:pStyle w:val="Heading2"/>
        <w:keepNext/>
      </w:pPr>
      <w:r>
        <w:t>Conclusão gerencial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64"/>
      </w:tblGrid>
      <w:tr>
        <w:trPr/>
        <w:tc>
          <w:tcPr>
            <w:tcW w:type="dxa" w:w="9648"/>
            <w:shd w:fill="EAF1FF"/>
            <w:tcMar>
              <w:top w:w="150" w:type="dxa"/>
              <w:start w:w="170" w:type="dxa"/>
              <w:bottom w:w="150" w:type="dxa"/>
              <w:end w:w="170" w:type="dxa"/>
            </w:tcMar>
            <w:vAlign w:val="center"/>
          </w:tcPr>
          <w:p>
            <w:pPr>
              <w:spacing w:after="40"/>
            </w:pPr>
            <w:r>
              <w:rPr>
                <w:b/>
                <w:color w:val="2563EB"/>
                <w:sz w:val="17"/>
              </w:rPr>
              <w:t>SÍNTESE</w:t>
            </w:r>
          </w:p>
          <w:p>
            <w:pPr>
              <w:spacing w:after="40" w:line="259" w:lineRule="auto"/>
            </w:pPr>
            <w:r>
              <w:t>Os cinco focos planejados foram trabalhados e produziram entregas funcionais. Dias 1, 2 e 4 podem ser considerados concluídos. Dias 3 e 5 também possuem fluxo funcional, mas devem permanecer em acompanhamento até completar uma rodada maior de documentos e entregas inéditas em produção.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23" w:right="1238" w:bottom="1037" w:left="12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5E6880"/>
        <w:sz w:val="17"/>
      </w:rP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etaLabel"/>
      <w:jc w:val="right"/>
    </w:pPr>
    <w:r>
      <w:t>GROW FINANCE HUB  |  RELATÓRIO DE SPRINT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4" w:lineRule="auto"/>
    </w:pPr>
    <w:rPr>
      <w:rFonts w:ascii="Aptos" w:hAnsi="Aptos"/>
      <w:color w:val="1720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213A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6506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8213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8213A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" w:hAnsi="Aptos"/>
      <w:b w:val="0"/>
      <w:i/>
      <w:iCs/>
      <w:color w:val="5E688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30"/>
      <w:ind w:left="374" w:hanging="259"/>
      <w:contextualSpacing/>
    </w:pPr>
    <w:rPr>
      <w:rFonts w:ascii="Aptos" w:hAnsi="Aptos"/>
      <w:color w:val="172033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30"/>
      <w:ind w:left="374" w:hanging="259"/>
      <w:contextualSpacing/>
    </w:pPr>
    <w:rPr>
      <w:rFonts w:ascii="Aptos" w:hAnsi="Aptos"/>
      <w:color w:val="172033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taLabel">
    <w:name w:val="Meta Label"/>
    <w:pPr>
      <w:spacing w:after="40"/>
    </w:pPr>
    <w:rPr>
      <w:rFonts w:ascii="Aptos" w:hAnsi="Aptos"/>
      <w:b/>
      <w:caps/>
      <w:color w:val="2563EB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