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0D09758F" w14:textId="64213306" w:rsidR="00125BBF" w:rsidRPr="00125BBF" w:rsidRDefault="00D638F4" w:rsidP="00125BBF">
      <w:pPr>
        <w:pStyle w:val="Ttulo"/>
      </w:pPr>
      <w:r>
        <w:t>Obrigações Fiscais</w:t>
      </w:r>
    </w:p>
    <w:p w14:paraId="4EADA61C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1) SIMPLES NACIONAL</w:t>
      </w:r>
    </w:p>
    <w:p w14:paraId="76CA4E52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PGDAS-D / DAS</w:t>
      </w:r>
    </w:p>
    <w:p w14:paraId="4A2B8AF0" w14:textId="77777777" w:rsidR="00D638F4" w:rsidRPr="00D638F4" w:rsidRDefault="00D638F4" w:rsidP="00D638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Prazo: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até o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dia 20 do mês seguinte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ao período de apuração.</w:t>
      </w:r>
      <w:r w:rsidRPr="00D638F4">
        <w:rPr>
          <w:rFonts w:eastAsia="Times New Roman" w:cs="Times New Roman"/>
          <w:sz w:val="24"/>
          <w:szCs w:val="24"/>
          <w:lang w:eastAsia="pt-BR"/>
        </w:rPr>
        <w:br/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O que é: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é a apuração mensal do Simples Nacional. Nele a empresa informa a receita do mês e o sistema gera o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DAS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para pagamento dos tributos abrangidos pelo regime. Mesmo sem movimento ou sem receita, a declaração mensal continua sendo necessária no PGDAS-D. </w:t>
      </w:r>
    </w:p>
    <w:p w14:paraId="037DE971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DEFIS</w:t>
      </w:r>
    </w:p>
    <w:p w14:paraId="107135C6" w14:textId="77777777" w:rsidR="00D638F4" w:rsidRPr="00D638F4" w:rsidRDefault="00D638F4" w:rsidP="00D638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Prazo: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até o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último dia de março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do ano seguinte. Para os fatos geradores de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2025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, o prazo foi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31/03/2026</w:t>
      </w:r>
      <w:r w:rsidRPr="00D638F4">
        <w:rPr>
          <w:rFonts w:eastAsia="Times New Roman" w:cs="Times New Roman"/>
          <w:sz w:val="24"/>
          <w:szCs w:val="24"/>
          <w:lang w:eastAsia="pt-BR"/>
        </w:rPr>
        <w:t>.</w:t>
      </w:r>
      <w:r w:rsidRPr="00D638F4">
        <w:rPr>
          <w:rFonts w:eastAsia="Times New Roman" w:cs="Times New Roman"/>
          <w:sz w:val="24"/>
          <w:szCs w:val="24"/>
          <w:lang w:eastAsia="pt-BR"/>
        </w:rPr>
        <w:br/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O que é: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é a declaração anual das informações econômicas e fiscais da empresa optante pelo Simples Nacional. Não substitui a apuração mensal; ela complementa o fechamento anual do regime. </w:t>
      </w:r>
    </w:p>
    <w:p w14:paraId="6228965D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proofErr w:type="spellStart"/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DeSTDA</w:t>
      </w:r>
      <w:proofErr w:type="spellEnd"/>
    </w:p>
    <w:p w14:paraId="4A1D58C8" w14:textId="77777777" w:rsidR="00D638F4" w:rsidRPr="00D638F4" w:rsidRDefault="00D638F4" w:rsidP="00D638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Prazo: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até o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dia 28 do mês seguinte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, ou o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próximo dia útil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se cair em dia não útil.</w:t>
      </w:r>
      <w:r w:rsidRPr="00D638F4">
        <w:rPr>
          <w:rFonts w:eastAsia="Times New Roman" w:cs="Times New Roman"/>
          <w:sz w:val="24"/>
          <w:szCs w:val="24"/>
          <w:lang w:eastAsia="pt-BR"/>
        </w:rPr>
        <w:br/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O que é: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obrigação voltada aos contribuintes do Simples Nacional para declarar valores de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ICMS-ST, antecipação e diferencial de alíquota (DIFAL)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quando aplicáveis. No material recente usado pelos fiscos estaduais, janeiro/2026, por exemplo, deveria ser transmitido até 28/02/2026, prorrogando para o próximo dia útil por cair em sábado. </w:t>
      </w:r>
    </w:p>
    <w:p w14:paraId="62E3D92E" w14:textId="77777777" w:rsidR="00D638F4" w:rsidRPr="00D638F4" w:rsidRDefault="00D638F4" w:rsidP="00D638F4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sz w:val="24"/>
          <w:szCs w:val="24"/>
          <w:lang w:eastAsia="pt-BR"/>
        </w:rPr>
        <w:pict w14:anchorId="511CEBB7">
          <v:rect id="_x0000_i1295" style="width:0;height:1.5pt" o:hralign="center" o:hrstd="t" o:hr="t" fillcolor="#a0a0a0" stroked="f"/>
        </w:pict>
      </w:r>
    </w:p>
    <w:p w14:paraId="5A0FA276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2) LUCRO PRESUMIDO E LUCRO REAL — CONTRIBUIÇÕES E TRIBUTOS FEDERAIS</w:t>
      </w:r>
    </w:p>
    <w:p w14:paraId="24D86029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EFD-Contribuições</w:t>
      </w:r>
    </w:p>
    <w:p w14:paraId="1BEDCFD3" w14:textId="77777777" w:rsidR="00D638F4" w:rsidRPr="00D638F4" w:rsidRDefault="00D638F4" w:rsidP="00D638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Prazo: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até o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10º dia útil do 2º mês subsequente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ao da escrituração. Na Agenda Tributária de 2026, por exemplo, a escrituração de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novembro/2025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apareceu com prazo em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15/01/2026</w:t>
      </w:r>
      <w:r w:rsidRPr="00D638F4">
        <w:rPr>
          <w:rFonts w:eastAsia="Times New Roman" w:cs="Times New Roman"/>
          <w:sz w:val="24"/>
          <w:szCs w:val="24"/>
          <w:lang w:eastAsia="pt-BR"/>
        </w:rPr>
        <w:t>.</w:t>
      </w:r>
      <w:r w:rsidRPr="00D638F4">
        <w:rPr>
          <w:rFonts w:eastAsia="Times New Roman" w:cs="Times New Roman"/>
          <w:sz w:val="24"/>
          <w:szCs w:val="24"/>
          <w:lang w:eastAsia="pt-BR"/>
        </w:rPr>
        <w:br/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O que é: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escrituração digital usada para informar a apuração de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 xml:space="preserve">PIS e </w:t>
      </w:r>
      <w:proofErr w:type="spellStart"/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Cofins</w:t>
      </w:r>
      <w:proofErr w:type="spellEnd"/>
      <w:r w:rsidRPr="00D638F4">
        <w:rPr>
          <w:rFonts w:eastAsia="Times New Roman" w:cs="Times New Roman"/>
          <w:sz w:val="24"/>
          <w:szCs w:val="24"/>
          <w:lang w:eastAsia="pt-BR"/>
        </w:rPr>
        <w:t xml:space="preserve">, além de outras informações ligadas às contribuições, conforme o enquadramento da empresa. É uma das principais obrigações do fechamento fiscal federal. </w:t>
      </w:r>
    </w:p>
    <w:p w14:paraId="0D4A9DB5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proofErr w:type="spellStart"/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DCTFWeb</w:t>
      </w:r>
      <w:proofErr w:type="spellEnd"/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 xml:space="preserve"> + MIT</w:t>
      </w:r>
    </w:p>
    <w:p w14:paraId="0290EA3F" w14:textId="77777777" w:rsidR="00D638F4" w:rsidRPr="00D638F4" w:rsidRDefault="00D638F4" w:rsidP="00D638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Prazo: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até o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dia 25 do mês seguinte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ao da ocorrência dos fatos geradores.</w:t>
      </w:r>
      <w:r w:rsidRPr="00D638F4">
        <w:rPr>
          <w:rFonts w:eastAsia="Times New Roman" w:cs="Times New Roman"/>
          <w:sz w:val="24"/>
          <w:szCs w:val="24"/>
          <w:lang w:eastAsia="pt-BR"/>
        </w:rPr>
        <w:br/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O que é: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 partir de 2025, os débitos antes informados na DCTF PGD passaram a ser declarados </w:t>
      </w:r>
      <w:r w:rsidRPr="00D638F4">
        <w:rPr>
          <w:rFonts w:eastAsia="Times New Roman" w:cs="Times New Roman"/>
          <w:sz w:val="24"/>
          <w:szCs w:val="24"/>
          <w:lang w:eastAsia="pt-BR"/>
        </w:rPr>
        <w:lastRenderedPageBreak/>
        <w:t xml:space="preserve">na </w:t>
      </w:r>
      <w:proofErr w:type="spellStart"/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DCTFWeb</w:t>
      </w:r>
      <w:proofErr w:type="spellEnd"/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 xml:space="preserve"> mensal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, com uso do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MIT – Módulo de Inclusão de Tributos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para os tributos federais que não entram por </w:t>
      </w:r>
      <w:proofErr w:type="spellStart"/>
      <w:r w:rsidRPr="00D638F4">
        <w:rPr>
          <w:rFonts w:eastAsia="Times New Roman" w:cs="Times New Roman"/>
          <w:sz w:val="24"/>
          <w:szCs w:val="24"/>
          <w:lang w:eastAsia="pt-BR"/>
        </w:rPr>
        <w:t>eSocial</w:t>
      </w:r>
      <w:proofErr w:type="spellEnd"/>
      <w:r w:rsidRPr="00D638F4">
        <w:rPr>
          <w:rFonts w:eastAsia="Times New Roman" w:cs="Times New Roman"/>
          <w:sz w:val="24"/>
          <w:szCs w:val="24"/>
          <w:lang w:eastAsia="pt-BR"/>
        </w:rPr>
        <w:t>, EFD-</w:t>
      </w:r>
      <w:proofErr w:type="spellStart"/>
      <w:r w:rsidRPr="00D638F4">
        <w:rPr>
          <w:rFonts w:eastAsia="Times New Roman" w:cs="Times New Roman"/>
          <w:sz w:val="24"/>
          <w:szCs w:val="24"/>
          <w:lang w:eastAsia="pt-BR"/>
        </w:rPr>
        <w:t>Reinf</w:t>
      </w:r>
      <w:proofErr w:type="spellEnd"/>
      <w:r w:rsidRPr="00D638F4">
        <w:rPr>
          <w:rFonts w:eastAsia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D638F4">
        <w:rPr>
          <w:rFonts w:eastAsia="Times New Roman" w:cs="Times New Roman"/>
          <w:sz w:val="24"/>
          <w:szCs w:val="24"/>
          <w:lang w:eastAsia="pt-BR"/>
        </w:rPr>
        <w:t>Sero</w:t>
      </w:r>
      <w:proofErr w:type="spellEnd"/>
      <w:r w:rsidRPr="00D638F4">
        <w:rPr>
          <w:rFonts w:eastAsia="Times New Roman" w:cs="Times New Roman"/>
          <w:sz w:val="24"/>
          <w:szCs w:val="24"/>
          <w:lang w:eastAsia="pt-BR"/>
        </w:rPr>
        <w:t xml:space="preserve">. O MIT passou a abranger, entre outros,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IRPJ, CSLL, IPI, IOF e IRRF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. Importante: o prazo da declaração não altera, por si só, o vencimento do tributo. </w:t>
      </w:r>
    </w:p>
    <w:p w14:paraId="0C771CED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EFD-</w:t>
      </w:r>
      <w:proofErr w:type="spellStart"/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Reinf</w:t>
      </w:r>
      <w:proofErr w:type="spellEnd"/>
    </w:p>
    <w:p w14:paraId="509D5FC1" w14:textId="77777777" w:rsidR="00D638F4" w:rsidRPr="00D638F4" w:rsidRDefault="00D638F4" w:rsidP="00D638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Prazo: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até o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dia 15 do mês seguinte</w:t>
      </w:r>
      <w:r w:rsidRPr="00D638F4">
        <w:rPr>
          <w:rFonts w:eastAsia="Times New Roman" w:cs="Times New Roman"/>
          <w:sz w:val="24"/>
          <w:szCs w:val="24"/>
          <w:lang w:eastAsia="pt-BR"/>
        </w:rPr>
        <w:t>.</w:t>
      </w:r>
      <w:r w:rsidRPr="00D638F4">
        <w:rPr>
          <w:rFonts w:eastAsia="Times New Roman" w:cs="Times New Roman"/>
          <w:sz w:val="24"/>
          <w:szCs w:val="24"/>
          <w:lang w:eastAsia="pt-BR"/>
        </w:rPr>
        <w:br/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O que é: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escrituração voltada às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retenções e outras informações fiscais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, muito usada para serviços tomados/prestados com retenção, eventos de comercialização e também retenções na fonte em situações específicas. A própria base do SPED informa prazo de envio até o dia 15 e recolhimento até o dia 20, conforme a natureza do tributo. </w:t>
      </w:r>
    </w:p>
    <w:p w14:paraId="406F4DAA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DIRBI</w:t>
      </w:r>
    </w:p>
    <w:p w14:paraId="09034628" w14:textId="77777777" w:rsidR="00D638F4" w:rsidRPr="00D638F4" w:rsidRDefault="00D638F4" w:rsidP="00D638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Prazo: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até o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dia 20 do segundo mês seguinte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ao período de apuração.</w:t>
      </w:r>
      <w:r w:rsidRPr="00D638F4">
        <w:rPr>
          <w:rFonts w:eastAsia="Times New Roman" w:cs="Times New Roman"/>
          <w:sz w:val="24"/>
          <w:szCs w:val="24"/>
          <w:lang w:eastAsia="pt-BR"/>
        </w:rPr>
        <w:br/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O que é: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declaração para pessoas jurídicas que usufruem de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incentivos, renúncias, benefícios e imunidades de natureza tributária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. A empresa do Simples fica dispensada em relação ao período em que estiver efetivamente enquadrada no regime. Para empresas fora do Simples, vale acompanhar com atenção quando houver benefício fiscal utilizado. </w:t>
      </w:r>
    </w:p>
    <w:p w14:paraId="5DA72660" w14:textId="77777777" w:rsidR="00D638F4" w:rsidRPr="00D638F4" w:rsidRDefault="00D638F4" w:rsidP="00D638F4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sz w:val="24"/>
          <w:szCs w:val="24"/>
          <w:lang w:eastAsia="pt-BR"/>
        </w:rPr>
        <w:pict w14:anchorId="5D8BA432">
          <v:rect id="_x0000_i1296" style="width:0;height:1.5pt" o:hralign="center" o:hrstd="t" o:hr="t" fillcolor="#a0a0a0" stroked="f"/>
        </w:pict>
      </w:r>
    </w:p>
    <w:p w14:paraId="70781367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3) ICMS / OBRIGAÇÕES ESTADUAIS — RIO GRANDE DO SUL</w:t>
      </w:r>
    </w:p>
    <w:p w14:paraId="498D5126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EFD ICMS/IPI</w:t>
      </w:r>
    </w:p>
    <w:p w14:paraId="4D6F0D06" w14:textId="77777777" w:rsidR="00D638F4" w:rsidRPr="00D638F4" w:rsidRDefault="00D638F4" w:rsidP="00D638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Prazo: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até o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dia 15 do mês subsequente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ao encerramento da apuração, podendo ir para o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primeiro dia útil seguinte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se a data cair em dia não útil.</w:t>
      </w:r>
      <w:r w:rsidRPr="00D638F4">
        <w:rPr>
          <w:rFonts w:eastAsia="Times New Roman" w:cs="Times New Roman"/>
          <w:sz w:val="24"/>
          <w:szCs w:val="24"/>
          <w:lang w:eastAsia="pt-BR"/>
        </w:rPr>
        <w:br/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O que é: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escrituração digital que concentra a movimentação fiscal de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entradas, saídas, apuração de ICMS, IPI, ajustes, créditos e débitos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. No fiscal do RS, ela é uma das bases centrais do fechamento mensal. </w:t>
      </w:r>
    </w:p>
    <w:p w14:paraId="38538070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GIA/RS</w:t>
      </w:r>
    </w:p>
    <w:p w14:paraId="767319AF" w14:textId="77777777" w:rsidR="00D638F4" w:rsidRPr="00D638F4" w:rsidRDefault="00D638F4" w:rsidP="00D638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Prazo: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no RS, a obrigação passou por mudanças relevantes com a chamada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GIA Automática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para parte dos contribuintes desde a competência fevereiro/2025.</w:t>
      </w:r>
      <w:r w:rsidRPr="00D638F4">
        <w:rPr>
          <w:rFonts w:eastAsia="Times New Roman" w:cs="Times New Roman"/>
          <w:sz w:val="24"/>
          <w:szCs w:val="24"/>
          <w:lang w:eastAsia="pt-BR"/>
        </w:rPr>
        <w:br/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O que é: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 GIA é a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Guia de Informação e Apuração do ICMS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. Para alguns contribuintes, a entrega pode estar dispensada e ser substituída pelo processamento automático a partir da EFD, mas isso depende do enquadramento definido pela Receita Estadual. Então, no escritório, o ideal é tratar a GIA hoje assim: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confirmar cliente a cliente se permanece obrigado à entrega manual ou se já está em GIA Automática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. </w:t>
      </w:r>
    </w:p>
    <w:p w14:paraId="38AD35FA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ICMS-ST</w:t>
      </w:r>
    </w:p>
    <w:p w14:paraId="67FC84C5" w14:textId="77777777" w:rsidR="00D638F4" w:rsidRPr="00D638F4" w:rsidRDefault="00D638F4" w:rsidP="00D638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Prazo: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o prazo de recolhimento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não é único para todos os casos</w:t>
      </w:r>
      <w:r w:rsidRPr="00D638F4">
        <w:rPr>
          <w:rFonts w:eastAsia="Times New Roman" w:cs="Times New Roman"/>
          <w:sz w:val="24"/>
          <w:szCs w:val="24"/>
          <w:lang w:eastAsia="pt-BR"/>
        </w:rPr>
        <w:t>; a própria Receita Estadual do RS informa que deve ser observada a hipótese aplicável, inclusive situações de pagamento no fato gerador.</w:t>
      </w:r>
      <w:r w:rsidRPr="00D638F4">
        <w:rPr>
          <w:rFonts w:eastAsia="Times New Roman" w:cs="Times New Roman"/>
          <w:sz w:val="24"/>
          <w:szCs w:val="24"/>
          <w:lang w:eastAsia="pt-BR"/>
        </w:rPr>
        <w:br/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O que é: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recolhimento do ICMS devido por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substituição tributária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, quando a operação se enquadra nessa sistemática. No fechamento fiscal, precisa ser verificado tanto o valor a recolher quanto a forma correta de informar na escrituração. </w:t>
      </w:r>
    </w:p>
    <w:p w14:paraId="5D7E684F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DIFAL / operações interestaduais</w:t>
      </w:r>
    </w:p>
    <w:p w14:paraId="55748A5F" w14:textId="77777777" w:rsidR="00D638F4" w:rsidRPr="00D638F4" w:rsidRDefault="00D638F4" w:rsidP="00D638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Prazo: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pode variar conforme a sistemática aplicável e a forma de recolhimento.</w:t>
      </w:r>
      <w:r w:rsidRPr="00D638F4">
        <w:rPr>
          <w:rFonts w:eastAsia="Times New Roman" w:cs="Times New Roman"/>
          <w:sz w:val="24"/>
          <w:szCs w:val="24"/>
          <w:lang w:eastAsia="pt-BR"/>
        </w:rPr>
        <w:br/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O que é: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obrigação ligada ao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diferencial de alíquota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em determinadas operações interestaduais. Para empresas do Simples, muitas vezes o reflexo aparece via </w:t>
      </w:r>
      <w:proofErr w:type="spellStart"/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DeSTDA</w:t>
      </w:r>
      <w:proofErr w:type="spellEnd"/>
      <w:r w:rsidRPr="00D638F4">
        <w:rPr>
          <w:rFonts w:eastAsia="Times New Roman" w:cs="Times New Roman"/>
          <w:sz w:val="24"/>
          <w:szCs w:val="24"/>
          <w:lang w:eastAsia="pt-BR"/>
        </w:rPr>
        <w:t xml:space="preserve">; para outros regimes, exige análise conforme a legislação estadual e o tipo de operação. </w:t>
      </w:r>
    </w:p>
    <w:p w14:paraId="72ED3906" w14:textId="77777777" w:rsidR="00D638F4" w:rsidRPr="00D638F4" w:rsidRDefault="00D638F4" w:rsidP="00D638F4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sz w:val="24"/>
          <w:szCs w:val="24"/>
          <w:lang w:eastAsia="pt-BR"/>
        </w:rPr>
        <w:pict w14:anchorId="5126EE66">
          <v:rect id="_x0000_i1297" style="width:0;height:1.5pt" o:hralign="center" o:hrstd="t" o:hr="t" fillcolor="#a0a0a0" stroked="f"/>
        </w:pict>
      </w:r>
    </w:p>
    <w:p w14:paraId="11B18535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4) ISS / OBRIGAÇÕES MUNICIPAIS</w:t>
      </w:r>
    </w:p>
    <w:p w14:paraId="624FF6A1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ISSQN mensal</w:t>
      </w:r>
    </w:p>
    <w:p w14:paraId="30B5570E" w14:textId="77777777" w:rsidR="00D638F4" w:rsidRPr="00D638F4" w:rsidRDefault="00D638F4" w:rsidP="00D638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Prazo: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varia conforme o município</w:t>
      </w:r>
      <w:r w:rsidRPr="00D638F4">
        <w:rPr>
          <w:rFonts w:eastAsia="Times New Roman" w:cs="Times New Roman"/>
          <w:sz w:val="24"/>
          <w:szCs w:val="24"/>
          <w:lang w:eastAsia="pt-BR"/>
        </w:rPr>
        <w:t>.</w:t>
      </w:r>
      <w:r w:rsidRPr="00D638F4">
        <w:rPr>
          <w:rFonts w:eastAsia="Times New Roman" w:cs="Times New Roman"/>
          <w:sz w:val="24"/>
          <w:szCs w:val="24"/>
          <w:lang w:eastAsia="pt-BR"/>
        </w:rPr>
        <w:br/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O que é: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apuração e recolhimento do imposto sobre serviços prestados ou tomados, conforme a regra local. No fiscal do escritório, essa é uma obrigação que precisa ser controlada por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prefeitura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, porque prazo, sistema e declaração acessória mudam bastante de cidade para cidade. Para Porto Alegre, por exemplo, o caminho e as regras são municipais, e não federais ou estaduais. </w:t>
      </w:r>
    </w:p>
    <w:p w14:paraId="37D98263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Declarações municipais de serviços</w:t>
      </w:r>
    </w:p>
    <w:p w14:paraId="2E6BE2B0" w14:textId="77777777" w:rsidR="00D638F4" w:rsidRPr="00D638F4" w:rsidRDefault="00D638F4" w:rsidP="00D638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Prazo: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varia conforme o município</w:t>
      </w:r>
      <w:r w:rsidRPr="00D638F4">
        <w:rPr>
          <w:rFonts w:eastAsia="Times New Roman" w:cs="Times New Roman"/>
          <w:sz w:val="24"/>
          <w:szCs w:val="24"/>
          <w:lang w:eastAsia="pt-BR"/>
        </w:rPr>
        <w:t>.</w:t>
      </w:r>
      <w:r w:rsidRPr="00D638F4">
        <w:rPr>
          <w:rFonts w:eastAsia="Times New Roman" w:cs="Times New Roman"/>
          <w:sz w:val="24"/>
          <w:szCs w:val="24"/>
          <w:lang w:eastAsia="pt-BR"/>
        </w:rPr>
        <w:br/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O que é: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além do pagamento do ISS, muitos municípios exigem declaração própria de serviços prestados/tomados, movimento econômico ou escrituração eletrônica municipal. No controle interno, vale manter uma agenda por cidade. </w:t>
      </w:r>
    </w:p>
    <w:p w14:paraId="7BE441CA" w14:textId="77777777" w:rsidR="00D638F4" w:rsidRPr="00D638F4" w:rsidRDefault="00D638F4" w:rsidP="00D638F4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sz w:val="24"/>
          <w:szCs w:val="24"/>
          <w:lang w:eastAsia="pt-BR"/>
        </w:rPr>
        <w:pict w14:anchorId="5D94AFE5">
          <v:rect id="_x0000_i1298" style="width:0;height:1.5pt" o:hralign="center" o:hrstd="t" o:hr="t" fillcolor="#a0a0a0" stroked="f"/>
        </w:pict>
      </w:r>
    </w:p>
    <w:p w14:paraId="7EBCEA00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5) OBRIGAÇÕES ANUAIS QUE IMPACTAM O FISCAL</w:t>
      </w:r>
    </w:p>
    <w:p w14:paraId="3069F983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ECD</w:t>
      </w:r>
    </w:p>
    <w:p w14:paraId="6C95E5A3" w14:textId="77777777" w:rsidR="00D638F4" w:rsidRPr="00D638F4" w:rsidRDefault="00D638F4" w:rsidP="00D638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Prazo: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até o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último dia útil de junho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do ano seguinte ao ano-calendário.</w:t>
      </w:r>
      <w:r w:rsidRPr="00D638F4">
        <w:rPr>
          <w:rFonts w:eastAsia="Times New Roman" w:cs="Times New Roman"/>
          <w:sz w:val="24"/>
          <w:szCs w:val="24"/>
          <w:lang w:eastAsia="pt-BR"/>
        </w:rPr>
        <w:br/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O que é: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escrituração contábil digital. Embora tenha forte interface com a contabilidade, ela impacta o fiscal porque sustenta informações de apuração, rastreabilidade e cruzamentos. </w:t>
      </w:r>
    </w:p>
    <w:p w14:paraId="4D979041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ECF</w:t>
      </w:r>
    </w:p>
    <w:p w14:paraId="4A85F923" w14:textId="77777777" w:rsidR="00D638F4" w:rsidRPr="00D638F4" w:rsidRDefault="00D638F4" w:rsidP="00D638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Prazo: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até o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último dia útil de julho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do ano seguinte ao ano-calendário.</w:t>
      </w:r>
      <w:r w:rsidRPr="00D638F4">
        <w:rPr>
          <w:rFonts w:eastAsia="Times New Roman" w:cs="Times New Roman"/>
          <w:sz w:val="24"/>
          <w:szCs w:val="24"/>
          <w:lang w:eastAsia="pt-BR"/>
        </w:rPr>
        <w:br/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O que é: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escrituração contábil fiscal para demonstrar a formação da base do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IRPJ e da CSLL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, especialmente relevante para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Lucro Presumido e Lucro Real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. </w:t>
      </w:r>
    </w:p>
    <w:p w14:paraId="10B3804B" w14:textId="77777777" w:rsidR="00D638F4" w:rsidRPr="00D638F4" w:rsidRDefault="00D638F4" w:rsidP="00D638F4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sz w:val="24"/>
          <w:szCs w:val="24"/>
          <w:lang w:eastAsia="pt-BR"/>
        </w:rPr>
        <w:pict w14:anchorId="2C2CD329">
          <v:rect id="_x0000_i1299" style="width:0;height:1.5pt" o:hralign="center" o:hrstd="t" o:hr="t" fillcolor="#a0a0a0" stroked="f"/>
        </w:pict>
      </w:r>
    </w:p>
    <w:p w14:paraId="514D8926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kern w:val="36"/>
          <w:sz w:val="24"/>
          <w:szCs w:val="24"/>
          <w:lang w:eastAsia="pt-BR"/>
        </w:rPr>
        <w:lastRenderedPageBreak/>
        <w:t>Resumo prático por tributação</w:t>
      </w:r>
    </w:p>
    <w:p w14:paraId="269350B8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Simples Nacional</w:t>
      </w:r>
    </w:p>
    <w:p w14:paraId="7C8C7B7B" w14:textId="77777777" w:rsidR="00D638F4" w:rsidRPr="00D638F4" w:rsidRDefault="00D638F4" w:rsidP="00D638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PGDAS-D / DAS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mensal —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dia 20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apuração e geração do DAS. </w:t>
      </w:r>
    </w:p>
    <w:p w14:paraId="346A1951" w14:textId="77777777" w:rsidR="00D638F4" w:rsidRPr="00D638F4" w:rsidRDefault="00D638F4" w:rsidP="00D638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proofErr w:type="spellStart"/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DeSTDA</w:t>
      </w:r>
      <w:proofErr w:type="spellEnd"/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mensal, quando aplicável —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dia 28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ST, antecipação e DIFAL. </w:t>
      </w:r>
    </w:p>
    <w:p w14:paraId="655A072C" w14:textId="77777777" w:rsidR="00D638F4" w:rsidRPr="00D638F4" w:rsidRDefault="00D638F4" w:rsidP="00D638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DEFIS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anual —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31 de março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fechamento anual socioeconômico e fiscal. </w:t>
      </w:r>
    </w:p>
    <w:p w14:paraId="49D21F84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 xml:space="preserve">PIS / </w:t>
      </w:r>
      <w:proofErr w:type="spellStart"/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Cofins</w:t>
      </w:r>
      <w:proofErr w:type="spellEnd"/>
    </w:p>
    <w:p w14:paraId="1D0FE073" w14:textId="77777777" w:rsidR="00D638F4" w:rsidRPr="00D638F4" w:rsidRDefault="00D638F4" w:rsidP="00D638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EFD-Contribuições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mensal —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10º dia útil do 2º mês subsequente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escrituração das contribuições. </w:t>
      </w:r>
    </w:p>
    <w:p w14:paraId="052258EC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Retenções / tributos federais</w:t>
      </w:r>
    </w:p>
    <w:p w14:paraId="11BA119B" w14:textId="77777777" w:rsidR="00D638F4" w:rsidRPr="00D638F4" w:rsidRDefault="00D638F4" w:rsidP="00D638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EFD-</w:t>
      </w:r>
      <w:proofErr w:type="spellStart"/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Reinf</w:t>
      </w:r>
      <w:proofErr w:type="spellEnd"/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mensal —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dia 15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retenções e outras informações fiscais. </w:t>
      </w:r>
    </w:p>
    <w:p w14:paraId="2A421FCE" w14:textId="77777777" w:rsidR="00D638F4" w:rsidRPr="00D638F4" w:rsidRDefault="00D638F4" w:rsidP="00D638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proofErr w:type="spellStart"/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DCTFWeb</w:t>
      </w:r>
      <w:proofErr w:type="spellEnd"/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 xml:space="preserve"> + MIT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mensal —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dia 25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consolidação/declaração de tributos federais. </w:t>
      </w:r>
    </w:p>
    <w:p w14:paraId="45CAFA07" w14:textId="77777777" w:rsidR="00D638F4" w:rsidRPr="00D638F4" w:rsidRDefault="00D638F4" w:rsidP="00D638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DIRBI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mensal, quando houver benefício —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dia 20 do 2º mês seguinte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declaração de benefícios/incentivos/imunidades. </w:t>
      </w:r>
    </w:p>
    <w:p w14:paraId="16E6B05E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ICMS / RS</w:t>
      </w:r>
    </w:p>
    <w:p w14:paraId="2B08C71D" w14:textId="77777777" w:rsidR="00D638F4" w:rsidRPr="00D638F4" w:rsidRDefault="00D638F4" w:rsidP="00D638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EFD ICMS/IPI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mensal —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dia 15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escrituração estadual/federal de mercadorias e apuração. </w:t>
      </w:r>
    </w:p>
    <w:p w14:paraId="0ACB6986" w14:textId="77777777" w:rsidR="00D638F4" w:rsidRPr="00D638F4" w:rsidRDefault="00D638F4" w:rsidP="00D638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GIA/RS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verificar se cliente está em </w:t>
      </w: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GIA Automática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ou entrega manual — obrigação estadual de apuração/informação do ICMS. </w:t>
      </w:r>
    </w:p>
    <w:p w14:paraId="389BDFD2" w14:textId="77777777" w:rsidR="00D638F4" w:rsidRPr="00D638F4" w:rsidRDefault="00D638F4" w:rsidP="00D638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ICMS-ST / DIFAL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prazo conforme a operação e regra estadual aplicável. </w:t>
      </w:r>
    </w:p>
    <w:p w14:paraId="4EE64039" w14:textId="77777777" w:rsidR="00D638F4" w:rsidRPr="00D638F4" w:rsidRDefault="00D638F4" w:rsidP="00D638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ISS</w:t>
      </w:r>
    </w:p>
    <w:p w14:paraId="723AA8BD" w14:textId="77777777" w:rsidR="00D638F4" w:rsidRPr="00D638F4" w:rsidRDefault="00D638F4" w:rsidP="00D638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ISS mensal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prazo municipal. </w:t>
      </w:r>
    </w:p>
    <w:p w14:paraId="4F68594A" w14:textId="77777777" w:rsidR="00D638F4" w:rsidRPr="00D638F4" w:rsidRDefault="00D638F4" w:rsidP="00D638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D638F4">
        <w:rPr>
          <w:rFonts w:eastAsia="Times New Roman" w:cs="Times New Roman"/>
          <w:b/>
          <w:bCs/>
          <w:sz w:val="24"/>
          <w:szCs w:val="24"/>
          <w:lang w:eastAsia="pt-BR"/>
        </w:rPr>
        <w:t>Declaração municipal de serviços</w:t>
      </w:r>
      <w:r w:rsidRPr="00D638F4">
        <w:rPr>
          <w:rFonts w:eastAsia="Times New Roman" w:cs="Times New Roman"/>
          <w:sz w:val="24"/>
          <w:szCs w:val="24"/>
          <w:lang w:eastAsia="pt-BR"/>
        </w:rPr>
        <w:t xml:space="preserve"> — prazo municipal. </w:t>
      </w:r>
    </w:p>
    <w:p w14:paraId="5C63256A" w14:textId="5C15F320" w:rsidR="006E7F35" w:rsidRPr="00D638F4" w:rsidRDefault="006E7F35" w:rsidP="00D638F4">
      <w:pPr>
        <w:rPr>
          <w:sz w:val="24"/>
          <w:szCs w:val="24"/>
        </w:rPr>
      </w:pPr>
    </w:p>
    <w:sectPr w:rsidR="006E7F35" w:rsidRPr="00D638F4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92F89" w14:textId="77777777" w:rsidR="004A5384" w:rsidRPr="00080249" w:rsidRDefault="004A5384">
      <w:pPr>
        <w:spacing w:after="0" w:line="240" w:lineRule="auto"/>
      </w:pPr>
      <w:r w:rsidRPr="00080249">
        <w:separator/>
      </w:r>
    </w:p>
  </w:endnote>
  <w:endnote w:type="continuationSeparator" w:id="0">
    <w:p w14:paraId="206661BA" w14:textId="77777777" w:rsidR="004A5384" w:rsidRPr="00080249" w:rsidRDefault="004A5384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25262" w14:textId="77777777" w:rsidR="004A5384" w:rsidRPr="00080249" w:rsidRDefault="004A5384">
      <w:pPr>
        <w:spacing w:after="0" w:line="240" w:lineRule="auto"/>
      </w:pPr>
      <w:r w:rsidRPr="00080249">
        <w:separator/>
      </w:r>
    </w:p>
  </w:footnote>
  <w:footnote w:type="continuationSeparator" w:id="0">
    <w:p w14:paraId="2CDCB3D3" w14:textId="77777777" w:rsidR="004A5384" w:rsidRPr="00080249" w:rsidRDefault="004A5384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645225"/>
    <w:multiLevelType w:val="hybridMultilevel"/>
    <w:tmpl w:val="4A422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7D5CDD"/>
    <w:multiLevelType w:val="hybridMultilevel"/>
    <w:tmpl w:val="85D81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FA6A0A"/>
    <w:multiLevelType w:val="hybridMultilevel"/>
    <w:tmpl w:val="BF6AB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12056"/>
    <w:multiLevelType w:val="hybridMultilevel"/>
    <w:tmpl w:val="21C62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531766"/>
    <w:multiLevelType w:val="hybridMultilevel"/>
    <w:tmpl w:val="C69E1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4F54D5"/>
    <w:multiLevelType w:val="hybridMultilevel"/>
    <w:tmpl w:val="89505A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46E85"/>
    <w:multiLevelType w:val="hybridMultilevel"/>
    <w:tmpl w:val="56FC59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78726C"/>
    <w:multiLevelType w:val="multilevel"/>
    <w:tmpl w:val="BD2A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04D40"/>
    <w:multiLevelType w:val="hybridMultilevel"/>
    <w:tmpl w:val="88163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1409E0"/>
    <w:multiLevelType w:val="hybridMultilevel"/>
    <w:tmpl w:val="068216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EC1E33"/>
    <w:multiLevelType w:val="hybridMultilevel"/>
    <w:tmpl w:val="5E405C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BF28E8"/>
    <w:multiLevelType w:val="multilevel"/>
    <w:tmpl w:val="EFBC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A15F7"/>
    <w:multiLevelType w:val="hybridMultilevel"/>
    <w:tmpl w:val="B6601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3E405E"/>
    <w:multiLevelType w:val="multilevel"/>
    <w:tmpl w:val="1E1C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3244B"/>
    <w:multiLevelType w:val="multilevel"/>
    <w:tmpl w:val="2146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E1222"/>
    <w:multiLevelType w:val="hybridMultilevel"/>
    <w:tmpl w:val="8690D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A46392"/>
    <w:multiLevelType w:val="multilevel"/>
    <w:tmpl w:val="444C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304B2"/>
    <w:multiLevelType w:val="hybridMultilevel"/>
    <w:tmpl w:val="A6802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B92549"/>
    <w:multiLevelType w:val="hybridMultilevel"/>
    <w:tmpl w:val="2B14E4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714402">
    <w:abstractNumId w:val="5"/>
  </w:num>
  <w:num w:numId="2" w16cid:durableId="855264241">
    <w:abstractNumId w:val="3"/>
  </w:num>
  <w:num w:numId="3" w16cid:durableId="2116707329">
    <w:abstractNumId w:val="2"/>
  </w:num>
  <w:num w:numId="4" w16cid:durableId="1461995061">
    <w:abstractNumId w:val="4"/>
  </w:num>
  <w:num w:numId="5" w16cid:durableId="112022351">
    <w:abstractNumId w:val="1"/>
  </w:num>
  <w:num w:numId="6" w16cid:durableId="912930695">
    <w:abstractNumId w:val="0"/>
  </w:num>
  <w:num w:numId="7" w16cid:durableId="1602253438">
    <w:abstractNumId w:val="9"/>
  </w:num>
  <w:num w:numId="8" w16cid:durableId="648365338">
    <w:abstractNumId w:val="11"/>
  </w:num>
  <w:num w:numId="9" w16cid:durableId="1978293467">
    <w:abstractNumId w:val="24"/>
  </w:num>
  <w:num w:numId="10" w16cid:durableId="1046759825">
    <w:abstractNumId w:val="8"/>
  </w:num>
  <w:num w:numId="11" w16cid:durableId="1339623809">
    <w:abstractNumId w:val="15"/>
  </w:num>
  <w:num w:numId="12" w16cid:durableId="2110813947">
    <w:abstractNumId w:val="14"/>
  </w:num>
  <w:num w:numId="13" w16cid:durableId="229579733">
    <w:abstractNumId w:val="6"/>
  </w:num>
  <w:num w:numId="14" w16cid:durableId="1597327806">
    <w:abstractNumId w:val="16"/>
  </w:num>
  <w:num w:numId="15" w16cid:durableId="1383750095">
    <w:abstractNumId w:val="12"/>
  </w:num>
  <w:num w:numId="16" w16cid:durableId="1000933215">
    <w:abstractNumId w:val="23"/>
  </w:num>
  <w:num w:numId="17" w16cid:durableId="322927354">
    <w:abstractNumId w:val="10"/>
  </w:num>
  <w:num w:numId="18" w16cid:durableId="667290550">
    <w:abstractNumId w:val="7"/>
  </w:num>
  <w:num w:numId="19" w16cid:durableId="15275671">
    <w:abstractNumId w:val="18"/>
  </w:num>
  <w:num w:numId="20" w16cid:durableId="928540871">
    <w:abstractNumId w:val="21"/>
  </w:num>
  <w:num w:numId="21" w16cid:durableId="1234122256">
    <w:abstractNumId w:val="22"/>
  </w:num>
  <w:num w:numId="22" w16cid:durableId="1863787367">
    <w:abstractNumId w:val="13"/>
  </w:num>
  <w:num w:numId="23" w16cid:durableId="905409889">
    <w:abstractNumId w:val="20"/>
  </w:num>
  <w:num w:numId="24" w16cid:durableId="1063799851">
    <w:abstractNumId w:val="19"/>
  </w:num>
  <w:num w:numId="25" w16cid:durableId="1610620558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249"/>
    <w:rsid w:val="0009570C"/>
    <w:rsid w:val="00125BBF"/>
    <w:rsid w:val="0015074B"/>
    <w:rsid w:val="00155574"/>
    <w:rsid w:val="001D058E"/>
    <w:rsid w:val="00202832"/>
    <w:rsid w:val="0029639D"/>
    <w:rsid w:val="00326F90"/>
    <w:rsid w:val="003E4D6B"/>
    <w:rsid w:val="004A5384"/>
    <w:rsid w:val="00623773"/>
    <w:rsid w:val="006E7F35"/>
    <w:rsid w:val="00721558"/>
    <w:rsid w:val="007D5EB3"/>
    <w:rsid w:val="009B1865"/>
    <w:rsid w:val="00AA1D8D"/>
    <w:rsid w:val="00AB141F"/>
    <w:rsid w:val="00B47730"/>
    <w:rsid w:val="00C01042"/>
    <w:rsid w:val="00C20977"/>
    <w:rsid w:val="00CB0664"/>
    <w:rsid w:val="00CC2500"/>
    <w:rsid w:val="00D638F4"/>
    <w:rsid w:val="00DB0F67"/>
    <w:rsid w:val="00DE5281"/>
    <w:rsid w:val="00E40426"/>
    <w:rsid w:val="00E50463"/>
    <w:rsid w:val="00ED1EBC"/>
    <w:rsid w:val="00F30C21"/>
    <w:rsid w:val="00F3727B"/>
    <w:rsid w:val="00F67BE6"/>
    <w:rsid w:val="00F76870"/>
    <w:rsid w:val="00FC693F"/>
    <w:rsid w:val="00FF09F8"/>
    <w:rsid w:val="00FF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25BB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5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1094</Words>
  <Characters>5913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2026-04-01T14:20:00Z</dcterms:created>
  <dcterms:modified xsi:type="dcterms:W3CDTF">2026-04-01T14:20:00Z</dcterms:modified>
  <cp:category/>
</cp:coreProperties>
</file>