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3464D435" w14:textId="77777777" w:rsidR="00A72973" w:rsidRPr="00A72973" w:rsidRDefault="00A72973" w:rsidP="00A72973">
      <w:pPr>
        <w:pStyle w:val="Ttulo"/>
      </w:pPr>
      <w:r w:rsidRPr="00A72973">
        <w:t>Apuração Fiscal Mensal Grow</w:t>
      </w:r>
    </w:p>
    <w:p w14:paraId="28F2A415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1. Objetivo</w:t>
      </w:r>
    </w:p>
    <w:p w14:paraId="7F8D8CCC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Padronizar o processo de </w:t>
      </w:r>
      <w:r w:rsidRPr="00A7297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recebimento de documentos fiscais, classificação das operações, apuração de tributos, transmissão das obrigações acessórias e emissão de guias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, garantindo que todas as etapas do setor fiscal da Grow sejam executadas de forma organizada, dentro dos prazos legais, com segurança técnica e redução de retrabalho.</w:t>
      </w:r>
    </w:p>
    <w:p w14:paraId="745F5FC6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F47BF7E">
          <v:rect id="_x0000_i1025" style="width:0;height:1.5pt" o:hralign="center" o:hrstd="t" o:hr="t" fillcolor="#a0a0a0" stroked="f"/>
        </w:pict>
      </w:r>
    </w:p>
    <w:p w14:paraId="09EA1DE7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2. Aplicação</w:t>
      </w:r>
    </w:p>
    <w:p w14:paraId="7589DAD7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Este procedimento se aplica a </w:t>
      </w:r>
      <w:r w:rsidRPr="00A7297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todos os clientes da Grow que possuem rotinas fiscais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, incluindo empresas enquadradas nos regimes:</w:t>
      </w:r>
    </w:p>
    <w:p w14:paraId="449D6596" w14:textId="77777777" w:rsidR="00A72973" w:rsidRPr="00A72973" w:rsidRDefault="00A72973" w:rsidP="00A7297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Simples Nacional</w:t>
      </w:r>
    </w:p>
    <w:p w14:paraId="654F1284" w14:textId="77777777" w:rsidR="00A72973" w:rsidRPr="00A72973" w:rsidRDefault="00A72973" w:rsidP="00A7297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Lucro Presumido</w:t>
      </w:r>
    </w:p>
    <w:p w14:paraId="258648CB" w14:textId="77777777" w:rsidR="00A72973" w:rsidRPr="00A72973" w:rsidRDefault="00A72973" w:rsidP="00A7297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Lucro Real</w:t>
      </w:r>
    </w:p>
    <w:p w14:paraId="2BA34A5F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O procedimento contempla o fluxo mensal desde o </w:t>
      </w:r>
      <w:r w:rsidRPr="00A7297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recebimento de documentos fiscais até o envio das guias ao cliente e arquivamento das evidências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.</w:t>
      </w:r>
    </w:p>
    <w:p w14:paraId="3268E1F3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E8A1DB6">
          <v:rect id="_x0000_i1026" style="width:0;height:1.5pt" o:hralign="center" o:hrstd="t" o:hr="t" fillcolor="#a0a0a0" stroked="f"/>
        </w:pict>
      </w:r>
    </w:p>
    <w:p w14:paraId="7CB0ED08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3. Responsáveis</w:t>
      </w:r>
    </w:p>
    <w:p w14:paraId="2A82503B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Atendimento / Relacionamento com o cliente</w:t>
      </w:r>
    </w:p>
    <w:p w14:paraId="644CB8E1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• solicitar documentos fiscais do período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acompanhar envio de XML e relatórios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comunicar pendências documentais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enviar guias e orientações ao cliente</w:t>
      </w:r>
    </w:p>
    <w:p w14:paraId="6E5D7A95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3A2C042">
          <v:rect id="_x0000_i1027" style="width:0;height:1.5pt" o:hralign="center" o:hrstd="t" o:hr="t" fillcolor="#a0a0a0" stroked="f"/>
        </w:pict>
      </w:r>
    </w:p>
    <w:p w14:paraId="1334A715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Assistente Fiscal</w:t>
      </w:r>
    </w:p>
    <w:p w14:paraId="65FA9B55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• receber e organizar documentos fiscais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conferir integridade documental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importar ou lançar notas no sistema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auxiliar na conferência de cadastros</w:t>
      </w:r>
    </w:p>
    <w:p w14:paraId="5A25E963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pict w14:anchorId="45B68875">
          <v:rect id="_x0000_i1028" style="width:0;height:1.5pt" o:hralign="center" o:hrstd="t" o:hr="t" fillcolor="#a0a0a0" stroked="f"/>
        </w:pict>
      </w:r>
    </w:p>
    <w:p w14:paraId="7B776F2D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Analista Fiscal</w:t>
      </w:r>
    </w:p>
    <w:p w14:paraId="2FF106FD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• validar tributação das operações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revisar CFOP, CST, NCM e alíquotas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apurar tributos do período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gerar relatórios fiscais e memórias de cálculo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preparar obrigações acessórias</w:t>
      </w:r>
    </w:p>
    <w:p w14:paraId="4CA5D247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69DBA50">
          <v:rect id="_x0000_i1029" style="width:0;height:1.5pt" o:hralign="center" o:hrstd="t" o:hr="t" fillcolor="#a0a0a0" stroked="f"/>
        </w:pict>
      </w:r>
    </w:p>
    <w:p w14:paraId="1080DABE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Coordenação Fiscal / Revisão</w:t>
      </w:r>
    </w:p>
    <w:p w14:paraId="3A54628C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• revisar apurações críticas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validar fechamento fiscal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acompanhar inconsistências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aprovar transmissão das obrigações</w:t>
      </w:r>
    </w:p>
    <w:p w14:paraId="52555F30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C013F50">
          <v:rect id="_x0000_i1030" style="width:0;height:1.5pt" o:hralign="center" o:hrstd="t" o:hr="t" fillcolor="#a0a0a0" stroked="f"/>
        </w:pict>
      </w:r>
    </w:p>
    <w:p w14:paraId="30319579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4. Diretrizes gerais</w:t>
      </w:r>
    </w:p>
    <w:p w14:paraId="793FFF0C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Toda apuração fiscal deve seguir obrigatoriamente uma sequência padronizada.</w:t>
      </w:r>
    </w:p>
    <w:p w14:paraId="27286320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Nenhum cliente deve ter </w:t>
      </w:r>
      <w:r w:rsidRPr="00A7297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obrigações transmitidas ou guias emitidas sem:</w:t>
      </w:r>
    </w:p>
    <w:p w14:paraId="536F8E87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• conferência dos documentos do período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validação da tributação das operações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verificação da apuração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validação do fechamento fiscal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confirmação da transmissão das obrigações</w:t>
      </w:r>
    </w:p>
    <w:p w14:paraId="79BBAAF4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Sempre que houver inconsistências documentais ou fiscais, o processo deve retornar à etapa de revisão antes da transmissão.</w:t>
      </w:r>
    </w:p>
    <w:p w14:paraId="2F9A51A5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6E6DF5F">
          <v:rect id="_x0000_i1031" style="width:0;height:1.5pt" o:hralign="center" o:hrstd="t" o:hr="t" fillcolor="#a0a0a0" stroked="f"/>
        </w:pict>
      </w:r>
    </w:p>
    <w:p w14:paraId="4E3AFC49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5. Descrição do procedimento</w:t>
      </w:r>
    </w:p>
    <w:p w14:paraId="47ED5216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213E400">
          <v:rect id="_x0000_i1032" style="width:0;height:1.5pt" o:hralign="center" o:hrstd="t" o:hr="t" fillcolor="#a0a0a0" stroked="f"/>
        </w:pict>
      </w:r>
    </w:p>
    <w:p w14:paraId="76730076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1 – Início da competência mensal</w:t>
      </w:r>
    </w:p>
    <w:p w14:paraId="34E5B357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O processo fiscal inicia no </w:t>
      </w:r>
      <w:r w:rsidRPr="00A7297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primeiro dia útil do mês subsequente ao período de apuração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.</w:t>
      </w:r>
    </w:p>
    <w:p w14:paraId="6B1DEFD6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Exemplo:</w:t>
      </w:r>
    </w:p>
    <w:p w14:paraId="7686DFC5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Competência </w:t>
      </w:r>
      <w:r w:rsidRPr="00A7297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abril → início do processamento em maio</w:t>
      </w:r>
    </w:p>
    <w:p w14:paraId="2F4392A9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Resultado esperado: início do ciclo de apuração fiscal.</w:t>
      </w:r>
    </w:p>
    <w:p w14:paraId="4E5E2E3E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01EBF73">
          <v:rect id="_x0000_i1033" style="width:0;height:1.5pt" o:hralign="center" o:hrstd="t" o:hr="t" fillcolor="#a0a0a0" stroked="f"/>
        </w:pict>
      </w:r>
    </w:p>
    <w:p w14:paraId="0E20D9FE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2 – Solicitação de documentos ao cliente</w:t>
      </w:r>
    </w:p>
    <w:p w14:paraId="1D57941B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O setor fiscal solicita ao cliente os documentos referentes ao período.</w:t>
      </w:r>
    </w:p>
    <w:p w14:paraId="43D99771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solicitados:</w:t>
      </w:r>
    </w:p>
    <w:p w14:paraId="0D939668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• XML das notas fiscais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DANFE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notas fiscais de serviço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relatórios de faturamento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informações sobre retenções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documentos fiscais complementares</w:t>
      </w:r>
    </w:p>
    <w:p w14:paraId="71FDCAC7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Prazo recomendado interno:</w:t>
      </w:r>
    </w:p>
    <w:p w14:paraId="30591A92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até o dia 05 do mês seguinte.</w:t>
      </w:r>
    </w:p>
    <w:p w14:paraId="655D2AA1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cliente orientado a enviar documentação completa.</w:t>
      </w:r>
    </w:p>
    <w:p w14:paraId="4239494A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6A36463">
          <v:rect id="_x0000_i1034" style="width:0;height:1.5pt" o:hralign="center" o:hrstd="t" o:hr="t" fillcolor="#a0a0a0" stroked="f"/>
        </w:pict>
      </w:r>
    </w:p>
    <w:p w14:paraId="2ABD7DD1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3 – Recebimento dos documentos</w:t>
      </w:r>
    </w:p>
    <w:p w14:paraId="42907DE9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O cliente envia os documentos fiscais referentes à competência.</w:t>
      </w:r>
    </w:p>
    <w:p w14:paraId="3C3B3C52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Os arquivos devem ser organizados no sistema ou nas pastas fiscais do cliente.</w:t>
      </w:r>
    </w:p>
    <w:p w14:paraId="4785E61D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documentação recebida para análise.</w:t>
      </w:r>
    </w:p>
    <w:p w14:paraId="76D9B595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54EF9FC">
          <v:rect id="_x0000_i1035" style="width:0;height:1.5pt" o:hralign="center" o:hrstd="t" o:hr="t" fillcolor="#a0a0a0" stroked="f"/>
        </w:pict>
      </w:r>
    </w:p>
    <w:p w14:paraId="1918072C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4 – Conferência dos documentos recebidos</w:t>
      </w:r>
    </w:p>
    <w:p w14:paraId="49D7E825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O setor fiscal deve realizar conferência inicial dos documentos.</w:t>
      </w:r>
    </w:p>
    <w:p w14:paraId="7AF1A004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verificados:</w:t>
      </w:r>
    </w:p>
    <w:p w14:paraId="2294ABB9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• competência correta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presença de XML das notas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duplicidades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notas canceladas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ausência de documentos de serviço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divergência entre faturamento e notas</w:t>
      </w:r>
    </w:p>
    <w:p w14:paraId="3C8C8BD5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documentação validada para processamento.</w:t>
      </w:r>
    </w:p>
    <w:p w14:paraId="76DD49FC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pict w14:anchorId="21D93874">
          <v:rect id="_x0000_i1036" style="width:0;height:1.5pt" o:hralign="center" o:hrstd="t" o:hr="t" fillcolor="#a0a0a0" stroked="f"/>
        </w:pict>
      </w:r>
    </w:p>
    <w:p w14:paraId="226C400F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5 – Validação da documentação</w:t>
      </w:r>
    </w:p>
    <w:p w14:paraId="2DE24E80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Nesta etapa deve ser verificado se a documentação está </w:t>
      </w:r>
      <w:r w:rsidRPr="00A7297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completa e correta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.</w:t>
      </w:r>
    </w:p>
    <w:p w14:paraId="5DEA502D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Se houver pendências:</w:t>
      </w:r>
    </w:p>
    <w:p w14:paraId="0112B9B9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• solicitar complementação ao cliente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registrar pendência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aguardar envio das informações faltantes</w:t>
      </w:r>
    </w:p>
    <w:p w14:paraId="466BACD9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Somente após regularização o processo deve seguir.</w:t>
      </w:r>
    </w:p>
    <w:p w14:paraId="2BD2D4FB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documentação completa para processamento fiscal.</w:t>
      </w:r>
    </w:p>
    <w:p w14:paraId="52415F73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5576FF1">
          <v:rect id="_x0000_i1037" style="width:0;height:1.5pt" o:hralign="center" o:hrstd="t" o:hr="t" fillcolor="#a0a0a0" stroked="f"/>
        </w:pict>
      </w:r>
    </w:p>
    <w:p w14:paraId="30F79672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6 – Conferência de cadastros fiscais</w:t>
      </w:r>
    </w:p>
    <w:p w14:paraId="25535AD3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Antes da importação das notas, devem ser verificados os cadastros tributários.</w:t>
      </w:r>
    </w:p>
    <w:p w14:paraId="09D0081A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Itens obrigatórios de validação:</w:t>
      </w:r>
    </w:p>
    <w:p w14:paraId="0CD390CF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• CFOP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NCM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CST / CSOSN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alíquotas de ICMS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natureza da operação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parametrização fiscal do sistema</w:t>
      </w:r>
    </w:p>
    <w:p w14:paraId="2B6713FE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cadastros corretos para evitar erros na apuração.</w:t>
      </w:r>
    </w:p>
    <w:p w14:paraId="2C76B2FE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66E3410">
          <v:rect id="_x0000_i1038" style="width:0;height:1.5pt" o:hralign="center" o:hrstd="t" o:hr="t" fillcolor="#a0a0a0" stroked="f"/>
        </w:pict>
      </w:r>
    </w:p>
    <w:p w14:paraId="60BD8B32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7 – Importação ou lançamento das notas</w:t>
      </w:r>
    </w:p>
    <w:p w14:paraId="6291DD98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validação cadastral, os documentos fiscais devem ser importados ou lançados no sistema fiscal.</w:t>
      </w:r>
    </w:p>
    <w:p w14:paraId="10EF07A8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Isso pode ocorrer por:</w:t>
      </w:r>
    </w:p>
    <w:p w14:paraId="3D05800A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• importação de XML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integração com ERP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lançamento manual</w:t>
      </w:r>
    </w:p>
    <w:p w14:paraId="170DC877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movimentação fiscal registrada no sistema.</w:t>
      </w:r>
    </w:p>
    <w:p w14:paraId="06D045FD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CD01689">
          <v:rect id="_x0000_i1039" style="width:0;height:1.5pt" o:hralign="center" o:hrstd="t" o:hr="t" fillcolor="#a0a0a0" stroked="f"/>
        </w:pict>
      </w:r>
    </w:p>
    <w:p w14:paraId="7F19BCB2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lastRenderedPageBreak/>
        <w:t>Etapa 8 – Classificação das operações</w:t>
      </w:r>
    </w:p>
    <w:p w14:paraId="1968E4F0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Cada documento fiscal deve ser analisado para identificação da natureza da operação.</w:t>
      </w:r>
    </w:p>
    <w:p w14:paraId="682390CB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Exemplos:</w:t>
      </w:r>
    </w:p>
    <w:p w14:paraId="3776B222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• venda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devolução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transferência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bonificação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remessa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prestação de serviço</w:t>
      </w:r>
    </w:p>
    <w:p w14:paraId="5F9C9BE4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operação corretamente classificada para tributação.</w:t>
      </w:r>
    </w:p>
    <w:p w14:paraId="161555FE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5FD85FA">
          <v:rect id="_x0000_i1040" style="width:0;height:1.5pt" o:hralign="center" o:hrstd="t" o:hr="t" fillcolor="#a0a0a0" stroked="f"/>
        </w:pict>
      </w:r>
    </w:p>
    <w:p w14:paraId="4B90B4C9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9 – Conferência das incidências tributárias</w:t>
      </w:r>
    </w:p>
    <w:p w14:paraId="09744FC0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O fiscal deve verificar quais tributos incidem sobre cada operação.</w:t>
      </w:r>
    </w:p>
    <w:p w14:paraId="4E242C3A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Tributos analisados:</w:t>
      </w:r>
    </w:p>
    <w:p w14:paraId="5CC17EBE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• ICMS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IPI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PIS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COFINS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ISS</w:t>
      </w:r>
    </w:p>
    <w:p w14:paraId="0628186B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Também devem ser avaliados:</w:t>
      </w:r>
    </w:p>
    <w:p w14:paraId="4B3D68BC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• substituição tributária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benefícios fiscais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isenções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monofasia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retenções</w:t>
      </w:r>
    </w:p>
    <w:p w14:paraId="0DE7C00E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tributação corretamente identificada.</w:t>
      </w:r>
    </w:p>
    <w:p w14:paraId="0EBF7EB4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A097334">
          <v:rect id="_x0000_i1041" style="width:0;height:1.5pt" o:hralign="center" o:hrstd="t" o:hr="t" fillcolor="#a0a0a0" stroked="f"/>
        </w:pict>
      </w:r>
    </w:p>
    <w:p w14:paraId="636C79E8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10 – Apuração dos tributos do período</w:t>
      </w:r>
    </w:p>
    <w:p w14:paraId="538DB42A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a classificação das operações, ocorre a apuração dos tributos.</w:t>
      </w:r>
    </w:p>
    <w:p w14:paraId="7E4584E6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Dependendo do regime tributário do cliente, podem ser apurados:</w:t>
      </w:r>
    </w:p>
    <w:p w14:paraId="4C085CFF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Simples Nacional</w:t>
      </w:r>
    </w:p>
    <w:p w14:paraId="77E47CC6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 xml:space="preserve">Apuração no </w:t>
      </w:r>
      <w:r w:rsidRPr="00A7297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PGDAS-D</w:t>
      </w:r>
    </w:p>
    <w:p w14:paraId="1393A57A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Prazo de entrega e pagamento:</w:t>
      </w:r>
    </w:p>
    <w:p w14:paraId="22400261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até o dia 20 do mês seguinte.</w:t>
      </w:r>
    </w:p>
    <w:p w14:paraId="0CA7FA8A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7957241">
          <v:rect id="_x0000_i1042" style="width:0;height:1.5pt" o:hralign="center" o:hrstd="t" o:hr="t" fillcolor="#a0a0a0" stroked="f"/>
        </w:pict>
      </w:r>
    </w:p>
    <w:p w14:paraId="2343358F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ICMS / IPI</w:t>
      </w:r>
    </w:p>
    <w:p w14:paraId="646A75FB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Apuração e transmissão via:</w:t>
      </w:r>
    </w:p>
    <w:p w14:paraId="633CFF83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EFD ICMS/IPI</w:t>
      </w:r>
    </w:p>
    <w:p w14:paraId="362342EB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Prazo no RS:</w:t>
      </w:r>
    </w:p>
    <w:p w14:paraId="01CB14A8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até o dia 15 do mês seguinte.</w:t>
      </w:r>
    </w:p>
    <w:p w14:paraId="66E417FE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B4CCB5C">
          <v:rect id="_x0000_i1043" style="width:0;height:1.5pt" o:hralign="center" o:hrstd="t" o:hr="t" fillcolor="#a0a0a0" stroked="f"/>
        </w:pict>
      </w:r>
    </w:p>
    <w:p w14:paraId="5779567F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PIS / COFINS</w:t>
      </w:r>
    </w:p>
    <w:p w14:paraId="64F83434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Declarados na:</w:t>
      </w:r>
    </w:p>
    <w:p w14:paraId="20F7A894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EFD Contribuições</w:t>
      </w:r>
    </w:p>
    <w:p w14:paraId="580AE8A4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Prazo:</w:t>
      </w:r>
    </w:p>
    <w:p w14:paraId="358BC23B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10º dia útil do segundo mês subsequente.</w:t>
      </w:r>
    </w:p>
    <w:p w14:paraId="4DA7256D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C222E30">
          <v:rect id="_x0000_i1044" style="width:0;height:1.5pt" o:hralign="center" o:hrstd="t" o:hr="t" fillcolor="#a0a0a0" stroked="f"/>
        </w:pict>
      </w:r>
    </w:p>
    <w:p w14:paraId="2053B831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Retenções federais</w:t>
      </w:r>
    </w:p>
    <w:p w14:paraId="46CDF15D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Informadas na:</w:t>
      </w:r>
    </w:p>
    <w:p w14:paraId="65B15426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EFD-</w:t>
      </w:r>
      <w:proofErr w:type="spellStart"/>
      <w:r w:rsidRPr="00A7297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Reinf</w:t>
      </w:r>
      <w:proofErr w:type="spellEnd"/>
    </w:p>
    <w:p w14:paraId="5EF62E10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Prazo:</w:t>
      </w:r>
    </w:p>
    <w:p w14:paraId="25520A1C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até o dia 15 do mês seguinte.</w:t>
      </w:r>
    </w:p>
    <w:p w14:paraId="575A9608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652AFE4">
          <v:rect id="_x0000_i1045" style="width:0;height:1.5pt" o:hralign="center" o:hrstd="t" o:hr="t" fillcolor="#a0a0a0" stroked="f"/>
        </w:pict>
      </w:r>
    </w:p>
    <w:p w14:paraId="493AA425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Débitos federais</w:t>
      </w:r>
    </w:p>
    <w:p w14:paraId="69B80737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Consolidados na:</w:t>
      </w:r>
    </w:p>
    <w:p w14:paraId="53F9B8C6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A7297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DCTFWeb</w:t>
      </w:r>
      <w:proofErr w:type="spellEnd"/>
    </w:p>
    <w:p w14:paraId="2E325E12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Prazo:</w:t>
      </w:r>
    </w:p>
    <w:p w14:paraId="5D4F9FB8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último dia útil do mês seguinte.</w:t>
      </w:r>
    </w:p>
    <w:p w14:paraId="52AF451D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D32B079">
          <v:rect id="_x0000_i1046" style="width:0;height:1.5pt" o:hralign="center" o:hrstd="t" o:hr="t" fillcolor="#a0a0a0" stroked="f"/>
        </w:pict>
      </w:r>
    </w:p>
    <w:p w14:paraId="28FB3943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tributos corretamente apurados.</w:t>
      </w:r>
    </w:p>
    <w:p w14:paraId="48D07D01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CA8C1FC">
          <v:rect id="_x0000_i1047" style="width:0;height:1.5pt" o:hralign="center" o:hrstd="t" o:hr="t" fillcolor="#a0a0a0" stroked="f"/>
        </w:pict>
      </w:r>
    </w:p>
    <w:p w14:paraId="01587C03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11 – Validação da apuração</w:t>
      </w:r>
    </w:p>
    <w:p w14:paraId="3A9A411A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o cálculo dos impostos, deve ser realizada revisão.</w:t>
      </w:r>
    </w:p>
    <w:p w14:paraId="4AC05D42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analisados:</w:t>
      </w:r>
    </w:p>
    <w:p w14:paraId="50C697F9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• variações relevantes de faturamento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diferenças em relação ao mês anterior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bases de cálculo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créditos e débitos fiscais</w:t>
      </w:r>
    </w:p>
    <w:p w14:paraId="6DC113FB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Se houver inconsistências:</w:t>
      </w:r>
    </w:p>
    <w:p w14:paraId="23286CEF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• corrigir lançamentos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revisar cadastros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reprocessar apuração</w:t>
      </w:r>
    </w:p>
    <w:p w14:paraId="60E7E444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apuração validada.</w:t>
      </w:r>
    </w:p>
    <w:p w14:paraId="3B2CDD92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126CAF2">
          <v:rect id="_x0000_i1048" style="width:0;height:1.5pt" o:hralign="center" o:hrstd="t" o:hr="t" fillcolor="#a0a0a0" stroked="f"/>
        </w:pict>
      </w:r>
    </w:p>
    <w:p w14:paraId="433CEDD9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12 – Geração de relatórios fiscais</w:t>
      </w:r>
    </w:p>
    <w:p w14:paraId="137D866F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validação da apuração, devem ser gerados:</w:t>
      </w:r>
    </w:p>
    <w:p w14:paraId="519B19AE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• memória de cálculo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relatórios de apuração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demonstrativos fiscais</w:t>
      </w:r>
    </w:p>
    <w:p w14:paraId="4634FB62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documentação técnica da apuração.</w:t>
      </w:r>
    </w:p>
    <w:p w14:paraId="799CA9E7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8447D0E">
          <v:rect id="_x0000_i1049" style="width:0;height:1.5pt" o:hralign="center" o:hrstd="t" o:hr="t" fillcolor="#a0a0a0" stroked="f"/>
        </w:pict>
      </w:r>
    </w:p>
    <w:p w14:paraId="0A2EF1D1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13 – Validação do fechamento fiscal</w:t>
      </w:r>
    </w:p>
    <w:p w14:paraId="45FF8BCF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Antes da transmissão das obrigações, deve ser realizada validação final do fechamento.</w:t>
      </w:r>
    </w:p>
    <w:p w14:paraId="77A35678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Se houver divergências, o processo retorna para revisão.</w:t>
      </w:r>
    </w:p>
    <w:p w14:paraId="5039245E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Resultado esperado: fechamento fiscal aprovado.</w:t>
      </w:r>
    </w:p>
    <w:p w14:paraId="3B34FDD8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67E6571">
          <v:rect id="_x0000_i1050" style="width:0;height:1.5pt" o:hralign="center" o:hrstd="t" o:hr="t" fillcolor="#a0a0a0" stroked="f"/>
        </w:pict>
      </w:r>
    </w:p>
    <w:p w14:paraId="7AFB1D2F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14 – Transmissão das obrigações fiscais</w:t>
      </w:r>
    </w:p>
    <w:p w14:paraId="0E9B8C7D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aprovação do fechamento, devem ser transmitidas as obrigações aplicáveis.</w:t>
      </w:r>
    </w:p>
    <w:p w14:paraId="006946FE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Sequência comum de envio:</w:t>
      </w:r>
    </w:p>
    <w:p w14:paraId="61D53EDC" w14:textId="77777777" w:rsidR="00A72973" w:rsidRPr="00A72973" w:rsidRDefault="00A72973" w:rsidP="00A729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EFD ICMS/IPI</w:t>
      </w:r>
    </w:p>
    <w:p w14:paraId="4CD96DCA" w14:textId="77777777" w:rsidR="00A72973" w:rsidRPr="00A72973" w:rsidRDefault="00A72973" w:rsidP="00A729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EFD Contribuições</w:t>
      </w:r>
    </w:p>
    <w:p w14:paraId="4C55CDE0" w14:textId="77777777" w:rsidR="00A72973" w:rsidRPr="00A72973" w:rsidRDefault="00A72973" w:rsidP="00A729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PGDAS-D</w:t>
      </w:r>
    </w:p>
    <w:p w14:paraId="12C7EF02" w14:textId="77777777" w:rsidR="00A72973" w:rsidRPr="00A72973" w:rsidRDefault="00A72973" w:rsidP="00A729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EFD-</w:t>
      </w:r>
      <w:proofErr w:type="spellStart"/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Reinf</w:t>
      </w:r>
      <w:proofErr w:type="spellEnd"/>
    </w:p>
    <w:p w14:paraId="1B28D108" w14:textId="77777777" w:rsidR="00A72973" w:rsidRPr="00A72973" w:rsidRDefault="00A72973" w:rsidP="00A729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DCTFWeb</w:t>
      </w:r>
      <w:proofErr w:type="spellEnd"/>
    </w:p>
    <w:p w14:paraId="07E7E751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obrigações entregues ao fisco.</w:t>
      </w:r>
    </w:p>
    <w:p w14:paraId="66A1C5DF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A067458">
          <v:rect id="_x0000_i1051" style="width:0;height:1.5pt" o:hralign="center" o:hrstd="t" o:hr="t" fillcolor="#a0a0a0" stroked="f"/>
        </w:pict>
      </w:r>
    </w:p>
    <w:p w14:paraId="6730E5BC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15 – Conferência do retorno das transmissões</w:t>
      </w:r>
    </w:p>
    <w:p w14:paraId="59EA4273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a transmissão, o fiscal deve verificar:</w:t>
      </w:r>
    </w:p>
    <w:p w14:paraId="0B0417DD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• recibo de entrega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advertências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erros de validação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rejeições</w:t>
      </w:r>
    </w:p>
    <w:p w14:paraId="371423D8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Se houver erros:</w:t>
      </w:r>
    </w:p>
    <w:p w14:paraId="1AAFF5E7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• corrigir inconsistências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retransmitir obrigação</w:t>
      </w:r>
    </w:p>
    <w:p w14:paraId="6B796FFD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obrigações aceitas.</w:t>
      </w:r>
    </w:p>
    <w:p w14:paraId="2CCA2B48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4AA3B12">
          <v:rect id="_x0000_i1052" style="width:0;height:1.5pt" o:hralign="center" o:hrstd="t" o:hr="t" fillcolor="#a0a0a0" stroked="f"/>
        </w:pict>
      </w:r>
    </w:p>
    <w:p w14:paraId="62EB320F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16 – Emissão das guias de recolhimento</w:t>
      </w:r>
    </w:p>
    <w:p w14:paraId="73EC5F89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validação das declarações, devem ser emitidas as guias de pagamento.</w:t>
      </w:r>
    </w:p>
    <w:p w14:paraId="4E19EECC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Exemplos:</w:t>
      </w:r>
    </w:p>
    <w:p w14:paraId="53EAF4D4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• DAS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DARF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GNRE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ISS municipal</w:t>
      </w:r>
    </w:p>
    <w:p w14:paraId="77BF585B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Resultado esperado: guias emitidas corretamente.</w:t>
      </w:r>
    </w:p>
    <w:p w14:paraId="02AD981E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1A8F8FB">
          <v:rect id="_x0000_i1053" style="width:0;height:1.5pt" o:hralign="center" o:hrstd="t" o:hr="t" fillcolor="#a0a0a0" stroked="f"/>
        </w:pict>
      </w:r>
    </w:p>
    <w:p w14:paraId="58B17084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17 – Envio das guias ao cliente</w:t>
      </w:r>
    </w:p>
    <w:p w14:paraId="2A366BF2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O cliente deve receber:</w:t>
      </w:r>
    </w:p>
    <w:p w14:paraId="04D7F44A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• guias de pagamento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orientações de vencimento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eventuais alertas fiscais</w:t>
      </w:r>
    </w:p>
    <w:p w14:paraId="6BC37866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cliente informado sobre obrigações financeiras.</w:t>
      </w:r>
    </w:p>
    <w:p w14:paraId="44EEBFC4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A648E0C">
          <v:rect id="_x0000_i1054" style="width:0;height:1.5pt" o:hralign="center" o:hrstd="t" o:hr="t" fillcolor="#a0a0a0" stroked="f"/>
        </w:pict>
      </w:r>
    </w:p>
    <w:p w14:paraId="163F8C76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18 – Arquivamento de protocolos e evidências</w:t>
      </w:r>
    </w:p>
    <w:p w14:paraId="1EFC3E92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arquivados:</w:t>
      </w:r>
    </w:p>
    <w:p w14:paraId="4DF92741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• recibos de transmissão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comprovantes de entrega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guias emitidas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relatórios fiscais</w:t>
      </w:r>
    </w:p>
    <w:p w14:paraId="6A63B5A3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Essas evidências são necessárias para fiscalização e auditoria.</w:t>
      </w:r>
    </w:p>
    <w:p w14:paraId="0E3C23EE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documentação fiscal armazenada com segurança.</w:t>
      </w:r>
    </w:p>
    <w:p w14:paraId="343B22A6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EAA4C88">
          <v:rect id="_x0000_i1055" style="width:0;height:1.5pt" o:hralign="center" o:hrstd="t" o:hr="t" fillcolor="#a0a0a0" stroked="f"/>
        </w:pict>
      </w:r>
    </w:p>
    <w:p w14:paraId="5BAD1531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6. Pontos de controle</w:t>
      </w:r>
    </w:p>
    <w:p w14:paraId="1A12DF4E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Para garantir a segurança do processo, devem existir os seguintes controles:</w:t>
      </w:r>
    </w:p>
    <w:p w14:paraId="610D7964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• nenhum cliente pode ser apurado sem documentação mínima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nenhuma obrigação pode ser transmitida sem validação da apuração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toda transmissão deve possuir recibo arquivado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todo cliente deve possuir controle de prazos fiscais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todas as guias devem ser conferidas antes do envio</w:t>
      </w:r>
    </w:p>
    <w:p w14:paraId="5CF6EB29" w14:textId="77777777" w:rsidR="00A72973" w:rsidRPr="00A72973" w:rsidRDefault="00000000" w:rsidP="00A7297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646E602">
          <v:rect id="_x0000_i1056" style="width:0;height:1.5pt" o:hralign="center" o:hrstd="t" o:hr="t" fillcolor="#a0a0a0" stroked="f"/>
        </w:pict>
      </w:r>
    </w:p>
    <w:p w14:paraId="07A86B13" w14:textId="77777777" w:rsidR="00A72973" w:rsidRPr="00A72973" w:rsidRDefault="00A72973" w:rsidP="00A729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7. Riscos do processo</w:t>
      </w:r>
    </w:p>
    <w:p w14:paraId="63206FF2" w14:textId="77777777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Se este procedimento não for seguido, os principais riscos são:</w:t>
      </w:r>
    </w:p>
    <w:p w14:paraId="5C63256A" w14:textId="482B8FAF" w:rsidR="006E7F35" w:rsidRPr="001D0DF8" w:rsidRDefault="00A72973" w:rsidP="001D0DF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t>• apuração incorreta de tributos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entrega de obrigações com inconsistência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• multas por atraso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divergências em cruzamentos fiscais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recolhimento incorreto de impostos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perda de evidências de transmissão</w:t>
      </w:r>
      <w:r w:rsidRPr="00A72973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retrabalho operacional</w:t>
      </w:r>
    </w:p>
    <w:p w14:paraId="3F8B2EE7" w14:textId="77777777" w:rsidR="004D02BF" w:rsidRPr="004D02BF" w:rsidRDefault="004D02BF">
      <w:pPr>
        <w:rPr>
          <w:sz w:val="32"/>
          <w:szCs w:val="36"/>
        </w:rPr>
      </w:pPr>
    </w:p>
    <w:sectPr w:rsidR="004D02BF" w:rsidRPr="004D02BF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D240B" w14:textId="77777777" w:rsidR="00917058" w:rsidRPr="00080249" w:rsidRDefault="00917058">
      <w:pPr>
        <w:spacing w:after="0" w:line="240" w:lineRule="auto"/>
      </w:pPr>
      <w:r w:rsidRPr="00080249">
        <w:separator/>
      </w:r>
    </w:p>
  </w:endnote>
  <w:endnote w:type="continuationSeparator" w:id="0">
    <w:p w14:paraId="433A129F" w14:textId="77777777" w:rsidR="00917058" w:rsidRPr="00080249" w:rsidRDefault="00917058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22D30" w14:textId="77777777" w:rsidR="00917058" w:rsidRPr="00080249" w:rsidRDefault="00917058">
      <w:pPr>
        <w:spacing w:after="0" w:line="240" w:lineRule="auto"/>
      </w:pPr>
      <w:r w:rsidRPr="00080249">
        <w:separator/>
      </w:r>
    </w:p>
  </w:footnote>
  <w:footnote w:type="continuationSeparator" w:id="0">
    <w:p w14:paraId="3AEE7570" w14:textId="77777777" w:rsidR="00917058" w:rsidRPr="00080249" w:rsidRDefault="00917058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D7F0F"/>
    <w:multiLevelType w:val="multilevel"/>
    <w:tmpl w:val="831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9A7BC3"/>
    <w:multiLevelType w:val="multilevel"/>
    <w:tmpl w:val="801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CA13E4"/>
    <w:multiLevelType w:val="multilevel"/>
    <w:tmpl w:val="9A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E442B"/>
    <w:multiLevelType w:val="multilevel"/>
    <w:tmpl w:val="B43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5878AB"/>
    <w:multiLevelType w:val="multilevel"/>
    <w:tmpl w:val="1A28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69207B"/>
    <w:multiLevelType w:val="multilevel"/>
    <w:tmpl w:val="A54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D1BDB"/>
    <w:multiLevelType w:val="multilevel"/>
    <w:tmpl w:val="B294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FD04B4"/>
    <w:multiLevelType w:val="hybridMultilevel"/>
    <w:tmpl w:val="263E7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90624B"/>
    <w:multiLevelType w:val="multilevel"/>
    <w:tmpl w:val="340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AF4254"/>
    <w:multiLevelType w:val="multilevel"/>
    <w:tmpl w:val="BD3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3A617E"/>
    <w:multiLevelType w:val="multilevel"/>
    <w:tmpl w:val="D9F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BB1C9C"/>
    <w:multiLevelType w:val="multilevel"/>
    <w:tmpl w:val="ABF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4E12E5"/>
    <w:multiLevelType w:val="multilevel"/>
    <w:tmpl w:val="3EB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F06B99"/>
    <w:multiLevelType w:val="multilevel"/>
    <w:tmpl w:val="18C6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9D3574"/>
    <w:multiLevelType w:val="multilevel"/>
    <w:tmpl w:val="C1B4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C037BB"/>
    <w:multiLevelType w:val="multilevel"/>
    <w:tmpl w:val="62F6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A22C3A"/>
    <w:multiLevelType w:val="multilevel"/>
    <w:tmpl w:val="AFAC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EB1FC0"/>
    <w:multiLevelType w:val="multilevel"/>
    <w:tmpl w:val="A12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242901"/>
    <w:multiLevelType w:val="multilevel"/>
    <w:tmpl w:val="6A1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C52621"/>
    <w:multiLevelType w:val="multilevel"/>
    <w:tmpl w:val="EE26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9767A9"/>
    <w:multiLevelType w:val="multilevel"/>
    <w:tmpl w:val="FCC8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B9503C"/>
    <w:multiLevelType w:val="multilevel"/>
    <w:tmpl w:val="CA4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2D357A"/>
    <w:multiLevelType w:val="multilevel"/>
    <w:tmpl w:val="87B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131FCB"/>
    <w:multiLevelType w:val="multilevel"/>
    <w:tmpl w:val="E34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ED39C2"/>
    <w:multiLevelType w:val="multilevel"/>
    <w:tmpl w:val="EA7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D63AC5"/>
    <w:multiLevelType w:val="multilevel"/>
    <w:tmpl w:val="ABC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0F40B0"/>
    <w:multiLevelType w:val="multilevel"/>
    <w:tmpl w:val="AE7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535DB5"/>
    <w:multiLevelType w:val="multilevel"/>
    <w:tmpl w:val="48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ED1B4A"/>
    <w:multiLevelType w:val="multilevel"/>
    <w:tmpl w:val="328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4568EB"/>
    <w:multiLevelType w:val="multilevel"/>
    <w:tmpl w:val="834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711D6B"/>
    <w:multiLevelType w:val="multilevel"/>
    <w:tmpl w:val="817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9149C2"/>
    <w:multiLevelType w:val="multilevel"/>
    <w:tmpl w:val="A59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0C4AD6"/>
    <w:multiLevelType w:val="multilevel"/>
    <w:tmpl w:val="8C88D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F1193D"/>
    <w:multiLevelType w:val="multilevel"/>
    <w:tmpl w:val="F9A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F4723A"/>
    <w:multiLevelType w:val="multilevel"/>
    <w:tmpl w:val="E4B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F30C20"/>
    <w:multiLevelType w:val="multilevel"/>
    <w:tmpl w:val="C656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DC0030"/>
    <w:multiLevelType w:val="multilevel"/>
    <w:tmpl w:val="D964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A87D6D"/>
    <w:multiLevelType w:val="multilevel"/>
    <w:tmpl w:val="0A2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106E0C"/>
    <w:multiLevelType w:val="multilevel"/>
    <w:tmpl w:val="07F8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5713E4"/>
    <w:multiLevelType w:val="multilevel"/>
    <w:tmpl w:val="AD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2C6DD9"/>
    <w:multiLevelType w:val="multilevel"/>
    <w:tmpl w:val="D0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DA0B5B"/>
    <w:multiLevelType w:val="multilevel"/>
    <w:tmpl w:val="A5B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DC556C"/>
    <w:multiLevelType w:val="multilevel"/>
    <w:tmpl w:val="A722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E90162"/>
    <w:multiLevelType w:val="multilevel"/>
    <w:tmpl w:val="7306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6507DA"/>
    <w:multiLevelType w:val="multilevel"/>
    <w:tmpl w:val="DB5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9F3D0D"/>
    <w:multiLevelType w:val="multilevel"/>
    <w:tmpl w:val="B244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054082"/>
    <w:multiLevelType w:val="multilevel"/>
    <w:tmpl w:val="F8D8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595477"/>
    <w:multiLevelType w:val="multilevel"/>
    <w:tmpl w:val="57B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F0662A"/>
    <w:multiLevelType w:val="multilevel"/>
    <w:tmpl w:val="2F72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AE2002"/>
    <w:multiLevelType w:val="multilevel"/>
    <w:tmpl w:val="6916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1A3288"/>
    <w:multiLevelType w:val="multilevel"/>
    <w:tmpl w:val="785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A86C76"/>
    <w:multiLevelType w:val="multilevel"/>
    <w:tmpl w:val="96A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BC4ED1"/>
    <w:multiLevelType w:val="hybridMultilevel"/>
    <w:tmpl w:val="E55A3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67D4570"/>
    <w:multiLevelType w:val="multilevel"/>
    <w:tmpl w:val="172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801580D"/>
    <w:multiLevelType w:val="multilevel"/>
    <w:tmpl w:val="72F0C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8241493"/>
    <w:multiLevelType w:val="multilevel"/>
    <w:tmpl w:val="F2D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AD1C07"/>
    <w:multiLevelType w:val="multilevel"/>
    <w:tmpl w:val="D66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7F401D"/>
    <w:multiLevelType w:val="multilevel"/>
    <w:tmpl w:val="A3C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7D55D4"/>
    <w:multiLevelType w:val="multilevel"/>
    <w:tmpl w:val="CEF8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9859B8"/>
    <w:multiLevelType w:val="multilevel"/>
    <w:tmpl w:val="5F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9E1839"/>
    <w:multiLevelType w:val="multilevel"/>
    <w:tmpl w:val="E0EC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4B127C1"/>
    <w:multiLevelType w:val="hybridMultilevel"/>
    <w:tmpl w:val="85EC5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C1F3A30"/>
    <w:multiLevelType w:val="multilevel"/>
    <w:tmpl w:val="148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2F0F76"/>
    <w:multiLevelType w:val="multilevel"/>
    <w:tmpl w:val="988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4E0556"/>
    <w:multiLevelType w:val="multilevel"/>
    <w:tmpl w:val="A2C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A82568"/>
    <w:multiLevelType w:val="multilevel"/>
    <w:tmpl w:val="950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307176"/>
    <w:multiLevelType w:val="multilevel"/>
    <w:tmpl w:val="28FA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B565BD"/>
    <w:multiLevelType w:val="multilevel"/>
    <w:tmpl w:val="A71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9204FC"/>
    <w:multiLevelType w:val="multilevel"/>
    <w:tmpl w:val="DC8E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B613C4"/>
    <w:multiLevelType w:val="multilevel"/>
    <w:tmpl w:val="0C7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C92B34"/>
    <w:multiLevelType w:val="multilevel"/>
    <w:tmpl w:val="5D2E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AD6F2F"/>
    <w:multiLevelType w:val="multilevel"/>
    <w:tmpl w:val="66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D13936"/>
    <w:multiLevelType w:val="multilevel"/>
    <w:tmpl w:val="137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DC5A6B"/>
    <w:multiLevelType w:val="multilevel"/>
    <w:tmpl w:val="11D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BC6CA9"/>
    <w:multiLevelType w:val="multilevel"/>
    <w:tmpl w:val="BD6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FE56EF"/>
    <w:multiLevelType w:val="multilevel"/>
    <w:tmpl w:val="A3D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170DFC"/>
    <w:multiLevelType w:val="multilevel"/>
    <w:tmpl w:val="635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BB0E1E"/>
    <w:multiLevelType w:val="multilevel"/>
    <w:tmpl w:val="A1D0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4402">
    <w:abstractNumId w:val="8"/>
  </w:num>
  <w:num w:numId="2" w16cid:durableId="855264241">
    <w:abstractNumId w:val="6"/>
  </w:num>
  <w:num w:numId="3" w16cid:durableId="2116707329">
    <w:abstractNumId w:val="5"/>
  </w:num>
  <w:num w:numId="4" w16cid:durableId="1983388218">
    <w:abstractNumId w:val="4"/>
  </w:num>
  <w:num w:numId="5" w16cid:durableId="1461995061">
    <w:abstractNumId w:val="7"/>
  </w:num>
  <w:num w:numId="6" w16cid:durableId="112022351">
    <w:abstractNumId w:val="3"/>
  </w:num>
  <w:num w:numId="7" w16cid:durableId="912930695">
    <w:abstractNumId w:val="2"/>
  </w:num>
  <w:num w:numId="8" w16cid:durableId="97680806">
    <w:abstractNumId w:val="1"/>
  </w:num>
  <w:num w:numId="9" w16cid:durableId="25911837">
    <w:abstractNumId w:val="0"/>
  </w:num>
  <w:num w:numId="10" w16cid:durableId="494338720">
    <w:abstractNumId w:val="70"/>
  </w:num>
  <w:num w:numId="11" w16cid:durableId="1072965673">
    <w:abstractNumId w:val="61"/>
  </w:num>
  <w:num w:numId="12" w16cid:durableId="2074889010">
    <w:abstractNumId w:val="16"/>
  </w:num>
  <w:num w:numId="13" w16cid:durableId="190798653">
    <w:abstractNumId w:val="83"/>
  </w:num>
  <w:num w:numId="14" w16cid:durableId="1204175972">
    <w:abstractNumId w:val="10"/>
  </w:num>
  <w:num w:numId="15" w16cid:durableId="2109152017">
    <w:abstractNumId w:val="12"/>
  </w:num>
  <w:num w:numId="16" w16cid:durableId="1540892061">
    <w:abstractNumId w:val="18"/>
  </w:num>
  <w:num w:numId="17" w16cid:durableId="1825390845">
    <w:abstractNumId w:val="50"/>
  </w:num>
  <w:num w:numId="18" w16cid:durableId="595290731">
    <w:abstractNumId w:val="66"/>
  </w:num>
  <w:num w:numId="19" w16cid:durableId="921332030">
    <w:abstractNumId w:val="65"/>
  </w:num>
  <w:num w:numId="20" w16cid:durableId="1574313409">
    <w:abstractNumId w:val="39"/>
  </w:num>
  <w:num w:numId="21" w16cid:durableId="317417665">
    <w:abstractNumId w:val="40"/>
  </w:num>
  <w:num w:numId="22" w16cid:durableId="2056074400">
    <w:abstractNumId w:val="85"/>
  </w:num>
  <w:num w:numId="23" w16cid:durableId="1932010347">
    <w:abstractNumId w:val="19"/>
  </w:num>
  <w:num w:numId="24" w16cid:durableId="307978665">
    <w:abstractNumId w:val="72"/>
  </w:num>
  <w:num w:numId="25" w16cid:durableId="899288225">
    <w:abstractNumId w:val="64"/>
  </w:num>
  <w:num w:numId="26" w16cid:durableId="392313852">
    <w:abstractNumId w:val="48"/>
  </w:num>
  <w:num w:numId="27" w16cid:durableId="375006503">
    <w:abstractNumId w:val="69"/>
  </w:num>
  <w:num w:numId="28" w16cid:durableId="1335568090">
    <w:abstractNumId w:val="11"/>
  </w:num>
  <w:num w:numId="29" w16cid:durableId="2023244690">
    <w:abstractNumId w:val="43"/>
  </w:num>
  <w:num w:numId="30" w16cid:durableId="2061974223">
    <w:abstractNumId w:val="82"/>
  </w:num>
  <w:num w:numId="31" w16cid:durableId="1809515208">
    <w:abstractNumId w:val="59"/>
  </w:num>
  <w:num w:numId="32" w16cid:durableId="2076664990">
    <w:abstractNumId w:val="73"/>
  </w:num>
  <w:num w:numId="33" w16cid:durableId="840856661">
    <w:abstractNumId w:val="60"/>
  </w:num>
  <w:num w:numId="34" w16cid:durableId="1141771918">
    <w:abstractNumId w:val="42"/>
  </w:num>
  <w:num w:numId="35" w16cid:durableId="600452550">
    <w:abstractNumId w:val="14"/>
  </w:num>
  <w:num w:numId="36" w16cid:durableId="1325863085">
    <w:abstractNumId w:val="49"/>
  </w:num>
  <w:num w:numId="37" w16cid:durableId="1206602450">
    <w:abstractNumId w:val="84"/>
  </w:num>
  <w:num w:numId="38" w16cid:durableId="629095886">
    <w:abstractNumId w:val="21"/>
  </w:num>
  <w:num w:numId="39" w16cid:durableId="239606005">
    <w:abstractNumId w:val="46"/>
  </w:num>
  <w:num w:numId="40" w16cid:durableId="1946451731">
    <w:abstractNumId w:val="27"/>
  </w:num>
  <w:num w:numId="41" w16cid:durableId="462502394">
    <w:abstractNumId w:val="62"/>
  </w:num>
  <w:num w:numId="42" w16cid:durableId="1121075775">
    <w:abstractNumId w:val="32"/>
  </w:num>
  <w:num w:numId="43" w16cid:durableId="1334918709">
    <w:abstractNumId w:val="9"/>
  </w:num>
  <w:num w:numId="44" w16cid:durableId="788008296">
    <w:abstractNumId w:val="36"/>
  </w:num>
  <w:num w:numId="45" w16cid:durableId="533810146">
    <w:abstractNumId w:val="78"/>
  </w:num>
  <w:num w:numId="46" w16cid:durableId="1310869249">
    <w:abstractNumId w:val="80"/>
  </w:num>
  <w:num w:numId="47" w16cid:durableId="555580158">
    <w:abstractNumId w:val="37"/>
  </w:num>
  <w:num w:numId="48" w16cid:durableId="1444036729">
    <w:abstractNumId w:val="30"/>
  </w:num>
  <w:num w:numId="49" w16cid:durableId="2140758631">
    <w:abstractNumId w:val="20"/>
  </w:num>
  <w:num w:numId="50" w16cid:durableId="34236075">
    <w:abstractNumId w:val="56"/>
  </w:num>
  <w:num w:numId="51" w16cid:durableId="734011037">
    <w:abstractNumId w:val="81"/>
  </w:num>
  <w:num w:numId="52" w16cid:durableId="1860780404">
    <w:abstractNumId w:val="34"/>
  </w:num>
  <w:num w:numId="53" w16cid:durableId="380515453">
    <w:abstractNumId w:val="38"/>
  </w:num>
  <w:num w:numId="54" w16cid:durableId="1125074592">
    <w:abstractNumId w:val="68"/>
  </w:num>
  <w:num w:numId="55" w16cid:durableId="1457136264">
    <w:abstractNumId w:val="24"/>
  </w:num>
  <w:num w:numId="56" w16cid:durableId="842016634">
    <w:abstractNumId w:val="76"/>
  </w:num>
  <w:num w:numId="57" w16cid:durableId="321007183">
    <w:abstractNumId w:val="44"/>
  </w:num>
  <w:num w:numId="58" w16cid:durableId="415906876">
    <w:abstractNumId w:val="45"/>
  </w:num>
  <w:num w:numId="59" w16cid:durableId="1318220375">
    <w:abstractNumId w:val="13"/>
  </w:num>
  <w:num w:numId="60" w16cid:durableId="677006411">
    <w:abstractNumId w:val="57"/>
  </w:num>
  <w:num w:numId="61" w16cid:durableId="1922793194">
    <w:abstractNumId w:val="35"/>
  </w:num>
  <w:num w:numId="62" w16cid:durableId="552080222">
    <w:abstractNumId w:val="31"/>
  </w:num>
  <w:num w:numId="63" w16cid:durableId="1413889492">
    <w:abstractNumId w:val="25"/>
  </w:num>
  <w:num w:numId="64" w16cid:durableId="1648899359">
    <w:abstractNumId w:val="28"/>
  </w:num>
  <w:num w:numId="65" w16cid:durableId="1457480128">
    <w:abstractNumId w:val="22"/>
  </w:num>
  <w:num w:numId="66" w16cid:durableId="1383019301">
    <w:abstractNumId w:val="53"/>
  </w:num>
  <w:num w:numId="67" w16cid:durableId="1482767949">
    <w:abstractNumId w:val="54"/>
  </w:num>
  <w:num w:numId="68" w16cid:durableId="1199515962">
    <w:abstractNumId w:val="51"/>
  </w:num>
  <w:num w:numId="69" w16cid:durableId="828137147">
    <w:abstractNumId w:val="52"/>
  </w:num>
  <w:num w:numId="70" w16cid:durableId="354769221">
    <w:abstractNumId w:val="77"/>
  </w:num>
  <w:num w:numId="71" w16cid:durableId="1159007144">
    <w:abstractNumId w:val="79"/>
  </w:num>
  <w:num w:numId="72" w16cid:durableId="1938175364">
    <w:abstractNumId w:val="63"/>
  </w:num>
  <w:num w:numId="73" w16cid:durableId="964771662">
    <w:abstractNumId w:val="47"/>
  </w:num>
  <w:num w:numId="74" w16cid:durableId="1762601138">
    <w:abstractNumId w:val="55"/>
  </w:num>
  <w:num w:numId="75" w16cid:durableId="951983266">
    <w:abstractNumId w:val="71"/>
  </w:num>
  <w:num w:numId="76" w16cid:durableId="1777020591">
    <w:abstractNumId w:val="29"/>
  </w:num>
  <w:num w:numId="77" w16cid:durableId="1922176290">
    <w:abstractNumId w:val="23"/>
  </w:num>
  <w:num w:numId="78" w16cid:durableId="1231965791">
    <w:abstractNumId w:val="67"/>
  </w:num>
  <w:num w:numId="79" w16cid:durableId="1284776043">
    <w:abstractNumId w:val="58"/>
  </w:num>
  <w:num w:numId="80" w16cid:durableId="1028486962">
    <w:abstractNumId w:val="75"/>
  </w:num>
  <w:num w:numId="81" w16cid:durableId="628586517">
    <w:abstractNumId w:val="17"/>
  </w:num>
  <w:num w:numId="82" w16cid:durableId="2039502644">
    <w:abstractNumId w:val="15"/>
  </w:num>
  <w:num w:numId="83" w16cid:durableId="295184602">
    <w:abstractNumId w:val="33"/>
  </w:num>
  <w:num w:numId="84" w16cid:durableId="811948358">
    <w:abstractNumId w:val="74"/>
  </w:num>
  <w:num w:numId="85" w16cid:durableId="598879941">
    <w:abstractNumId w:val="26"/>
  </w:num>
  <w:num w:numId="86" w16cid:durableId="1566912602">
    <w:abstractNumId w:val="86"/>
  </w:num>
  <w:num w:numId="87" w16cid:durableId="177478226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42"/>
    <w:rsid w:val="00034616"/>
    <w:rsid w:val="000560F2"/>
    <w:rsid w:val="0006063C"/>
    <w:rsid w:val="00080249"/>
    <w:rsid w:val="0009570C"/>
    <w:rsid w:val="000B514C"/>
    <w:rsid w:val="0015074B"/>
    <w:rsid w:val="00155574"/>
    <w:rsid w:val="001D058E"/>
    <w:rsid w:val="001D0DF8"/>
    <w:rsid w:val="00202832"/>
    <w:rsid w:val="00231AE3"/>
    <w:rsid w:val="0029639D"/>
    <w:rsid w:val="00326F90"/>
    <w:rsid w:val="00351785"/>
    <w:rsid w:val="00354DB2"/>
    <w:rsid w:val="003E4D6B"/>
    <w:rsid w:val="004D02BF"/>
    <w:rsid w:val="00623773"/>
    <w:rsid w:val="006E7F35"/>
    <w:rsid w:val="006F727A"/>
    <w:rsid w:val="00721558"/>
    <w:rsid w:val="007D5EB3"/>
    <w:rsid w:val="008B2A1D"/>
    <w:rsid w:val="008D1287"/>
    <w:rsid w:val="00917058"/>
    <w:rsid w:val="009B1865"/>
    <w:rsid w:val="00A72973"/>
    <w:rsid w:val="00AA1D8D"/>
    <w:rsid w:val="00B47730"/>
    <w:rsid w:val="00C01042"/>
    <w:rsid w:val="00CB0664"/>
    <w:rsid w:val="00CC2500"/>
    <w:rsid w:val="00DB0F67"/>
    <w:rsid w:val="00DE5281"/>
    <w:rsid w:val="00E40426"/>
    <w:rsid w:val="00E50463"/>
    <w:rsid w:val="00FC693F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1300</Words>
  <Characters>7021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3</cp:revision>
  <dcterms:created xsi:type="dcterms:W3CDTF">2026-03-13T13:09:00Z</dcterms:created>
  <dcterms:modified xsi:type="dcterms:W3CDTF">2026-03-17T11:34:00Z</dcterms:modified>
  <cp:category/>
</cp:coreProperties>
</file>