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both"/>
        <w:rPr>
          <w:rFonts w:ascii="Open Sans" w:cs="Open Sans" w:eastAsia="Open Sans" w:hAnsi="Open Sans"/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676525" cy="18288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200" w:line="240" w:lineRule="auto"/>
        <w:jc w:val="both"/>
        <w:rPr>
          <w:rFonts w:ascii="Open Sans" w:cs="Open Sans" w:eastAsia="Open Sans" w:hAnsi="Open Sans"/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40" w:lineRule="auto"/>
        <w:jc w:val="both"/>
        <w:rPr>
          <w:rFonts w:ascii="Open Sans" w:cs="Open Sans" w:eastAsia="Open Sans" w:hAnsi="Open Sans"/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40" w:lineRule="auto"/>
        <w:jc w:val="both"/>
        <w:rPr>
          <w:rFonts w:ascii="Open Sans" w:cs="Open Sans" w:eastAsia="Open Sans" w:hAnsi="Open Sans"/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both"/>
        <w:rPr>
          <w:rFonts w:ascii="Open Sans" w:cs="Open Sans" w:eastAsia="Open Sans" w:hAnsi="Open Sans"/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spacing w:after="200" w:line="240" w:lineRule="auto"/>
        <w:ind w:right="-6.259842519683616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lm8ihspkfbyw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2"/>
          <w:szCs w:val="32"/>
          <w:rtl w:val="0"/>
        </w:rPr>
        <w:t xml:space="preserve">Programação Orientada a Objetos</w:t>
      </w:r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-68198</wp:posOffset>
            </wp:positionV>
            <wp:extent cx="7882283" cy="106356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2181" l="0" r="0" t="505"/>
                    <a:stretch>
                      <a:fillRect/>
                    </a:stretch>
                  </pic:blipFill>
                  <pic:spPr>
                    <a:xfrm>
                      <a:off x="0" y="0"/>
                      <a:ext cx="7882283" cy="1063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spacing w:after="200" w:line="360" w:lineRule="auto"/>
        <w:ind w:right="-6.259842519683616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oj07mqwyo53d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Faça o diagrama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UML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programe em 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(implementando os padrões necessários) a seguinte instrução: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4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pageBreakBefore w:val="0"/>
        <w:spacing w:after="200" w:line="331.20000000000005" w:lineRule="auto"/>
        <w:ind w:right="-6.259842519683616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edk4z8gaclld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Desafio II</w:t>
      </w:r>
    </w:p>
    <w:p w:rsidR="00000000" w:rsidDel="00000000" w:rsidP="00000000" w:rsidRDefault="00000000" w:rsidRPr="00000000" w14:paraId="0000000B">
      <w:pPr>
        <w:pageBreakBefore w:val="0"/>
        <w:spacing w:after="200" w:line="331.20000000000005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Modelar e desenvolver as mudanças necessárias para incorporar a possibilidade de adicionar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workshops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carreiras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ao problema modelado no desafio I.</w:t>
      </w:r>
    </w:p>
    <w:p w:rsidR="00000000" w:rsidDel="00000000" w:rsidP="00000000" w:rsidRDefault="00000000" w:rsidRPr="00000000" w14:paraId="0000000C">
      <w:pPr>
        <w:pageBreakBefore w:val="0"/>
        <w:spacing w:after="200" w:line="331.20000000000005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Os workshops e carreiras têm as mesmas características de qualquer oferta académica. O preço dos workshops depende da quantidade de trabalho prático durante o curso, cujo valor de cada trabalho prático depende de cada workshop em particular.</w:t>
      </w:r>
    </w:p>
    <w:p w:rsidR="00000000" w:rsidDel="00000000" w:rsidP="00000000" w:rsidRDefault="00000000" w:rsidRPr="00000000" w14:paraId="0000000D">
      <w:pPr>
        <w:pageBreakBefore w:val="0"/>
        <w:spacing w:after="200" w:line="331.20000000000005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Por outro lado, o preço de uma carreira é composto por um valor básico + a soma do preço de todos os cursos e workshops. Os cursos que se incorporam a uma carreira não podem ter carga horária inferior a 10h, devendo ser lançada uma exceção no caso de querer incorporar uma curso inferior a 10h.</w:t>
      </w:r>
    </w:p>
    <w:p w:rsidR="00000000" w:rsidDel="00000000" w:rsidP="00000000" w:rsidRDefault="00000000" w:rsidRPr="00000000" w14:paraId="0000000E">
      <w:pPr>
        <w:pageBreakBefore w:val="0"/>
        <w:spacing w:after="200" w:line="331.20000000000005" w:lineRule="auto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pageBreakBefore w:val="0"/>
        <w:spacing w:after="200" w:line="360" w:lineRule="auto"/>
        <w:ind w:right="-6.259842519683616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b9kqtl19hobc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Vamos praticar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360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