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5663" w14:textId="70283181" w:rsidR="001549CE" w:rsidRPr="001549CE" w:rsidRDefault="001549CE" w:rsidP="001549CE">
      <w:pPr>
        <w:rPr>
          <w:sz w:val="20"/>
          <w:szCs w:val="20"/>
        </w:rPr>
      </w:pPr>
      <w:r w:rsidRPr="001549CE">
        <w:rPr>
          <w:sz w:val="20"/>
          <w:szCs w:val="20"/>
        </w:rPr>
        <w:t xml:space="preserve">O artigo “Software </w:t>
      </w:r>
      <w:proofErr w:type="spellStart"/>
      <w:r w:rsidRPr="001549CE">
        <w:rPr>
          <w:sz w:val="20"/>
          <w:szCs w:val="20"/>
        </w:rPr>
        <w:t>Architecture</w:t>
      </w:r>
      <w:proofErr w:type="spellEnd"/>
      <w:r w:rsidRPr="001549CE">
        <w:rPr>
          <w:sz w:val="20"/>
          <w:szCs w:val="20"/>
        </w:rPr>
        <w:t xml:space="preserve">: A </w:t>
      </w:r>
      <w:proofErr w:type="spellStart"/>
      <w:r w:rsidRPr="001549CE">
        <w:rPr>
          <w:sz w:val="20"/>
          <w:szCs w:val="20"/>
        </w:rPr>
        <w:t>Roadmap</w:t>
      </w:r>
      <w:proofErr w:type="spellEnd"/>
      <w:r w:rsidRPr="001549CE">
        <w:rPr>
          <w:sz w:val="20"/>
          <w:szCs w:val="20"/>
        </w:rPr>
        <w:t xml:space="preserve">”, de David </w:t>
      </w:r>
      <w:proofErr w:type="spellStart"/>
      <w:r w:rsidRPr="001549CE">
        <w:rPr>
          <w:sz w:val="20"/>
          <w:szCs w:val="20"/>
        </w:rPr>
        <w:t>Garlan</w:t>
      </w:r>
      <w:proofErr w:type="spellEnd"/>
      <w:r w:rsidRPr="001549CE">
        <w:rPr>
          <w:sz w:val="20"/>
          <w:szCs w:val="20"/>
        </w:rPr>
        <w:t>, apresenta uma reflexão abrangente sobre a evolução, o estado atual e os desafios futuros da arquitetura de software. O autor destaca que, ao longo da última década, a disciplina passou de uma prática pouco estruturada para uma área reconhecida dentro da engenharia de software, com métodos, ferramentas e padrões próprios. A arquitetura de software é descrita como elemento central para garantir que sistemas atendam a requisitos críticos, como desempenho, confiabilidade, escalabilidade e interoperabilidade. Um projeto bem arquitetado contribui para a compreensão do sistema, favorece a reutilização de componentes, orienta a construção, facilita a evolução, possibilita análises de qualidade e se torna marco de gestão no desenvolvimento de grandes projetos.</w:t>
      </w:r>
    </w:p>
    <w:p w14:paraId="41868BB6" w14:textId="77777777" w:rsidR="001549CE" w:rsidRPr="001549CE" w:rsidRDefault="001549CE" w:rsidP="001549CE">
      <w:pPr>
        <w:rPr>
          <w:sz w:val="20"/>
          <w:szCs w:val="20"/>
        </w:rPr>
      </w:pPr>
      <w:r w:rsidRPr="001549CE">
        <w:rPr>
          <w:sz w:val="20"/>
          <w:szCs w:val="20"/>
        </w:rPr>
        <w:t>O texto relembra que, no passado, as decisões arquiteturais eram tomadas de forma ad hoc, baseadas em experiências individuais e sem metodologias formais. Diagramas e descrições eram frequentemente informais, o que dificultava a análise, a transmissão de conhecimento e a verificação de conformidade entre projeto e implementação. Contudo, a crescente consciência da importância da arquitetura motivou o surgimento de princípios, vocabulário comum e padrões que hoje fundamentam a área. A década anterior ao artigo foi marcada pelo surgimento de linguagens de descrição de arquitetura (</w:t>
      </w:r>
      <w:proofErr w:type="spellStart"/>
      <w:r w:rsidRPr="001549CE">
        <w:rPr>
          <w:sz w:val="20"/>
          <w:szCs w:val="20"/>
        </w:rPr>
        <w:t>ADLs</w:t>
      </w:r>
      <w:proofErr w:type="spellEnd"/>
      <w:r w:rsidRPr="001549CE">
        <w:rPr>
          <w:sz w:val="20"/>
          <w:szCs w:val="20"/>
        </w:rPr>
        <w:t xml:space="preserve">), como Wright, </w:t>
      </w:r>
      <w:proofErr w:type="spellStart"/>
      <w:r w:rsidRPr="001549CE">
        <w:rPr>
          <w:sz w:val="20"/>
          <w:szCs w:val="20"/>
        </w:rPr>
        <w:t>Rapide</w:t>
      </w:r>
      <w:proofErr w:type="spellEnd"/>
      <w:r w:rsidRPr="001549CE">
        <w:rPr>
          <w:sz w:val="20"/>
          <w:szCs w:val="20"/>
        </w:rPr>
        <w:t xml:space="preserve"> e Acme, que trouxeram formalismo, capacidade de análise e suporte computacional. Além disso, práticas como linhas de produto de software e padrões arquiteturais ganharam espaço, permitindo que organizações explorassem similaridades entre sistemas e adotassem soluções mais reutilizáveis e padronizadas. A disseminação de estilos arquiteturais, como cliente-servidor, </w:t>
      </w:r>
      <w:proofErr w:type="spellStart"/>
      <w:r w:rsidRPr="001549CE">
        <w:rPr>
          <w:sz w:val="20"/>
          <w:szCs w:val="20"/>
        </w:rPr>
        <w:t>pipe-and-filter</w:t>
      </w:r>
      <w:proofErr w:type="spellEnd"/>
      <w:r w:rsidRPr="001549CE">
        <w:rPr>
          <w:sz w:val="20"/>
          <w:szCs w:val="20"/>
        </w:rPr>
        <w:t xml:space="preserve"> e </w:t>
      </w:r>
      <w:proofErr w:type="spellStart"/>
      <w:r w:rsidRPr="001549CE">
        <w:rPr>
          <w:sz w:val="20"/>
          <w:szCs w:val="20"/>
        </w:rPr>
        <w:t>blackboard</w:t>
      </w:r>
      <w:proofErr w:type="spellEnd"/>
      <w:r w:rsidRPr="001549CE">
        <w:rPr>
          <w:sz w:val="20"/>
          <w:szCs w:val="20"/>
        </w:rPr>
        <w:t>, fortaleceu a codificação do conhecimento na área.</w:t>
      </w:r>
    </w:p>
    <w:p w14:paraId="5674C916" w14:textId="77777777" w:rsidR="001549CE" w:rsidRPr="001549CE" w:rsidRDefault="001549CE" w:rsidP="001549CE">
      <w:pPr>
        <w:rPr>
          <w:sz w:val="20"/>
          <w:szCs w:val="20"/>
        </w:rPr>
      </w:pPr>
      <w:r w:rsidRPr="001549CE">
        <w:rPr>
          <w:sz w:val="20"/>
          <w:szCs w:val="20"/>
        </w:rPr>
        <w:t xml:space="preserve">No presente, a arquitetura de software já se consolidava como atividade estratégica, com papéis formais de arquitetos em empresas, revisões arquiteturais obrigatórias e crescente oferta de cursos e publicações. Ainda assim, permanecia um campo relativamente imaturo, exigindo maior integração entre ferramentas, metodologias e práticas industriais. A transição de uma abordagem focada apenas em componentes para uma engenharia baseada em arquiteturas de alto nível já se mostrava necessária, especialmente em ambientes distribuídos e heterogêneos. Os desafios futuros destacados por </w:t>
      </w:r>
      <w:proofErr w:type="spellStart"/>
      <w:r w:rsidRPr="001549CE">
        <w:rPr>
          <w:sz w:val="20"/>
          <w:szCs w:val="20"/>
        </w:rPr>
        <w:t>Garlan</w:t>
      </w:r>
      <w:proofErr w:type="spellEnd"/>
      <w:r w:rsidRPr="001549CE">
        <w:rPr>
          <w:sz w:val="20"/>
          <w:szCs w:val="20"/>
        </w:rPr>
        <w:t xml:space="preserve"> concentram-se em três grandes tendências: a mudança no equilíbrio entre construção interna e aquisição externa de componentes, a adoção crescente da computação em rede e a emergência da computação pervasiva. A pressão por redução no tempo de entrega e os processos de fusões e aquisições impulsionam a necessidade de padrões de interoperabilidade mais rigorosos e de arquiteturas comuns entre fornecedores. A popularização de modelos centrados na rede demanda arquiteturas capazes de lidar com escalabilidade, variabilidade e composição dinâmica de recursos distribuídos, muitas vezes de forma autônoma e sem controle centralizado. Já a computação pervasiva, marcada pela proliferação de dispositivos heterogêneos, exige arquiteturas adaptáveis a restrições físicas, reconfigurações dinâmicas e mobilidade dos usuários.</w:t>
      </w:r>
    </w:p>
    <w:p w14:paraId="643E0335" w14:textId="674829B4" w:rsidR="001549CE" w:rsidRPr="001549CE" w:rsidRDefault="001549CE" w:rsidP="001549CE">
      <w:pPr>
        <w:rPr>
          <w:sz w:val="20"/>
          <w:szCs w:val="20"/>
        </w:rPr>
      </w:pPr>
      <w:r w:rsidRPr="001549CE">
        <w:rPr>
          <w:sz w:val="20"/>
          <w:szCs w:val="20"/>
        </w:rPr>
        <w:t>Na conclusão, o autor ressalta que a arquitetura de software se encontra em um estágio de transição: apesar de já contar com avanços significativos em métodos, ferramentas e disseminação de conhecimento, ainda enfrenta lacunas que só serão superadas com inovações e maior maturidade da disciplina. O futuro aponta para arquiteturas que não apenas descrevem e organizam sistemas, mas que também sejam capazes de se adaptar, integrar-se em ecossistemas dinâmicos e oferecer garantias de qualidade mesmo em cenários de grande complexidade. O artigo, portanto, traça uma visão de que a arquitetura de software é não apenas um instrumento técnico, mas um campo estratégico essencial para enfrentar os desafios da evolução tecnológica.</w:t>
      </w:r>
    </w:p>
    <w:sectPr w:rsidR="001549CE" w:rsidRPr="001549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9CE"/>
    <w:rsid w:val="001549CE"/>
    <w:rsid w:val="00F9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DE885"/>
  <w15:chartTrackingRefBased/>
  <w15:docId w15:val="{928B9AF6-E930-4B9B-A292-35417734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4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4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4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4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4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4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4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4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4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4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4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4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49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49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49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49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49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49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4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4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4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4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4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49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49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49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4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49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4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628</Words>
  <Characters>3396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costa</dc:creator>
  <cp:keywords/>
  <dc:description/>
  <cp:lastModifiedBy>mateus costa</cp:lastModifiedBy>
  <cp:revision>1</cp:revision>
  <dcterms:created xsi:type="dcterms:W3CDTF">2025-09-14T23:17:00Z</dcterms:created>
  <dcterms:modified xsi:type="dcterms:W3CDTF">2025-09-14T23:19:00Z</dcterms:modified>
</cp:coreProperties>
</file>