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0" w:after="36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ODONTO.IA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52"/>
        </w:rPr>
        <w:t>Guia de envio ao advogado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 w:val="0"/>
          <w:color w:val="1F4D78"/>
          <w:sz w:val="28"/>
        </w:rPr>
        <w:t>Pacote de minutas juridicas e documentos clinicos separados</w:t>
      </w:r>
    </w:p>
    <w:p>
      <w:pPr>
        <w:keepNext w:val="0"/>
        <w:spacing w:before="0" w:after="360" w:line="300" w:lineRule="auto"/>
        <w:jc w:val="left"/>
      </w:pPr>
      <w:r>
        <w:rPr>
          <w:rFonts w:ascii="Calibri" w:hAnsi="Calibri"/>
          <w:b/>
          <w:i w:val="0"/>
          <w:color w:val="5B6673"/>
          <w:sz w:val="21"/>
        </w:rPr>
        <w:t>Versao 0.1 | 3 de setembro de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NAO PUBLICAR: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 xml:space="preserve">As minutas contem campos </w:t>
            </w:r>
            <w:r>
              <w:rPr>
                <w:rFonts w:ascii="Calibri" w:hAnsi="Calibri"/>
                <w:b/>
                <w:i w:val="0"/>
                <w:color w:val="9B1C1C"/>
                <w:sz w:val="22"/>
                <w:shd w:fill="FFF4CE"/>
              </w:rPr>
              <w:t>[[PREENCHER]]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 xml:space="preserve"> e decisoes em aberto. O pacote serve para revisao juridica, validacao clinica e conferencia tecnica; nao esta pronto para coleta de aceite ou assinatura.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Como o pacote esta organizado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Os documentos foram separados para que cada relacao juridica e cada momento do atendimento tenham finalidade, signatarios e prova proprios. A separacao nao elimina as vinculacoes indicadas em cada minuta.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Plataforma: Termos de Uso, Aviso de Privacidade de Usuarios e DPA.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Clinica e paciente: Aviso de Privacidade do Paciente, contrato odontologico, plano/orcamento, TCLE, recusa e registros posteriores.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Procedimentos: cada modulo de risco e um anexo ao TCLE geral e exige individualizacao e validacao da especialidade.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Operacao interna: politica de geracao, revisao, assinatura, versionamento e conservacao da prova.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Arquivos entregues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200"/>
        <w:gridCol w:w="5360"/>
        <w:gridCol w:w="280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Codigo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Documento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Camada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Termos De Uso E Contrato Saas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Plataforma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Aviso De Privacidade Dos Usuarios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Plataforma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03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Acordo De Tratamento De Dados Dpa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Plataforma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04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Aviso De Privacidade Do Paciente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05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Contrato De Prestacao De Servicos Odontologicos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06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Plano De Tratamento E Aceite De Orcamento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07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Tcle Nucleo Geral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Cirurgia Oral E Extracoes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08B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Implante Enxerto E Seio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08C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Endodontia E Retratamento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Periodontia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08E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Ortodontia E Alinhadores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08F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Protese E Estetica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08G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Modulo Risco Anestesia Local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Anexo de risco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09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Termo De Recusa Informada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Registro De Conclusao Intercorrencias E Orientacoes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Autorizacao Audio Voz Imagem Transcricao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Clinica/paciente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Politica Interna Geracao Assinatura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Politica interna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Pontos prioritarios para o advogado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Qualificacao da empresa, da clinica, do contratante, do representante e dos profissionais; poderes para contratar e assinar.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Incidencia do CDC, limites de responsabilidade, cobranca, renovacao, cancelamento, exportacao, continuidade e foro.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Papeis de controlador e operador, bases legais por finalidade, direitos dos titulares, retencao, incidentes, suboperadores e transferencias internacionais.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Metodo de assinatura e pacote probatorio: versao/hash, identidade, data/hora/fuso, IP, autenticacao, eventos, copia e preservacao do original.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Menores, incapazes, representantes, urgencias, segunda opiniao, retirada de consentimento, recusa, abandono e entrega de prontuario.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Validade e linguagem dos modulos de risco por especialidade, inclusive quando exigir termo proprio, como sedacao.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Compatibilidade entre o texto e a operacao real da Odonto.IA: fornecedores, paises, retencao, backup, RTO/RPO, suporte e uso de IA.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Referencias oficiais principais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Lei 15.378/2026 - Estatuto dos Direitos do Paciente: https://planalto.gov.br/ccivil_03/_ato2023-2026/2026/lei/l15378.htm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Manual do Prontuario do Paciente em Odontologia - CFO, 2026: https://website.cfo.org.br/wp-content/uploads/2026/03/CFO_Manual_do_Prontuario_Ebook_v2.pdf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Codigo de Etica Odontologica - Resolucao CFO 118/2012: https://website.cfo.org.br/wp-content/uploads/2018/03/codigo_etica.pdf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Lei Geral de Protecao de Dados - Lei 13.709/2018: https://www.planalto.gov.br/ccivil_03/_ato2015-2018/2018/lei/l13709compilado.htm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Guarda e digitalizacao de prontuario - Lei 13.787/2018: https://www.planalto.gov.br/ccivil_03/_ato2015-2018/2018/lei/l13787.htm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Documentos e assinaturas eletronicas - MP 2.200-2/2001: https://www.planalto.gov.br/ccivil_03/mpv/antigas_2001/2200-2.htm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Marco Civil da Internet - Lei 12.965/2014: https://www.planalto.gov.br/ccivil_03/_ato2011-2014/2014/lei/l12965.htm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Codigo de Defesa do Consumidor - Lei 8.078/1990: https://www.planalto.gov.br/ccivil_03/leis/l8078compilado.htm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ANPD - Resolucao 15/2024, comunicacao de incidentes: https://www.gov.br/anpd/pt-br/canais_atendimento/agente-de-tratamento/comunicado-de-incidente-de-seguranca-cis</w:t>
      </w:r>
    </w:p>
    <w:p>
      <w:pPr>
        <w:pStyle w:val="Legal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sz w:val="22"/>
        </w:rPr>
        <w:t>ANPD - Resolucao 19/2024, transferencia internacional: https://www.gov.br/anpd/pt-br/acesso-a-informacao/institucional/atos-normativos/regulamentacoes_anpd/resolucao-cd-anpd-no-19-de-23-de-agosto-de-2024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envio ao advogado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