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2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AVISO DE PRIVACIDADE DE USUARIOS DA PLATAFORMA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Dentistas, administradores, secretarias, convidados e contatos comerciais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1. Quem trata os dados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9B1C1C"/>
          <w:sz w:val="22"/>
          <w:shd w:fill="FFF4CE"/>
        </w:rPr>
        <w:t>[[ODONTOIA_RAZAO_SOCIAL]]</w:t>
      </w:r>
      <w:r>
        <w:rPr>
          <w:rFonts w:ascii="Calibri" w:hAnsi="Calibri"/>
          <w:b w:val="0"/>
          <w:i w:val="0"/>
          <w:sz w:val="22"/>
        </w:rPr>
        <w:t xml:space="preserve">, CNPJ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[[CNPJ]]</w:t>
      </w:r>
      <w:r>
        <w:rPr>
          <w:rFonts w:ascii="Calibri" w:hAnsi="Calibri"/>
          <w:b w:val="0"/>
          <w:i w:val="0"/>
          <w:sz w:val="22"/>
        </w:rPr>
        <w:t xml:space="preserve">, e a controladora dos dados de cadastro, seguranca, faturamento, suporte e relacionamento descritos neste Aviso. Contato do encarregado/canal de privacidade: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[[CANAL_PRIVACIDADE]]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Para dados de pacientes tratados sob instrucao da Clinica, a Odonto.IA atua predominantemente como operadora; esse fluxo e regido pelo DPA e pelo aviso da propria Clinica.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 Dados tratados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Podemos tratar identificacao e contato; CRO-UF e informacoes profissionais; clinicas e papeis; credenciais e registros de autenticacao; IP, dispositivo e registros de acesso; eventos de seguranca e auditoria; plano, cobranca e dados fiscais; suporte e comunicacoes; preferencias; e dados necessarios a integracoes ativadas.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3. Finalidades e bases legais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As bases serao definidas por finalidade, nao por um consentimento amplo.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Executar o contrato e procedimentos preliminares: criar conta, autenticar, disponibilizar funcoes, cobrar e prestar suporte.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Cumprir obrigacoes legais ou regulatorias: documentos fiscais, registros obrigatorios e resposta a autoridades competentes.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Interesse legitimo, apos avaliacao: seguranca, prevencao a fraude, melhoria operacional e comunicacao com clientes, com direito de oposicao quando aplicavel.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Exercicio regular de direitos: preservar evidencias e atuar em processos.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Consentimento: somente para finalidades opcionais claramente apresentadas, como determinadas comunicacoes de marketing, podendo ser revogado.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4. Compartilhamento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Dados podem ser compartilhados com fornecedores de infraestrutura, autenticacao, pagamentos, comunicacao, suporte e seguranca; com a Clinica a que o usuario pertence; e com autoridades quando houver obrigacao ou ordem valida. A lista material de fornecedores e suas finalidades ficara em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[[URL_SUBOPERADORES]]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5. Transferencias internacionais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Alguns fornecedores podem tratar dados fora do Brasil. A Odonto.IA informara paises, finalidades, responsabilidades e mecanismos de transferencia em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[[URL_TRANSFERENCIAS]]</w:t>
      </w:r>
      <w:r>
        <w:rPr>
          <w:rFonts w:ascii="Calibri" w:hAnsi="Calibri"/>
          <w:b w:val="0"/>
          <w:i w:val="0"/>
          <w:sz w:val="22"/>
        </w:rPr>
        <w:t>. Quando forem usadas clausulas-padrao da ANPD, seu texto integral sera incorporado sem alteracao aos instrumentos aplicaveis.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6. Retencao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Os prazos consideram contrato, obrigacoes legais, prevencao a fraude e defesa de direitos. Registros de acesso a aplicacao serao mantidos pelo prazo legal aplicavel. A tabela completa de retencao deve ser publicada em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[[TABELA_RETENCAO]]</w:t>
      </w:r>
      <w:r>
        <w:rPr>
          <w:rFonts w:ascii="Calibri" w:hAnsi="Calibri"/>
          <w:b w:val="0"/>
          <w:i w:val="0"/>
          <w:sz w:val="22"/>
        </w:rPr>
        <w:t>. Dados desnecessarios serao eliminados ou anonimizados com seguranca.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7. Direitos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 titular pode solicitar confirmacao, acesso, correcao, informacao sobre compartilhamento, portabilidade quando aplicavel, revisao de decisoes automatizadas, oposicao, revogacao de consentimento e eliminacao nas hipoteses legais. Pedidos serao recebidos em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[[CANAL_PRIVACIDADE]]</w:t>
      </w:r>
      <w:r>
        <w:rPr>
          <w:rFonts w:ascii="Calibri" w:hAnsi="Calibri"/>
          <w:b w:val="0"/>
          <w:i w:val="0"/>
          <w:sz w:val="22"/>
        </w:rPr>
        <w:t xml:space="preserve"> e podem exigir verificacao proporcional de identidade.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8. Seguranca e incidentes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Adotamos medidas tecnicas e administrativas proporcionais ao risco, incluindo controle de acesso, isolamento entre clinicas, registros, criptografia conforme arquitetura, backup e resposta a incidentes. Nenhum sistema e isento de risco. Incidentes relevantes serao tratados e comunicados conforme a legislacao e os papeis de controlador/operador.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9. Cookies e tecnologias semelhantes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Cookies estritamente necessarios podem ser usados para sessao e seguranca. Analiticos, publicidade ou tecnologias opcionais devem constar de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[[POLITICA_COOKIES]]</w:t>
      </w:r>
      <w:r>
        <w:rPr>
          <w:rFonts w:ascii="Calibri" w:hAnsi="Calibri"/>
          <w:b w:val="0"/>
          <w:i w:val="0"/>
          <w:sz w:val="22"/>
        </w:rPr>
        <w:t xml:space="preserve"> e respeitar escolhas do usuario.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10. Atualizacoes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Mudancas materiais serao destacadas. A versao, data e historico ficarao disponiveis. Se a finalidade depender de consentimento, mudanca relevante exigira nova manifestacao quando cabivel.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Privacidade de Usuarios da Plataforma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