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12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45"/>
        <w:gridCol w:w="3491"/>
        <w:gridCol w:w="7344"/>
      </w:tblGrid>
      <w:tr>
        <w:tblPrEx>
          <w:shd w:val="clear" w:color="auto" w:fill="ced7e7"/>
        </w:tblPrEx>
        <w:trPr>
          <w:trHeight w:val="693" w:hRule="atLeast"/>
        </w:trPr>
        <w:tc>
          <w:tcPr>
            <w:tcW w:type="dxa" w:w="4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3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Внешняя система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компонент</w:t>
            </w:r>
          </w:p>
        </w:tc>
        <w:tc>
          <w:tcPr>
            <w:tcW w:type="dxa" w:w="7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Что унифицировать</w:t>
            </w:r>
          </w:p>
        </w:tc>
      </w:tr>
      <w:tr>
        <w:tblPrEx>
          <w:shd w:val="clear" w:color="auto" w:fill="ced7e7"/>
        </w:tblPrEx>
        <w:trPr>
          <w:trHeight w:val="693" w:hRule="atLeast"/>
        </w:trPr>
        <w:tc>
          <w:tcPr>
            <w:tcW w:type="dxa" w:w="4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Материнская плата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серверная платформа</w:t>
            </w:r>
          </w:p>
        </w:tc>
        <w:tc>
          <w:tcPr>
            <w:tcW w:type="dxa" w:w="7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Интерфейс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NVMe PCIe.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Поддержка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Bifurcation (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разветвления линий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PCIe).</w:t>
            </w:r>
          </w:p>
        </w:tc>
      </w:tr>
      <w:tr>
        <w:tblPrEx>
          <w:shd w:val="clear" w:color="auto" w:fill="ced7e7"/>
        </w:tblPrEx>
        <w:trPr>
          <w:trHeight w:val="693" w:hRule="atLeast"/>
        </w:trPr>
        <w:tc>
          <w:tcPr>
            <w:tcW w:type="dxa" w:w="4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3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RAID-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контроллер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/ HBA</w:t>
            </w:r>
          </w:p>
        </w:tc>
        <w:tc>
          <w:tcPr>
            <w:tcW w:type="dxa" w:w="7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Поддержка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en-US"/>
              </w:rPr>
              <w:t xml:space="preserve"> NVMe: Tri-mode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или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en-US"/>
              </w:rPr>
              <w:t xml:space="preserve"> pass-through.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Проверка по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HCL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производителя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93" w:hRule="atLeast"/>
        </w:trPr>
        <w:tc>
          <w:tcPr>
            <w:tcW w:type="dxa" w:w="4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3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Корзина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бэкплейн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кабели</w:t>
            </w:r>
          </w:p>
        </w:tc>
        <w:tc>
          <w:tcPr>
            <w:tcW w:type="dxa" w:w="7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Форм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фактор и разъём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: M.2, U.2, U.3, E3.S.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Все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SSD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— одного типа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93" w:hRule="atLeast"/>
        </w:trPr>
        <w:tc>
          <w:tcPr>
            <w:tcW w:type="dxa" w:w="4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3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BIOS / UEFI</w:t>
            </w:r>
          </w:p>
        </w:tc>
        <w:tc>
          <w:tcPr>
            <w:tcW w:type="dxa" w:w="7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Загрузка с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NVMe,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режим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UEFI (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не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Legacy),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актуальная прошивка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843" w:hRule="atLeast"/>
        </w:trPr>
        <w:tc>
          <w:tcPr>
            <w:tcW w:type="dxa" w:w="4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3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ОС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гипервизор</w:t>
            </w:r>
          </w:p>
        </w:tc>
        <w:tc>
          <w:tcPr>
            <w:tcW w:type="dxa" w:w="7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Встроенный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NVMe-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драйвер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, GPT,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поддержка в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Windows/Linux/VMware/Proxmox.</w:t>
            </w:r>
          </w:p>
        </w:tc>
      </w:tr>
      <w:tr>
        <w:tblPrEx>
          <w:shd w:val="clear" w:color="auto" w:fill="ced7e7"/>
        </w:tblPrEx>
        <w:trPr>
          <w:trHeight w:val="783" w:hRule="atLeast"/>
        </w:trPr>
        <w:tc>
          <w:tcPr>
            <w:tcW w:type="dxa" w:w="4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3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Шифрование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(SED / TCG Opal)</w:t>
            </w:r>
          </w:p>
        </w:tc>
        <w:tc>
          <w:tcPr>
            <w:tcW w:type="dxa" w:w="7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Стандарт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TCG Opal 2.0, AES-256.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Одинаковый для всех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если нужно шифрование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892" w:hRule="atLeast"/>
        </w:trPr>
        <w:tc>
          <w:tcPr>
            <w:tcW w:type="dxa" w:w="4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7</w:t>
            </w:r>
          </w:p>
        </w:tc>
        <w:tc>
          <w:tcPr>
            <w:tcW w:type="dxa" w:w="3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Питание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ИБП</w:t>
            </w:r>
          </w:p>
        </w:tc>
        <w:tc>
          <w:tcPr>
            <w:tcW w:type="dxa" w:w="7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</w:tabs>
              <w:bidi w:val="0"/>
              <w:spacing w:before="0" w:line="375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Наличие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PLP (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защита от потери питания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для серверных и архивных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SSD.</w:t>
            </w:r>
          </w:p>
        </w:tc>
      </w:tr>
    </w:tbl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Сертификация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 xml:space="preserve">схема 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  <w:lang w:val="ru-RU"/>
        </w:rPr>
        <w:t>3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с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Декларирование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 xml:space="preserve">схема 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  <w:lang w:val="ru-RU"/>
        </w:rPr>
        <w:t>2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д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Почему выбраны именно эти схемы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 xml:space="preserve">Сертификация — схема 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  <w:lang w:val="ru-RU"/>
        </w:rPr>
        <w:t>3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с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Схема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3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 предназначена для партии продукции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В вашем случае это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100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конкретных ноутбуков с известными серийными номерами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а не серийное производство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Схема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1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для серии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потребовала бы ежегодного инспекционного контроля производства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что для разовой поставки избыточно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Схема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4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 применяется для единичного изделия и не подходит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так как в партии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100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штук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Процедура по схеме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3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заявитель подаёт заявку в аккредитованный орган по сертификации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орган проводит идентификацию партии и отбирает образцы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аккредитованная лаборатория испытывает образцы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орган анализирует результаты и выдаёт сертификат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Срок действия сертификата на партию не устанавливается — он действует на конкретную партию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Срок оформления — обычно от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до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месяцев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Стоимость — от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25 000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рублей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 xml:space="preserve">Декларирование — схема 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  <w:lang w:val="ru-RU"/>
        </w:rPr>
        <w:t>2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д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Схема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2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 предназначена для партии или единичного изделия на основании собственных доказательств заявителя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Производственный контроль не требуется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срок действия не устанавливается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Заявителем может выступать импортёр или продавец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зарегистрированный в ЕАЭС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Схема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4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 тоже подходит для партии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но требует обязательного участия аккредитованной лаборатории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Схема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2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 допускает использование собственных доказательств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что быстрее и дешевле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Если у вас есть протоколы испытаний от производителя — схема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2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 оптимальна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Если протоколов нет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всё равно придётся сдавать образцы в лабораторию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и тогда разница между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2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д и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4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 минимальна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Нотификация ФСБ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Ноутбуки почти всегда имеют модули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Wi-Fi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Bluetooth,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то есть являются шифровальными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криптографическими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средствами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Без нотификации ФСБ таможня не выпустит груз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Срок оформления —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10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–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15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рабочих дней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Стоимость — от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20 000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рублей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Нотификация оформляется в ЦЛСЗ ФСБ России на основании экспертной оценки криптографических характеристик устройства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а не лабораторных испытаний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Алгоритм действий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Определить продукцию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ноутбуки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100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штук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изготовитель Китай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модель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артикул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серийные номера и комплект поставки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Проверить применимые технические регламенты для ноутбуков и установить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какая форма подтверждения нужна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сертификат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декларация или оба документа для разных требований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Назначить заявителя на территории Таможенного союза или ЕАЭС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Как правило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это импортёр или уполномоченное изготовителем лицо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Подготовить техническую документацию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контракт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инвойс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упаковочный лист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описание модели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руководство пользователя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сведения о безопасности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документы изготовителя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имеющиеся протоколы испытаний и перечень серийных номеров партии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Если нужна сертификация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подать заявку в аккредитованный орган по сертификации по схеме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3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Передать образцы ноутбуков для отбора и испытаний в аккредитованную испытательную лабораторию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Получить протоколы испытаний и дождаться решения органа по сертификации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При положительном результате получить сертификат соответствия на партию из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100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ноутбуков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Если требуется декларирование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сформировать доказательства по схеме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4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 и провести испытания партии или выбранных образцов в аккредитованной лаборатории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На основе технической документации и протоколов испытаний принять и зарегистрировать декларацию о соответствии на партию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Нанести единый знак обращения на продукцию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упаковку или сопроводительную документацию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если это предусмотрено техническим регламентом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pacing w:before="0" w:after="200" w:line="276" w:lineRule="auto"/>
        <w:jc w:val="left"/>
        <w:rPr>
          <w:rFonts w:ascii="Times New Roman" w:hAnsi="Times New Roman" w:hint="default"/>
          <w:sz w:val="28"/>
          <w:szCs w:val="28"/>
          <w:u w:color="00000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Организовать хранение технической документации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сертификата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декларации и протоколов испытаний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Для партии документы хранятся не менее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10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лет со дня реализации последнего изделия из партии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если конкретный регламент не устанавливает иной порядок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after="200" w:line="276" w:lineRule="auto"/>
        <w:ind w:left="0" w:right="0" w:firstLine="0"/>
        <w:jc w:val="left"/>
        <w:rPr>
          <w:rtl w:val="0"/>
        </w:rPr>
      </w:pPr>
      <w:r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en-US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