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Exemplo de título</w:t>
      </w:r>
    </w:p>
    <w:p>
      <w:pPr>
        <w:pStyle w:val="Cordotítulo"/>
        <w:jc w:val="center"/>
      </w:pPr>
      <w:r/>
    </w:p>
    <w:p>
      <w:pPr>
        <w:pStyle w:val="Cordotítulo"/>
        <w:jc w:val="center"/>
      </w:pPr>
    </w:p>
    <w:p>
      <w:pPr/>
      <w:r>
        <w:tab/>
        <w:t xml:space="preserve">Este é um exemplo de criação de um parágrafo utilizando a biblioteca Spire.Doc</w:t>
      </w:r>
    </w:p>
    <w:p>
      <w:pPr/>
    </w:p>
    <w:p>
      <w:pPr/>
      <w:r>
        <w:tab/>
        <w:t xml:space="preserve">Basicamente, então, uma seção representa uma página e os parágrafos dentro de uma mesma seção, obviamente, aprecem na mesma página.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em um parágrafo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Este é um exemplo de criação de um parágrafo em uma nova página, após uma quebra de seção. Assim como quando utilizamos variáveis, é possível fechar aspas, inserir um sinal '+' e continuar o parágrafo.</w:t>
      </w:r>
    </w:p>
    <w:p>
      <w:pPr/>
      <w:r/>
    </w:p>
    <w:p>
      <w:pPr/>
      <w:r>
        <w:tab/>
        <w:t xml:space="preserve">Como foi criada outra seção, perceba que o parágrafo acima começou em outra página.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Qtd.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2019-09-25T15:42:11Z</dcterms:created>
  <dcterms:modified xsi:type="dcterms:W3CDTF">2019-09-25T15:42:11Z</dcterms:modified>
</cp:coreProperties>
</file>