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Segoe UI" w:hAnsi="Segoe UI"/>
          <w:b/>
          <w:i w:val="0"/>
          <w:color w:val="1B365D"/>
          <w:sz w:val="48"/>
        </w:rPr>
        <w:t>Detekcja ataków DDoS z użyciem Skierowanych Liczb Rozmytych (OFN)</w:t>
      </w:r>
    </w:p>
    <w:p>
      <w:pPr>
        <w:spacing w:before="0" w:after="360"/>
        <w:jc w:val="left"/>
        <w:pBdr>
          <w:bottom w:val="single" w:sz="16" w:space="6" w:color="1B365D"/>
        </w:pBdr>
      </w:pPr>
      <w:r>
        <w:rPr>
          <w:rFonts w:ascii="Segoe UI" w:hAnsi="Segoe UI"/>
          <w:b/>
          <w:i/>
          <w:color w:val="4A607A"/>
          <w:sz w:val="24"/>
        </w:rPr>
        <w:t>Dokumentacja naukowo-techniczna</w:t>
      </w:r>
      <w:r>
        <w:rPr>
          <w:rFonts w:ascii="Segoe UI" w:hAnsi="Segoe UI"/>
          <w:b w:val="0"/>
          <w:i/>
          <w:color w:val="4A607A"/>
          <w:sz w:val="24"/>
        </w:rPr>
        <w:t xml:space="preserve"> · wersja modelu 2.0 (arytmetyka Kosińskiego, score znormalizowany)</w:t>
      </w:r>
    </w:p>
    <w:p>
      <w:pPr>
        <w:spacing w:before="240" w:after="240"/>
        <w:jc w:val="center"/>
        <w:pBdr>
          <w:bottom w:val="single" w:sz="4" w:space="6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line="276" w:lineRule="auto" w:before="40" w:after="120"/>
            </w:pPr>
            <w:r>
              <w:rPr>
                <w:rFonts w:ascii="Segoe UI Semibold" w:hAnsi="Segoe UI Semibold"/>
                <w:b/>
                <w:i w:val="0"/>
                <w:color w:val="1B365D"/>
                <w:sz w:val="25"/>
              </w:rPr>
              <w:t>Streszczenie</w:t>
            </w:r>
          </w:p>
          <w:p>
            <w:pPr>
              <w:spacing w:line="276" w:lineRule="auto" w:after="40" w:before="0"/>
            </w:pPr>
            <w:r>
              <w:rPr>
                <w:rFonts w:ascii="Segoe UI" w:hAnsi="Segoe UI"/>
                <w:b w:val="0"/>
                <w:i/>
                <w:color w:val="2D3748"/>
                <w:sz w:val="21"/>
              </w:rPr>
              <w:t xml:space="preserve">System wykrywa wolumetryczne ataki DDoS na podstawie szeregów czasowych natężenia ruchu obserwowanego na wielu routerach jednocześnie. Każde krótkie okno pomiarowe routera jest przekształcane w </w:t>
            </w:r>
            <w:r>
              <w:rPr>
                <w:rFonts w:ascii="Segoe UI" w:hAnsi="Segoe UI"/>
                <w:b/>
                <w:i/>
                <w:color w:val="2D3748"/>
                <w:sz w:val="21"/>
              </w:rPr>
              <w:t>Skierowaną Liczbę Rozmytą</w:t>
            </w:r>
            <w:r>
              <w:rPr>
                <w:rFonts w:ascii="Segoe UI" w:hAnsi="Segoe UI"/>
                <w:b w:val="0"/>
                <w:i/>
                <w:color w:val="2D3748"/>
                <w:sz w:val="21"/>
              </w:rPr>
              <w:t xml:space="preserve"> (OFN, </w:t>
            </w:r>
            <w:r>
              <w:rPr>
                <w:rFonts w:ascii="Segoe UI" w:hAnsi="Segoe UI"/>
                <w:b w:val="0"/>
                <w:i/>
                <w:color w:val="2D3748"/>
                <w:sz w:val="21"/>
              </w:rPr>
              <w:t>Ordered Fuzzy Number</w:t>
            </w:r>
            <w:r>
              <w:rPr>
                <w:rFonts w:ascii="Segoe UI" w:hAnsi="Segoe UI"/>
                <w:b w:val="0"/>
                <w:i/>
                <w:color w:val="2D3748"/>
                <w:sz w:val="21"/>
              </w:rPr>
              <w:t xml:space="preserve">) — obiekt, który oprócz rozmytej wartości anomalii koduje </w:t>
            </w:r>
            <w:r>
              <w:rPr>
                <w:rFonts w:ascii="Segoe UI" w:hAnsi="Segoe UI"/>
                <w:b/>
                <w:i/>
                <w:color w:val="2D3748"/>
                <w:sz w:val="21"/>
              </w:rPr>
              <w:t>kierunek trendu</w:t>
            </w:r>
            <w:r>
              <w:rPr>
                <w:rFonts w:ascii="Segoe UI" w:hAnsi="Segoe UI"/>
                <w:b w:val="0"/>
                <w:i/>
                <w:color w:val="2D3748"/>
                <w:sz w:val="21"/>
              </w:rPr>
              <w:t xml:space="preserve"> (wzrost/spadek). Dowody ze wszystkich routerów są fuzjowane w jedną globalną OFN w algebrze Kosińskiego, defuzzyfikowane do skalarnego wskaźnika podejrzenia i przepuszczane przez automat alarmowy z histerezą. Parametry detektora (wagi routerów, progi, histereza) stroi algorytm genetyczny. Jakość porównywana jest z dwoma klasycznymi detektorami referencyjnymi (próg z-score na wolumenie globalnym oraz EWMA).</w:t>
            </w:r>
          </w:p>
        </w:tc>
      </w:tr>
    </w:tbl>
    <w:p>
      <w:pPr>
        <w:spacing w:before="0" w:after="240"/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1. Skierowane Liczby Rozmyte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1.1 Definicja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Za Kosińskim, Prokopowiczem i Ślęzakiem, skierowaną liczbą rozmytą nazywamy uporządkowaną parę funkcji ciągłych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1980" cy="600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1980" cy="60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gdzie </w:t>
      </w:r>
      <w:r>
        <w:rPr>
          <w:rFonts w:ascii="Segoe UI" w:hAnsi="Segoe UI"/>
          <w:b w:val="0"/>
          <w:i/>
          <w:color w:val="2D3748"/>
          <w:sz w:val="22"/>
        </w:rPr>
        <w:t>f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nazywamy </w:t>
      </w:r>
      <w:r>
        <w:rPr>
          <w:rFonts w:ascii="Segoe UI" w:hAnsi="Segoe UI"/>
          <w:b/>
          <w:i w:val="0"/>
          <w:color w:val="2D3748"/>
          <w:sz w:val="22"/>
        </w:rPr>
        <w:t>ramieniem wznoszącym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</w:t>
      </w:r>
      <w:r>
        <w:rPr>
          <w:rFonts w:ascii="Segoe UI" w:hAnsi="Segoe UI"/>
          <w:b w:val="0"/>
          <w:i/>
          <w:color w:val="2D3748"/>
          <w:sz w:val="22"/>
        </w:rPr>
        <w:t>up</w:t>
      </w:r>
      <w:r>
        <w:rPr>
          <w:rFonts w:ascii="Segoe UI" w:hAnsi="Segoe UI"/>
          <w:b w:val="0"/>
          <w:i w:val="0"/>
          <w:color w:val="2D3748"/>
          <w:sz w:val="22"/>
        </w:rPr>
        <w:t xml:space="preserve">), a </w:t>
      </w:r>
      <w:r>
        <w:rPr>
          <w:rFonts w:ascii="Segoe UI" w:hAnsi="Segoe UI"/>
          <w:b w:val="0"/>
          <w:i/>
          <w:color w:val="2D3748"/>
          <w:sz w:val="22"/>
        </w:rPr>
        <w:t>g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</w:t>
      </w:r>
      <w:r>
        <w:rPr>
          <w:rFonts w:ascii="Segoe UI" w:hAnsi="Segoe UI"/>
          <w:b/>
          <w:i w:val="0"/>
          <w:color w:val="2D3748"/>
          <w:sz w:val="22"/>
        </w:rPr>
        <w:t>ramieniem opadającym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</w:t>
      </w:r>
      <w:r>
        <w:rPr>
          <w:rFonts w:ascii="Segoe UI" w:hAnsi="Segoe UI"/>
          <w:b w:val="0"/>
          <w:i/>
          <w:color w:val="2D3748"/>
          <w:sz w:val="22"/>
        </w:rPr>
        <w:t>down</w:t>
      </w:r>
      <w:r>
        <w:rPr>
          <w:rFonts w:ascii="Segoe UI" w:hAnsi="Segoe UI"/>
          <w:b w:val="0"/>
          <w:i w:val="0"/>
          <w:color w:val="2D3748"/>
          <w:sz w:val="22"/>
        </w:rPr>
        <w:t xml:space="preserve">). Argument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[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]</w:t>
      </w:r>
      <w:r>
        <w:rPr>
          <w:rFonts w:ascii="Segoe UI" w:hAnsi="Segoe UI"/>
          <w:b w:val="0"/>
          <w:i w:val="0"/>
          <w:color w:val="2D3748"/>
          <w:sz w:val="22"/>
        </w:rPr>
        <w:t xml:space="preserve"> pełni rolę poziomu przynależności; wartości </w:t>
      </w:r>
      <w:r>
        <w:rPr>
          <w:rFonts w:ascii="Segoe UI" w:hAnsi="Segoe UI"/>
          <w:b w:val="0"/>
          <w:i/>
          <w:color w:val="2D3748"/>
          <w:sz w:val="22"/>
        </w:rPr>
        <w:t>f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i </w:t>
      </w:r>
      <w:r>
        <w:rPr>
          <w:rFonts w:ascii="Segoe UI" w:hAnsi="Segoe UI"/>
          <w:b w:val="0"/>
          <w:i/>
          <w:color w:val="2D3748"/>
          <w:sz w:val="22"/>
        </w:rPr>
        <w:t>g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wyznaczają </w:t>
      </w:r>
      <w:r>
        <w:rPr>
          <w:rFonts w:ascii="Segoe UI" w:hAnsi="Segoe UI"/>
          <w:b/>
          <w:i w:val="0"/>
          <w:color w:val="2D3748"/>
          <w:sz w:val="22"/>
        </w:rPr>
        <w:t>jądro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(core), a obraz obu funkcji — </w:t>
      </w:r>
      <w:r>
        <w:rPr>
          <w:rFonts w:ascii="Segoe UI" w:hAnsi="Segoe UI"/>
          <w:b/>
          <w:i w:val="0"/>
          <w:color w:val="2D3748"/>
          <w:sz w:val="22"/>
        </w:rPr>
        <w:t>nośnik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(support). W odróżnieniu od klasycznych liczb rozmytych para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f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g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jest </w:t>
      </w:r>
      <w:r>
        <w:rPr>
          <w:rFonts w:ascii="Segoe UI" w:hAnsi="Segoe UI"/>
          <w:b w:val="0"/>
          <w:i/>
          <w:color w:val="2D3748"/>
          <w:sz w:val="22"/>
        </w:rPr>
        <w:t>uporządkowana</w:t>
      </w:r>
      <w:r>
        <w:rPr>
          <w:rFonts w:ascii="Segoe UI" w:hAnsi="Segoe UI"/>
          <w:b w:val="0"/>
          <w:i w:val="0"/>
          <w:color w:val="2D3748"/>
          <w:sz w:val="22"/>
        </w:rPr>
        <w:t>: zamiana ramion daje inny obiekt, co pozwala zakodować kierunek procesu (np. ruch rosnący vs malejący).</w:t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Kierunek</w:t>
      </w:r>
      <w:r>
        <w:rPr>
          <w:rFonts w:ascii="Segoe UI" w:hAnsi="Segoe UI"/>
          <w:b w:val="0"/>
          <w:i w:val="0"/>
          <w:color w:val="2D3748"/>
          <w:sz w:val="22"/>
        </w:rPr>
        <w:t xml:space="preserve"> OFN definiujemy znakiem przyrostu ramienia wznoszącego: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7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1.2 Reprezentacja dyskretna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Implementacja (</w:t>
      </w:r>
      <w:r>
        <w:rPr>
          <w:rFonts w:ascii="Consolas" w:hAnsi="Consolas"/>
          <w:b w:val="0"/>
          <w:i w:val="0"/>
          <w:color w:val="A11E51"/>
          <w:sz w:val="19"/>
        </w:rPr>
        <w:t>pyofn/core.py</w:t>
      </w:r>
      <w:r>
        <w:rPr>
          <w:rFonts w:ascii="Segoe UI" w:hAnsi="Segoe UI"/>
          <w:b w:val="0"/>
          <w:i w:val="0"/>
          <w:color w:val="2D3748"/>
          <w:sz w:val="22"/>
        </w:rPr>
        <w:t xml:space="preserve">) przechowuje oba ramiona jako wektory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 w:val="0"/>
          <w:color w:val="2D3748"/>
          <w:sz w:val="22"/>
        </w:rPr>
        <w:t xml:space="preserve"> próbek (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domyślnie,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6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 detektorze) na równomiernej siatce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k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…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 w:val="0"/>
          <w:color w:val="2D3748"/>
          <w:sz w:val="22"/>
        </w:rPr>
        <w:t xml:space="preserve">. Wszystkie operacje są wektoryzowane w NumPy; OFN o różnych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 w:val="0"/>
          <w:color w:val="2D3748"/>
          <w:sz w:val="22"/>
        </w:rPr>
        <w:t xml:space="preserve"> są uzgadniane przez interpolację liniową (</w:t>
      </w:r>
      <w:r>
        <w:rPr>
          <w:rFonts w:ascii="Consolas" w:hAnsi="Consolas"/>
          <w:b w:val="0"/>
          <w:i w:val="0"/>
          <w:color w:val="A11E51"/>
          <w:sz w:val="19"/>
        </w:rPr>
        <w:t>resample</w:t>
      </w:r>
      <w:r>
        <w:rPr>
          <w:rFonts w:ascii="Segoe UI" w:hAnsi="Segoe UI"/>
          <w:b w:val="0"/>
          <w:i w:val="0"/>
          <w:color w:val="2D3748"/>
          <w:sz w:val="22"/>
        </w:rPr>
        <w:t>).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1.3 Arytmetyka Kosińskiego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Działania wykonywane są </w:t>
      </w:r>
      <w:r>
        <w:rPr>
          <w:rFonts w:ascii="Segoe UI" w:hAnsi="Segoe UI"/>
          <w:b/>
          <w:i w:val="0"/>
          <w:color w:val="2D3748"/>
          <w:sz w:val="22"/>
        </w:rPr>
        <w:t>po współrzędnych, ramię do ramienia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bez krzyżowania ramion, charakterystycznego dla przedziałowej arytmetyki Zadeha: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6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8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Z tej definicji wynika kluczowa własność algebraiczna, której klasyczne liczby rozmyte nie mają: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1B365D"/>
              <w:left w:val="single" w:sz="12" w:space="0" w:color="1B365D"/>
              <w:bottom w:val="single" w:sz="6" w:space="0" w:color="1B365D"/>
              <w:right w:val="single" w:sz="6" w:space="0" w:color="1B365D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77043" cy="5718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h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043" cy="57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— zbiór OFN z dodawaniem tworzy grupę przemienną, a z mnożeniem — strukturę pierścieniową. Dzięki temu fuzja dowodów „za" i „przeciw" w agregatorze (rozdz. 3.4) nie rozszerza sztucznie nośnika wyniku, jak działoby się w arytmetyce przedziałowej. Własność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 xml:space="preserve"> oraz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są weryfikowane testami jednostkowymi (</w:t>
      </w:r>
      <w:r>
        <w:rPr>
          <w:rFonts w:ascii="Consolas" w:hAnsi="Consolas"/>
          <w:b w:val="0"/>
          <w:i w:val="0"/>
          <w:color w:val="A11E51"/>
          <w:sz w:val="19"/>
        </w:rPr>
        <w:t>tests/test_pyofn_core.py</w:t>
      </w:r>
      <w:r>
        <w:rPr>
          <w:rFonts w:ascii="Segoe UI" w:hAnsi="Segoe UI"/>
          <w:b w:val="0"/>
          <w:i w:val="0"/>
          <w:color w:val="2D3748"/>
          <w:sz w:val="22"/>
        </w:rPr>
        <w:t>).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1.4 Funkcja przynależności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Dla OFN „właściwej" (proper), tj. o rozłącznych w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zakresach ramion, przynależność odtwarzamy interpolacją odwrotną każdego ramienia, z plateau jądra: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07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1.5 Defuzzyfikacja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Zaimplementowane są dwa funkcjonały wyostrzające:</w:t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(a) Środek ciężkości (COG)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dla OFN właściwych, całkowanie po osi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 wagą przynależności: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227407" cy="840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7407" cy="84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Dla trójkąta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daje to dokładnie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f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(test jednostkowy). Gdy zakresy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 w:val="0"/>
          <w:color w:val="2D3748"/>
          <w:sz w:val="22"/>
        </w:rPr>
        <w:t xml:space="preserve"> ramion się nakładają (OFN „niewłaściwa", </w:t>
      </w:r>
      <w:r>
        <w:rPr>
          <w:rFonts w:ascii="Segoe UI" w:hAnsi="Segoe UI"/>
          <w:b w:val="0"/>
          <w:i/>
          <w:color w:val="2D3748"/>
          <w:sz w:val="22"/>
        </w:rPr>
        <w:t>improper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naturalny produkt odejmowania w algebrze Kosińskiego), </w:t>
      </w:r>
      <w:r>
        <w:rPr>
          <w:rFonts w:ascii="Segoe UI" w:hAnsi="Segoe UI"/>
          <w:b w:val="0"/>
          <w:i/>
          <w:color w:val="2D3748"/>
          <w:sz w:val="22"/>
        </w:rPr>
        <w:t>μ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przestaje być funkcją jednoznaczną i COG po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 w:val="0"/>
          <w:color w:val="2D3748"/>
          <w:sz w:val="22"/>
        </w:rPr>
        <w:t xml:space="preserve"> traci sens; implementacja wykrywa nakładanie i przechodzi na wariant (b).</w:t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(b) Średnia ramion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całkowanie po osi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 w:val="0"/>
          <w:color w:val="2D3748"/>
          <w:sz w:val="22"/>
        </w:rPr>
        <w:t>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22836" cy="811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2836" cy="81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Funkcjonał ten jest </w:t>
      </w:r>
      <w:r>
        <w:rPr>
          <w:rFonts w:ascii="Segoe UI" w:hAnsi="Segoe UI"/>
          <w:b/>
          <w:i w:val="0"/>
          <w:color w:val="2D3748"/>
          <w:sz w:val="22"/>
        </w:rPr>
        <w:t>liniowy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względem arytmetyki Kosińskiego: 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O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β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O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β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O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>, zawsze dobrze określony i ciągły względem deformacji kształtu — dlatego to on (a nie COG) jest używany w agregatorze do wyliczania score (rozdz. 3.4).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1.6 Kształty elementarne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A11E51"/>
          <w:sz w:val="19"/>
        </w:rPr>
        <w:t>pyofn/shapes.py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dostarcza konstruktory: trójkątne i trapezowe (w obu skierowaniach), gaussowskie (ramiona z odwrotnej dystrybuanty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∓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q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obcięte do </w:t>
      </w:r>
      <w:r>
        <w:rPr>
          <w:rFonts w:ascii="Segoe UI" w:hAnsi="Segoe UI"/>
          <w:b w:val="0"/>
          <w:i/>
          <w:color w:val="2D3748"/>
          <w:sz w:val="22"/>
        </w:rPr>
        <w:t>±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 w:val="0"/>
          <w:color w:val="2D3748"/>
          <w:sz w:val="22"/>
        </w:rPr>
        <w:t xml:space="preserve">), singleton oraz ogólną OFN liniową. Trapez skierowany w prawo na parametrach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d</w:t>
      </w:r>
      <w:r>
        <w:rPr>
          <w:rFonts w:ascii="Segoe UI" w:hAnsi="Segoe UI"/>
          <w:b w:val="0"/>
          <w:i w:val="0"/>
          <w:color w:val="2D3748"/>
          <w:sz w:val="22"/>
        </w:rPr>
        <w:t>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14486" cy="6087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486" cy="60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wersja skierowana w lewo zamienia role ramion: </w:t>
      </w:r>
      <w:r>
        <w:rPr>
          <w:rFonts w:ascii="Segoe UI" w:hAnsi="Segoe UI"/>
          <w:b w:val="0"/>
          <w:i/>
          <w:color w:val="2D3748"/>
          <w:sz w:val="22"/>
        </w:rPr>
        <w:t>f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d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d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g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>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2. Odporna normalizacja ruchu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Surowe natężenie ruchu routera 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 chwili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 w:val="0"/>
          <w:color w:val="2D3748"/>
          <w:sz w:val="22"/>
        </w:rPr>
        <w:t xml:space="preserve"> oznaczmy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. Baseline estymowany jest odpornie z okna historii 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(domyślnie 16 kroków poprzedzających bieżące okno), przez medianę i medianowe odchylenie bezwzględne (MAD):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979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7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gdzie stała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.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/>
          <w:color w:val="2D3748"/>
          <w:sz w:val="22"/>
        </w:rPr>
        <w:t>8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6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Φ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-1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czyni MAD zgodnym estymatorem 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dla rozkładu normalnego, a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\min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zabezpiecza przed degeneracją skali. Znormalizowany sygnał (z-score) jest obcinany do </w:t>
      </w:r>
      <w:r>
        <w:rPr>
          <w:rFonts w:ascii="Segoe UI" w:hAnsi="Segoe UI"/>
          <w:b w:val="0"/>
          <w:i/>
          <w:color w:val="2D3748"/>
          <w:sz w:val="22"/>
        </w:rPr>
        <w:t>±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8</w:t>
      </w:r>
      <w:r>
        <w:rPr>
          <w:rFonts w:ascii="Segoe UI" w:hAnsi="Segoe UI"/>
          <w:b w:val="0"/>
          <w:i w:val="0"/>
          <w:color w:val="2D3748"/>
          <w:sz w:val="22"/>
        </w:rPr>
        <w:t>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86582" cy="705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82" cy="70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Estymatory medianowe mają punkt załamania 50%, więc baseline nie „uczy się" trwającego ataku tak szybko, jak średnia i wariancja próbkowa. Przy wielu cechach na router (tensor </w:t>
      </w:r>
      <w:r>
        <w:rPr>
          <w:rFonts w:ascii="Consolas" w:hAnsi="Consolas"/>
          <w:b w:val="0"/>
          <w:i w:val="0"/>
          <w:color w:val="A11E51"/>
          <w:sz w:val="19"/>
        </w:rPr>
        <w:t>steps × routers × features</w:t>
      </w:r>
      <w:r>
        <w:rPr>
          <w:rFonts w:ascii="Segoe UI" w:hAnsi="Segoe UI"/>
          <w:b w:val="0"/>
          <w:i w:val="0"/>
          <w:color w:val="2D3748"/>
          <w:sz w:val="22"/>
        </w:rPr>
        <w:t xml:space="preserve">) każda cecha jest normalizowana niezależnie, a następnie składana w kompozyt średnią ważoną wagami cech </w:t>
      </w:r>
      <w:r>
        <w:rPr>
          <w:rFonts w:ascii="Segoe UI" w:hAnsi="Segoe UI"/>
          <w:b w:val="0"/>
          <w:i/>
          <w:color w:val="2D3748"/>
          <w:sz w:val="22"/>
        </w:rPr>
        <w:t>v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j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>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453586" cy="10716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3586" cy="10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gdzie 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(c)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to kompozyt </w:t>
      </w:r>
      <w:r>
        <w:rPr>
          <w:rFonts w:ascii="Segoe UI" w:hAnsi="Segoe UI"/>
          <w:b/>
          <w:i w:val="0"/>
          <w:color w:val="2D3748"/>
          <w:sz w:val="22"/>
        </w:rPr>
        <w:t>anomalii dodatniej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(część dodatnia z-score) — z niego budowany jest kształt OFN, podczas gdy pełny (znakowy) kompozyt </w:t>
      </w:r>
      <w:r>
        <w:rPr>
          <w:rFonts w:ascii="Segoe UI" w:hAnsi="Segoe UI"/>
          <w:b w:val="0"/>
          <w:i/>
          <w:color w:val="2D3748"/>
          <w:sz w:val="22"/>
        </w:rPr>
        <w:t>z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(c)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służy do estymacji kierunku.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3. Tor detekcji OFN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3.1 Okno i budowa trapezu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W każdej chwili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(rozmiar okna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 w:val="0"/>
          <w:color w:val="2D3748"/>
          <w:sz w:val="22"/>
        </w:rPr>
        <w:t xml:space="preserve">) router dostarcza okno anomalii 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…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W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. Po posortowaniu 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(1)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…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(4)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wartości te stają się parametrami trapezu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b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d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. Jeżeli rozpiętość </w:t>
      </w:r>
      <w:r>
        <w:rPr>
          <w:rFonts w:ascii="Segoe UI" w:hAnsi="Segoe UI"/>
          <w:b w:val="0"/>
          <w:i/>
          <w:color w:val="2D3748"/>
          <w:sz w:val="22"/>
        </w:rPr>
        <w:t>d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jest mniejsza niż </w:t>
      </w:r>
      <w:r>
        <w:rPr>
          <w:rFonts w:ascii="Consolas" w:hAnsi="Consolas"/>
          <w:b w:val="0"/>
          <w:i w:val="0"/>
          <w:color w:val="A11E51"/>
          <w:sz w:val="19"/>
        </w:rPr>
        <w:t>min_spread</w:t>
      </w:r>
      <w:r>
        <w:rPr>
          <w:rFonts w:ascii="Segoe UI" w:hAnsi="Segoe UI"/>
          <w:b w:val="0"/>
          <w:i w:val="0"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trapez jest rozszerzany symetrycznie wokół średniej okna do minimalnej szerokości (z obcięciem 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spójnym z nieujemnością 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 w:val="0"/>
          <w:color w:val="2D3748"/>
          <w:sz w:val="22"/>
        </w:rPr>
        <w:t xml:space="preserve">), a degeneracja ramienia kierunkowego jest korygowana o margines </w:t>
      </w:r>
      <w:r>
        <w:rPr>
          <w:rFonts w:ascii="Segoe UI" w:hAnsi="Segoe UI"/>
          <w:b w:val="0"/>
          <w:i/>
          <w:color w:val="2D3748"/>
          <w:sz w:val="22"/>
        </w:rPr>
        <w:t>δ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e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i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p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e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d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6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-6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>, by kierunek OFN nie kolapsował numerycznie do 0.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Router spoczynkowy (kierunek 0 i średnia anomalia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 w:val="0"/>
          <w:color w:val="2D3748"/>
          <w:sz w:val="22"/>
        </w:rPr>
        <w:t xml:space="preserve"> </w:t>
      </w:r>
      <w:r>
        <w:rPr>
          <w:rFonts w:ascii="Consolas" w:hAnsi="Consolas"/>
          <w:b w:val="0"/>
          <w:i w:val="0"/>
          <w:color w:val="A11E51"/>
          <w:sz w:val="19"/>
        </w:rPr>
        <w:t>min_spread</w:t>
      </w:r>
      <w:r>
        <w:rPr>
          <w:rFonts w:ascii="Segoe UI" w:hAnsi="Segoe UI"/>
          <w:b w:val="0"/>
          <w:i w:val="0"/>
          <w:color w:val="2D3748"/>
          <w:sz w:val="22"/>
        </w:rPr>
        <w:t>) reprezentowany jest singletonem — nie wnosi kształtu, tylko punktową wartość.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3.2 Estymacja kierunku (regresja OLS)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Trend okna wyznacza nachylenie prostej najmniejszych kwadratów dopasowanej do pełnego znormalizowanego okna </w:t>
      </w:r>
      <w:r>
        <w:rPr>
          <w:rFonts w:ascii="Segoe UI" w:hAnsi="Segoe UI"/>
          <w:b w:val="0"/>
          <w:i/>
          <w:color w:val="2D3748"/>
          <w:sz w:val="22"/>
        </w:rPr>
        <w:t>z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(c)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z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…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z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W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>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770606" cy="12064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0606" cy="120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czyli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 w:val="0"/>
          <w:color w:val="2D3748"/>
          <w:sz w:val="22"/>
        </w:rPr>
        <w:t xml:space="preserve"> to łączna zmiana wzdłuż dopasowanej prostej na długości okna. Kierunek: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75498" cy="6120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498" cy="61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Kalibracja statystyczna progu.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Dla czystego szumu z-score (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 w:val="0"/>
          <w:color w:val="2D3748"/>
          <w:sz w:val="22"/>
        </w:rPr>
        <w:t xml:space="preserve">) i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 w:val="0"/>
          <w:color w:val="2D3748"/>
          <w:sz w:val="22"/>
        </w:rPr>
        <w:t xml:space="preserve"> odchylenie standardowe statystyki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wynosi 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q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i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i</w:t>
      </w:r>
      <w:r>
        <w:rPr>
          <w:rFonts w:ascii="Segoe UI" w:hAnsi="Segoe UI"/>
          <w:b w:val="0"/>
          <w:i/>
          <w:color w:val="2D3748"/>
          <w:sz w:val="22"/>
        </w:rPr>
        <w:t>̄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q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 w:val="0"/>
          <w:color w:val="2D3748"/>
          <w:sz w:val="22"/>
        </w:rPr>
        <w:t xml:space="preserve">. Próg </w:t>
      </w:r>
      <w:r>
        <w:rPr>
          <w:rFonts w:ascii="Segoe UI" w:hAnsi="Segoe UI"/>
          <w:b w:val="0"/>
          <w:i/>
          <w:color w:val="2D3748"/>
          <w:sz w:val="22"/>
        </w:rPr>
        <w:t>ε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6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 w:val="0"/>
          <w:color w:val="2D3748"/>
          <w:sz w:val="22"/>
        </w:rPr>
        <w:t xml:space="preserve"> odpowiada więc dwustronnemu poziomowi istotności </w:t>
      </w:r>
      <w:r>
        <w:rPr>
          <w:rFonts w:ascii="Segoe UI" w:hAnsi="Segoe UI"/>
          <w:b w:val="0"/>
          <w:i/>
          <w:color w:val="2D3748"/>
          <w:sz w:val="22"/>
        </w:rPr>
        <w:t>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%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empirycznie mediana odsetka routerów fałszywie „kierunkowych" w spoczynku spada z ~92% (poprzednia heurystyka różnicy brzegów z </w:t>
      </w:r>
      <w:r>
        <w:rPr>
          <w:rFonts w:ascii="Segoe UI" w:hAnsi="Segoe UI"/>
          <w:b w:val="0"/>
          <w:i/>
          <w:color w:val="2D3748"/>
          <w:sz w:val="22"/>
        </w:rPr>
        <w:t>ε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 w:val="0"/>
          <w:color w:val="2D3748"/>
          <w:sz w:val="22"/>
        </w:rPr>
        <w:t>) do ~6,6%.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3.3 OFN routera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37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3.4 Agregacja globalna i score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Dowody routerów łączone są w algebrze Kosińskiego z wagami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(strojonymi przez GA):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7434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gdzie </w:t>
      </w:r>
      <w:r>
        <w:rPr>
          <w:rFonts w:ascii="Segoe UI" w:hAnsi="Segoe UI"/>
          <w:b w:val="0"/>
          <w:i/>
          <w:color w:val="2D3748"/>
          <w:sz w:val="22"/>
        </w:rPr>
        <w:t>κ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</w:t>
      </w:r>
      <w:r>
        <w:rPr>
          <w:rFonts w:ascii="Consolas" w:hAnsi="Consolas"/>
          <w:b w:val="0"/>
          <w:i w:val="0"/>
          <w:color w:val="A11E51"/>
          <w:sz w:val="19"/>
        </w:rPr>
        <w:t>neutral_contribution</w:t>
      </w:r>
      <w:r>
        <w:rPr>
          <w:rFonts w:ascii="Segoe UI" w:hAnsi="Segoe UI"/>
          <w:b w:val="0"/>
          <w:i w:val="0"/>
          <w:color w:val="2D3748"/>
          <w:sz w:val="22"/>
        </w:rPr>
        <w:t xml:space="preserve">) tłumi wkład routerów bez wyraźnego kierunku, a wagi efektywne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eff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dla routerów kierunkowych i </w:t>
      </w:r>
      <w:r>
        <w:rPr>
          <w:rFonts w:ascii="Segoe UI" w:hAnsi="Segoe UI"/>
          <w:b w:val="0"/>
          <w:i/>
          <w:color w:val="2D3748"/>
          <w:sz w:val="22"/>
        </w:rPr>
        <w:t>κ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dla neutralnych. Normalizacja przez </w:t>
      </w:r>
      <w:r>
        <w:rPr>
          <w:rFonts w:ascii="Segoe UI" w:hAnsi="Segoe UI"/>
          <w:b w:val="0"/>
          <w:i/>
          <w:color w:val="2D3748"/>
          <w:sz w:val="22"/>
        </w:rPr>
        <w:t>Ω</w:t>
      </w:r>
      <w:r>
        <w:rPr>
          <w:rFonts w:ascii="Segoe UI" w:hAnsi="Segoe UI"/>
          <w:b w:val="0"/>
          <w:i w:val="0"/>
          <w:color w:val="2D3748"/>
          <w:sz w:val="22"/>
        </w:rPr>
        <w:t xml:space="preserve"> sprawia, że score </w:t>
      </w:r>
      <w:r>
        <w:rPr>
          <w:rFonts w:ascii="Segoe UI" w:hAnsi="Segoe UI"/>
          <w:b/>
          <w:i w:val="0"/>
          <w:color w:val="2D3748"/>
          <w:sz w:val="22"/>
        </w:rPr>
        <w:t>nie zależy od liczby routerów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jest średnią ważoną, nie sumą (przed tą poprawką spoczynkowy score rósł liniowo z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 w:val="0"/>
          <w:color w:val="2D3748"/>
          <w:sz w:val="22"/>
        </w:rPr>
        <w:t xml:space="preserve">: 0,08 → 0,37 → 1,43 dla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>6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>, generując FPR do 17%).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Wskaźnik podejrzenia to defuzzyfikacja średnią ramion (liniowość, rozdz. 1.5b):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7864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Interpretacja: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jest w skali „przeciętnego z-score anomalii na router", typowo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[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8</w:t>
      </w:r>
      <w:r>
        <w:rPr>
          <w:rFonts w:ascii="Segoe UI" w:hAnsi="Segoe UI"/>
          <w:b w:val="0"/>
          <w:i/>
          <w:color w:val="2D3748"/>
          <w:sz w:val="22"/>
        </w:rPr>
        <w:t>]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(górne ograniczenie z </w:t>
      </w:r>
      <w:r>
        <w:rPr>
          <w:rFonts w:ascii="Consolas" w:hAnsi="Consolas"/>
          <w:b w:val="0"/>
          <w:i w:val="0"/>
          <w:color w:val="A11E51"/>
          <w:sz w:val="19"/>
        </w:rPr>
        <w:t>anomaly_clip</w:t>
      </w:r>
      <w:r>
        <w:rPr>
          <w:rFonts w:ascii="Segoe UI" w:hAnsi="Segoe UI"/>
          <w:b w:val="0"/>
          <w:i w:val="0"/>
          <w:color w:val="2D3748"/>
          <w:sz w:val="22"/>
        </w:rPr>
        <w:t>).</w:t>
      </w:r>
    </w:p>
    <w:p>
      <w:pPr>
        <w:keepNext/>
        <w:spacing w:before="240" w:after="80"/>
      </w:pPr>
      <w:r>
        <w:rPr>
          <w:rFonts w:ascii="Segoe UI Semibold" w:hAnsi="Segoe UI Semibold"/>
          <w:b/>
          <w:i w:val="0"/>
          <w:color w:val="4A607A"/>
          <w:sz w:val="23"/>
        </w:rPr>
        <w:t>3.5 Automat alarmowy z histerezą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Stan alarmu 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 w:val="0"/>
          <w:color w:val="2D3748"/>
          <w:sz w:val="22"/>
        </w:rPr>
        <w:t xml:space="preserve"> aktualizuje dwuprogowy automat ze zliczaniem serii:</w:t>
      </w:r>
    </w:p>
    <w:p>
      <w:pPr>
        <w:pStyle w:val="ListBullet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warunek alertu: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</w:t>
      </w:r>
      <w:r>
        <w:rPr>
          <w:rFonts w:ascii="Segoe UI" w:hAnsi="Segoe UI"/>
          <w:b/>
          <w:i w:val="0"/>
          <w:color w:val="2D3748"/>
          <w:sz w:val="22"/>
        </w:rPr>
        <w:t>i</w:t>
      </w:r>
      <w:r>
        <w:rPr>
          <w:rFonts w:ascii="Segoe UI" w:hAnsi="Segoe UI"/>
          <w:b w:val="0"/>
          <w:i w:val="0"/>
          <w:color w:val="2D3748"/>
          <w:sz w:val="22"/>
        </w:rPr>
        <w:t xml:space="preserve"> liczba routerów dodatnich</w:t>
      </w:r>
    </w:p>
    <w:p>
      <w:pPr>
        <w:spacing w:before="0" w:after="160"/>
      </w:pP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\min</w:t>
      </w:r>
      <w:r>
        <w:rPr>
          <w:rFonts w:ascii="Segoe UI" w:hAnsi="Segoe UI"/>
          <w:b w:val="0"/>
          <w:i w:val="0"/>
          <w:color w:val="2D3748"/>
          <w:sz w:val="22"/>
        </w:rPr>
        <w:t xml:space="preserve"> </w:t>
      </w:r>
      <w:r>
        <w:rPr>
          <w:rFonts w:ascii="Segoe UI" w:hAnsi="Segoe UI"/>
          <w:b/>
          <w:i w:val="0"/>
          <w:color w:val="2D3748"/>
          <w:sz w:val="22"/>
        </w:rPr>
        <w:t>i</w:t>
      </w:r>
      <w:r>
        <w:rPr>
          <w:rFonts w:ascii="Segoe UI" w:hAnsi="Segoe UI"/>
          <w:b w:val="0"/>
          <w:i w:val="0"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\min</w:t>
      </w:r>
      <w:r>
        <w:rPr>
          <w:rFonts w:ascii="Segoe UI" w:hAnsi="Segoe UI"/>
          <w:b w:val="0"/>
          <w:i w:val="0"/>
          <w:color w:val="2D3748"/>
          <w:sz w:val="22"/>
        </w:rPr>
        <w:t>;</w:t>
      </w:r>
    </w:p>
    <w:p>
      <w:pPr>
        <w:pStyle w:val="ListBullet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warunek wyciszenia: 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≤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 w:val="0"/>
          <w:color w:val="2D3748"/>
          <w:sz w:val="22"/>
        </w:rPr>
        <w:t>;</w:t>
      </w:r>
    </w:p>
    <w:p>
      <w:pPr>
        <w:pStyle w:val="ListBullet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strefa pośrednia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zeruje obie serie (świadoma decyzja projektowa: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oscylacje wokół progu nie wzbudzają ani nie gaszą alarmu).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Alarm włącza się po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kolejnych spełnieniach warunku alertu, gaśnie po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 w:val="0"/>
          <w:color w:val="2D3748"/>
          <w:sz w:val="22"/>
        </w:rPr>
        <w:t xml:space="preserve"> kolejnych spełnieniach warunku wyciszenia. Wartości domyślne (skala znormalizowana, v2.0):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7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\min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 w:val="0"/>
          <w:color w:val="2D3748"/>
          <w:sz w:val="22"/>
        </w:rPr>
        <w:t>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4. Metryki jakości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Dla etykiet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 w:val="0"/>
          <w:color w:val="2D3748"/>
          <w:sz w:val="22"/>
        </w:rPr>
        <w:t xml:space="preserve"> i predykcji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y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 w:val="0"/>
          <w:color w:val="2D3748"/>
          <w:sz w:val="22"/>
        </w:rPr>
        <w:t xml:space="preserve"> liczone są punktowo po krokach czasu: TP, FP, TN, FN oraz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8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z konwencją NaN przy braku pozytywnych etykiet/predykcji. </w:t>
      </w:r>
      <w:r>
        <w:rPr>
          <w:rFonts w:ascii="Segoe UI" w:hAnsi="Segoe UI"/>
          <w:b/>
          <w:i w:val="0"/>
          <w:color w:val="2D3748"/>
          <w:sz w:val="22"/>
        </w:rPr>
        <w:t>Opóźnienie detekcji</w:t>
      </w:r>
      <w:r>
        <w:rPr>
          <w:rFonts w:ascii="Segoe UI" w:hAnsi="Segoe UI"/>
          <w:b w:val="0"/>
          <w:i w:val="0"/>
          <w:color w:val="2D3748"/>
          <w:sz w:val="22"/>
        </w:rPr>
        <w:t xml:space="preserve"> to odstęp od pierwszego kroku ataku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 xml:space="preserve"> do pierwszej predykcji pozytywnej </w:t>
      </w:r>
      <w:r>
        <w:rPr>
          <w:rFonts w:ascii="Segoe UI" w:hAnsi="Segoe UI"/>
          <w:b w:val="0"/>
          <w:i/>
          <w:color w:val="2D3748"/>
          <w:sz w:val="22"/>
        </w:rPr>
        <w:t>≥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 xml:space="preserve">; brak detekcji karany jest pełnym pozostałym horyzontem </w:t>
      </w:r>
      <w:r>
        <w:rPr>
          <w:rFonts w:ascii="Segoe UI" w:hAnsi="Segoe UI"/>
          <w:b w:val="0"/>
          <w:i/>
          <w:color w:val="2D3748"/>
          <w:sz w:val="22"/>
        </w:rPr>
        <w:t>|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|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0</w:t>
      </w:r>
      <w:r>
        <w:rPr>
          <w:rFonts w:ascii="Segoe UI" w:hAnsi="Segoe UI"/>
          <w:b w:val="0"/>
          <w:i w:val="0"/>
          <w:color w:val="2D3748"/>
          <w:sz w:val="22"/>
        </w:rPr>
        <w:t>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5. Strojenie genetyczne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Genom kandydata o długości 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liczba routerów):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726854" cy="6017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6854" cy="60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dekodowany z obcięciem do kostki ograniczeń: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[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/>
          <w:color w:val="2D3748"/>
          <w:sz w:val="22"/>
        </w:rPr>
        <w:t>]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[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]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próg wyciszenia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ρ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θ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 </w:t>
      </w:r>
      <w:r>
        <w:rPr>
          <w:rFonts w:ascii="Segoe UI" w:hAnsi="Segoe UI"/>
          <w:b w:val="0"/>
          <w:i/>
          <w:color w:val="2D3748"/>
          <w:sz w:val="22"/>
        </w:rPr>
        <w:t>ρ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[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9</w:t>
      </w:r>
      <w:r>
        <w:rPr>
          <w:rFonts w:ascii="Segoe UI" w:hAnsi="Segoe UI"/>
          <w:b w:val="0"/>
          <w:i/>
          <w:color w:val="2D3748"/>
          <w:sz w:val="22"/>
        </w:rPr>
        <w:t>]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\min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f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o</w:t>
      </w:r>
      <w:r>
        <w:rPr>
          <w:rFonts w:ascii="Segoe UI" w:hAnsi="Segoe UI"/>
          <w:b w:val="0"/>
          <w:i/>
          <w:color w:val="2D3748"/>
          <w:sz w:val="22"/>
        </w:rPr>
        <w:t>o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φ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e</w:t>
      </w:r>
      <w:r>
        <w:rPr>
          <w:rFonts w:ascii="Segoe UI" w:hAnsi="Segoe UI"/>
          <w:b w:val="0"/>
          <w:i/>
          <w:color w:val="2D3748"/>
          <w:sz w:val="22"/>
        </w:rPr>
        <w:t>i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 </w:t>
      </w:r>
      <w:r>
        <w:rPr>
          <w:rFonts w:ascii="Segoe UI" w:hAnsi="Segoe UI"/>
          <w:b w:val="0"/>
          <w:i/>
          <w:color w:val="2D3748"/>
          <w:sz w:val="22"/>
        </w:rPr>
        <w:t>φ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[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8</w:t>
      </w:r>
      <w:r>
        <w:rPr>
          <w:rFonts w:ascii="Segoe UI" w:hAnsi="Segoe UI"/>
          <w:b w:val="0"/>
          <w:i/>
          <w:color w:val="2D3748"/>
          <w:sz w:val="22"/>
        </w:rPr>
        <w:t>]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∈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…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 w:val="0"/>
          <w:color w:val="2D3748"/>
          <w:sz w:val="22"/>
        </w:rPr>
        <w:t>.</w:t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Funkcja kosztu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(minimalizowana, uśredniana po scenariuszach treningowych):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989993" cy="7615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9993" cy="76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Scenariusze bez ataku wnoszą wyłącznie składnik FPR. Operatory: selekcja turniejowa (</w:t>
      </w:r>
      <w:r>
        <w:rPr>
          <w:rFonts w:ascii="Segoe UI" w:hAnsi="Segoe UI"/>
          <w:b w:val="0"/>
          <w:i/>
          <w:color w:val="2D3748"/>
          <w:sz w:val="22"/>
        </w:rPr>
        <w:t>k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3</w:t>
      </w:r>
      <w:r>
        <w:rPr>
          <w:rFonts w:ascii="Segoe UI" w:hAnsi="Segoe UI"/>
          <w:b w:val="0"/>
          <w:i w:val="0"/>
          <w:color w:val="2D3748"/>
          <w:sz w:val="22"/>
        </w:rPr>
        <w:t xml:space="preserve">), krzyżowanie arytmetyczne </w:t>
      </w:r>
      <w:r>
        <w:rPr>
          <w:rFonts w:ascii="Segoe UI" w:hAnsi="Segoe UI"/>
          <w:b w:val="0"/>
          <w:i/>
          <w:color w:val="2D3748"/>
          <w:sz w:val="22"/>
        </w:rPr>
        <w:t>γ</w:t>
      </w:r>
      <w:r>
        <w:rPr>
          <w:rFonts w:ascii="Segoe UI" w:hAnsi="Segoe UI"/>
          <w:b w:val="0"/>
          <w:i/>
          <w:color w:val="2D3748"/>
          <w:sz w:val="22"/>
        </w:rPr>
        <w:t>'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>γ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>γ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2</w:t>
      </w:r>
      <w:r>
        <w:rPr>
          <w:rFonts w:ascii="Segoe UI" w:hAnsi="Segoe UI"/>
          <w:b w:val="0"/>
          <w:i w:val="0"/>
          <w:color w:val="2D3748"/>
          <w:sz w:val="22"/>
        </w:rPr>
        <w:t xml:space="preserve"> (</w:t>
      </w:r>
      <w:r>
        <w:rPr>
          <w:rFonts w:ascii="Segoe UI" w:hAnsi="Segoe UI"/>
          <w:b w:val="0"/>
          <w:i/>
          <w:color w:val="2D3748"/>
          <w:sz w:val="22"/>
        </w:rPr>
        <w:t>p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7</w:t>
      </w:r>
      <w:r>
        <w:rPr>
          <w:rFonts w:ascii="Segoe UI" w:hAnsi="Segoe UI"/>
          <w:b w:val="0"/>
          <w:i/>
          <w:color w:val="2D3748"/>
          <w:sz w:val="22"/>
        </w:rPr>
        <w:t>5</w:t>
      </w:r>
      <w:r>
        <w:rPr>
          <w:rFonts w:ascii="Segoe UI" w:hAnsi="Segoe UI"/>
          <w:b w:val="0"/>
          <w:i w:val="0"/>
          <w:color w:val="2D3748"/>
          <w:sz w:val="22"/>
        </w:rPr>
        <w:t xml:space="preserve">), mutacja gaussowska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8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 prawdopodobieństwem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 w:val="0"/>
          <w:color w:val="2D3748"/>
          <w:sz w:val="22"/>
        </w:rPr>
        <w:t xml:space="preserve"> na gen (geny całkowitoliczbowe zaokrąglane), elityzm 4 osobników, populacja 36, 24 pokolenia, RNG z ziarnem dla powtarzalności.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6. Detektory referencyjne</w:t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Volume threshold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odporny z-score na globalnym wolumenie </w:t>
      </w:r>
      <w:r>
        <w:rPr>
          <w:rFonts w:ascii="Segoe UI" w:hAnsi="Segoe UI"/>
          <w:b w:val="0"/>
          <w:i/>
          <w:color w:val="2D3748"/>
          <w:sz w:val="22"/>
        </w:rPr>
        <w:t>V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s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r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względem mediany/MAD z przesuwnej historii 16 kroków, z tą samą histerezą.</w:t>
      </w:r>
    </w:p>
    <w:p>
      <w:pPr>
        <w:spacing w:before="0" w:after="160"/>
      </w:pPr>
      <w:r>
        <w:rPr>
          <w:rFonts w:ascii="Segoe UI" w:hAnsi="Segoe UI"/>
          <w:b/>
          <w:i w:val="0"/>
          <w:color w:val="2D3748"/>
          <w:sz w:val="22"/>
        </w:rPr>
        <w:t>EWMA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wykładniczo ważona średnia i wariancja w sformułowaniu Welforda: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5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score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δ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/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x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t-1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\min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— residuum oceniane jest względem stanu </w:t>
      </w:r>
      <w:r>
        <w:rPr>
          <w:rFonts w:ascii="Segoe UI" w:hAnsi="Segoe UI"/>
          <w:b w:val="0"/>
          <w:i/>
          <w:color w:val="2D3748"/>
          <w:sz w:val="22"/>
        </w:rPr>
        <w:t>sprzed</w:t>
      </w:r>
      <w:r>
        <w:rPr>
          <w:rFonts w:ascii="Segoe UI" w:hAnsi="Segoe UI"/>
          <w:b w:val="0"/>
          <w:i w:val="0"/>
          <w:color w:val="2D3748"/>
          <w:sz w:val="22"/>
        </w:rPr>
        <w:t xml:space="preserve"> aktualizacji. Sformułowanie Welforda zastąpiło wcześniejszy wariant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2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>δ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+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σ</w:t>
      </w:r>
      <w:r>
        <w:rPr>
          <w:rFonts w:ascii="Segoe UI" w:hAnsi="Segoe UI"/>
          <w:b w:val="0"/>
          <w:i/>
          <w:color w:val="2D3748"/>
          <w:sz w:val="19"/>
          <w:vertAlign w:val="superscript"/>
        </w:rPr>
        <w:t>2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t-1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który systematycznie zawyżał wariancję (brak czynnika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-</w:t>
      </w:r>
      <w:r>
        <w:rPr>
          <w:rFonts w:ascii="Segoe UI" w:hAnsi="Segoe UI"/>
          <w:b w:val="0"/>
          <w:i/>
          <w:color w:val="2D3748"/>
          <w:sz w:val="22"/>
        </w:rPr>
        <w:t>α</w:t>
      </w:r>
      <w:r>
        <w:rPr>
          <w:rFonts w:ascii="Segoe UI" w:hAnsi="Segoe UI"/>
          <w:b w:val="0"/>
          <w:i w:val="0"/>
          <w:color w:val="2D3748"/>
          <w:sz w:val="22"/>
        </w:rPr>
        <w:t xml:space="preserve"> przy innowacji), zaniżając czułość baseline'u.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7. Scenariusze syntetyczne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Generator (</w:t>
      </w:r>
      <w:r>
        <w:rPr>
          <w:rFonts w:ascii="Consolas" w:hAnsi="Consolas"/>
          <w:b w:val="0"/>
          <w:i w:val="0"/>
          <w:color w:val="A11E51"/>
          <w:sz w:val="19"/>
        </w:rPr>
        <w:t>ddos_ofn/simulation.py</w:t>
      </w:r>
      <w:r>
        <w:rPr>
          <w:rFonts w:ascii="Segoe UI" w:hAnsi="Segoe UI"/>
          <w:b w:val="0"/>
          <w:i w:val="0"/>
          <w:color w:val="2D3748"/>
          <w:sz w:val="22"/>
        </w:rPr>
        <w:t xml:space="preserve">) tworzy macierz </w:t>
      </w:r>
      <w:r>
        <w:rPr>
          <w:rFonts w:ascii="Consolas" w:hAnsi="Consolas"/>
          <w:b w:val="0"/>
          <w:i w:val="0"/>
          <w:color w:val="A11E51"/>
          <w:sz w:val="19"/>
        </w:rPr>
        <w:t>steps × routers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 baseline'ami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U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8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1</w:t>
      </w:r>
      <w:r>
        <w:rPr>
          <w:rFonts w:ascii="Segoe UI" w:hAnsi="Segoe UI"/>
          <w:b w:val="0"/>
          <w:i/>
          <w:color w:val="2D3748"/>
          <w:sz w:val="22"/>
        </w:rPr>
        <w:t>6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 xml:space="preserve"> i szumem </w:t>
      </w:r>
      <w:r>
        <w:rPr>
          <w:rFonts w:ascii="Segoe UI" w:hAnsi="Segoe UI"/>
          <w:b w:val="0"/>
          <w:i/>
          <w:color w:val="2D3748"/>
          <w:sz w:val="22"/>
        </w:rPr>
        <w:t>\</w:t>
      </w:r>
      <w:r>
        <w:rPr>
          <w:rFonts w:ascii="Segoe UI" w:hAnsi="Segoe UI"/>
          <w:b w:val="0"/>
          <w:i/>
          <w:color w:val="2D3748"/>
          <w:sz w:val="22"/>
        </w:rPr>
        <w:t>m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>h</w:t>
      </w:r>
      <w:r>
        <w:rPr>
          <w:rFonts w:ascii="Segoe UI" w:hAnsi="Segoe UI"/>
          <w:b w:val="0"/>
          <w:i/>
          <w:color w:val="2D3748"/>
          <w:sz w:val="22"/>
        </w:rPr>
        <w:t>c</w:t>
      </w:r>
      <w:r>
        <w:rPr>
          <w:rFonts w:ascii="Segoe UI" w:hAnsi="Segoe UI"/>
          <w:b w:val="0"/>
          <w:i/>
          <w:color w:val="2D3748"/>
          <w:sz w:val="22"/>
        </w:rPr>
        <w:t>a</w:t>
      </w:r>
      <w:r>
        <w:rPr>
          <w:rFonts w:ascii="Segoe UI" w:hAnsi="Segoe UI"/>
          <w:b w:val="0"/>
          <w:i/>
          <w:color w:val="2D3748"/>
          <w:sz w:val="22"/>
        </w:rPr>
        <w:t>l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N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(</w:t>
      </w:r>
      <w:r>
        <w:rPr>
          <w:rFonts w:ascii="Segoe UI" w:hAnsi="Segoe UI"/>
          <w:b w:val="0"/>
          <w:i/>
          <w:color w:val="2D3748"/>
          <w:sz w:val="22"/>
        </w:rPr>
        <w:t>0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4</w:t>
      </w:r>
      <w:r>
        <w:rPr>
          <w:rFonts w:ascii="Segoe UI" w:hAnsi="Segoe UI"/>
          <w:b w:val="0"/>
          <w:i/>
          <w:color w:val="2D3748"/>
          <w:sz w:val="22"/>
        </w:rPr>
        <w:t>)</w:t>
      </w:r>
      <w:r>
        <w:rPr>
          <w:rFonts w:ascii="Segoe UI" w:hAnsi="Segoe UI"/>
          <w:b w:val="0"/>
          <w:i w:val="0"/>
          <w:color w:val="2D3748"/>
          <w:sz w:val="22"/>
        </w:rPr>
        <w:t>, obciętą do wartości nieujemnych: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bottom w:val="single" w:sz="8" w:space="0" w:color="1B365D"/>
          <w:insideH w:val="single" w:sz="4" w:space="0" w:color="E2E8F0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21"/>
              </w:rPr>
              <w:t>Scenariusz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21"/>
              </w:rPr>
              <w:t>Charakter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21"/>
              </w:rPr>
              <w:t>Etykiety ataku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normal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czysty szum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brak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ddos_ramp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liniowa rampa na 70% routerów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tak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ddos_pulse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pulsowanie 2-z-3 kroków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tak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ddos_low_and_slow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słaba, wolna rampa (0,55 amplitudy)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tak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ddos_rotating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4 grupy routerów atakowane rotacyjnie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tak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flash_crowd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sinusoidalny przepływ legalny (25% routerów)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/>
                <w:i w:val="0"/>
                <w:color w:val="2D3748"/>
                <w:sz w:val="20"/>
              </w:rPr>
              <w:t>nie</w:t>
            </w: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 xml:space="preserve"> (test FPR)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A11E51"/>
                <w:sz w:val="17"/>
              </w:rPr>
              <w:t>flash_cascade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>kaskada przepływów legalnych grupami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Segoe UI" w:hAnsi="Segoe UI"/>
                <w:b/>
                <w:i w:val="0"/>
                <w:color w:val="2D3748"/>
                <w:sz w:val="20"/>
              </w:rPr>
              <w:t>nie</w:t>
            </w:r>
            <w:r>
              <w:rPr>
                <w:rFonts w:ascii="Segoe UI" w:hAnsi="Segoe UI"/>
                <w:b w:val="0"/>
                <w:i w:val="0"/>
                <w:color w:val="2D3748"/>
                <w:sz w:val="20"/>
              </w:rPr>
              <w:t xml:space="preserve"> (test FPR)</w:t>
            </w:r>
          </w:p>
        </w:tc>
      </w:tr>
    </w:tbl>
    <w:p>
      <w:pPr>
        <w:spacing w:before="80" w:after="160"/>
      </w:pP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Scenariusze </w:t>
      </w:r>
      <w:r>
        <w:rPr>
          <w:rFonts w:ascii="Consolas" w:hAnsi="Consolas"/>
          <w:b w:val="0"/>
          <w:i w:val="0"/>
          <w:color w:val="A11E51"/>
          <w:sz w:val="19"/>
        </w:rPr>
        <w:t>flash_*</w:t>
      </w:r>
      <w:r>
        <w:rPr>
          <w:rFonts w:ascii="Segoe UI" w:hAnsi="Segoe UI"/>
          <w:b w:val="0"/>
          <w:i w:val="0"/>
          <w:color w:val="2D3748"/>
          <w:sz w:val="22"/>
        </w:rPr>
        <w:t xml:space="preserve"> pełnią rolę negatywnych przypadków kontrolnych: poprawny detektor ma ich </w:t>
      </w:r>
      <w:r>
        <w:rPr>
          <w:rFonts w:ascii="Segoe UI" w:hAnsi="Segoe UI"/>
          <w:b/>
          <w:i w:val="0"/>
          <w:color w:val="2D3748"/>
          <w:sz w:val="22"/>
        </w:rPr>
        <w:t>nie</w:t>
      </w:r>
      <w:r>
        <w:rPr>
          <w:rFonts w:ascii="Segoe UI" w:hAnsi="Segoe UI"/>
          <w:b w:val="0"/>
          <w:i w:val="0"/>
          <w:color w:val="2D3748"/>
          <w:sz w:val="22"/>
        </w:rPr>
        <w:t xml:space="preserve"> klasyfikować jako ataku, mimo wzrostu wolumenu.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8. Własności, kompromisy i ograniczenia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/>
          <w:i w:val="0"/>
          <w:color w:val="2D3748"/>
          <w:sz w:val="22"/>
        </w:rPr>
        <w:t>FPR vs recall.</w:t>
      </w:r>
      <w:r>
        <w:rPr>
          <w:rFonts w:ascii="Segoe UI" w:hAnsi="Segoe UI"/>
          <w:b w:val="0"/>
          <w:i w:val="0"/>
          <w:color w:val="2D3748"/>
          <w:sz w:val="22"/>
        </w:rPr>
        <w:t xml:space="preserve"> Kalibracja v2.0 (próg kierunku </w:t>
      </w:r>
      <w:r>
        <w:rPr>
          <w:rFonts w:ascii="Segoe UI" w:hAnsi="Segoe UI"/>
          <w:b w:val="0"/>
          <w:i/>
          <w:color w:val="2D3748"/>
          <w:sz w:val="22"/>
        </w:rPr>
        <w:t>ε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=</w:t>
      </w:r>
      <w:r>
        <w:rPr>
          <w:rFonts w:ascii="Segoe UI" w:hAnsi="Segoe UI"/>
          <w:b w:val="0"/>
          <w:i/>
          <w:color w:val="2D3748"/>
          <w:sz w:val="22"/>
        </w:rPr>
        <w:t xml:space="preserve"> 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/>
          <w:color w:val="2D3748"/>
          <w:sz w:val="22"/>
        </w:rPr>
        <w:t>{</w:t>
      </w:r>
      <w:r>
        <w:rPr>
          <w:rFonts w:ascii="Segoe UI" w:hAnsi="Segoe UI"/>
          <w:b w:val="0"/>
          <w:i/>
          <w:color w:val="2D3748"/>
          <w:sz w:val="22"/>
        </w:rPr>
        <w:t>,</w:t>
      </w:r>
      <w:r>
        <w:rPr>
          <w:rFonts w:ascii="Segoe UI" w:hAnsi="Segoe UI"/>
          <w:b w:val="0"/>
          <w:i/>
          <w:color w:val="2D3748"/>
          <w:sz w:val="22"/>
        </w:rPr>
        <w:t>}</w:t>
      </w:r>
      <w:r>
        <w:rPr>
          <w:rFonts w:ascii="Segoe UI" w:hAnsi="Segoe UI"/>
          <w:b w:val="0"/>
          <w:i/>
          <w:color w:val="2D3748"/>
          <w:sz w:val="22"/>
        </w:rPr>
        <w:t>2</w:t>
      </w:r>
      <w:r>
        <w:rPr>
          <w:rFonts w:ascii="Segoe UI" w:hAnsi="Segoe UI"/>
          <w:b w:val="0"/>
          <w:i w:val="0"/>
          <w:color w:val="2D3748"/>
          <w:sz w:val="22"/>
        </w:rPr>
        <w:t>, normalizacja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score) sprowadza FPR w spoczynku do 0% i odporność na </w:t>
      </w:r>
      <w:r>
        <w:rPr>
          <w:rFonts w:ascii="Consolas" w:hAnsi="Consolas"/>
          <w:b w:val="0"/>
          <w:i w:val="0"/>
          <w:color w:val="A11E51"/>
          <w:sz w:val="19"/>
        </w:rPr>
        <w:t>flash_crowd</w:t>
      </w:r>
      <w:r>
        <w:rPr>
          <w:rFonts w:ascii="Segoe UI" w:hAnsi="Segoe UI"/>
          <w:b w:val="0"/>
          <w:i w:val="0"/>
          <w:color w:val="2D3748"/>
          <w:sz w:val="22"/>
        </w:rPr>
        <w:t xml:space="preserve">, ale na domyślnych progach osłabia czułość na ataki subtelne — w szczególności </w:t>
      </w:r>
      <w:r>
        <w:rPr>
          <w:rFonts w:ascii="Consolas" w:hAnsi="Consolas"/>
          <w:b w:val="0"/>
          <w:i w:val="0"/>
          <w:color w:val="A11E51"/>
          <w:sz w:val="19"/>
        </w:rPr>
        <w:t>ddos_low_and_slow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wymaga strojenia GA lub niższych progów per-instalacja. Słaba rampa o przyroście wolniejszym niż </w:t>
      </w:r>
      <w:r>
        <w:rPr>
          <w:rFonts w:ascii="Segoe UI" w:hAnsi="Segoe UI"/>
          <w:b w:val="0"/>
          <w:i/>
          <w:color w:val="2D3748"/>
          <w:sz w:val="22"/>
        </w:rPr>
        <w:t>ε</w:t>
      </w:r>
      <w:r>
        <w:rPr>
          <w:rFonts w:ascii="Segoe UI" w:hAnsi="Segoe UI"/>
          <w:b w:val="0"/>
          <w:i/>
          <w:color w:val="2D3748"/>
          <w:sz w:val="19"/>
          <w:vertAlign w:val="subscript"/>
        </w:rPr>
        <w:t>T</w:t>
      </w:r>
      <w:r>
        <w:rPr>
          <w:rFonts w:ascii="Segoe UI" w:hAnsi="Segoe UI"/>
          <w:b w:val="0"/>
          <w:i w:val="0"/>
          <w:color w:val="2D3748"/>
          <w:sz w:val="22"/>
        </w:rPr>
        <w:t xml:space="preserve"> na długości okna </w:t>
      </w:r>
      <w:r>
        <w:rPr>
          <w:rFonts w:ascii="Segoe UI" w:hAnsi="Segoe UI"/>
          <w:b w:val="0"/>
          <w:i/>
          <w:color w:val="2D3748"/>
          <w:sz w:val="22"/>
        </w:rPr>
        <w:t>W</w:t>
      </w:r>
      <w:r>
        <w:rPr>
          <w:rFonts w:ascii="Segoe UI" w:hAnsi="Segoe UI"/>
          <w:b w:val="0"/>
          <w:i w:val="0"/>
          <w:color w:val="2D3748"/>
          <w:sz w:val="22"/>
        </w:rPr>
        <w:t xml:space="preserve"> z definicji nie wzbudza kierunku; remedium to dłuższe okno trendu, niezależne od okna kształtu.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/>
          <w:i w:val="0"/>
          <w:color w:val="2D3748"/>
          <w:sz w:val="22"/>
        </w:rPr>
        <w:t>Skala punktowa.</w:t>
      </w:r>
      <w:r>
        <w:rPr>
          <w:rFonts w:ascii="Segoe UI" w:hAnsi="Segoe UI"/>
          <w:b w:val="0"/>
          <w:i w:val="0"/>
          <w:color w:val="2D3748"/>
          <w:sz w:val="22"/>
        </w:rPr>
        <w:t xml:space="preserve"> Po normalizacji </w:t>
      </w:r>
      <w:r>
        <w:rPr>
          <w:rFonts w:ascii="Segoe UI" w:hAnsi="Segoe UI"/>
          <w:b w:val="0"/>
          <w:i/>
          <w:color w:val="2D3748"/>
          <w:sz w:val="22"/>
        </w:rPr>
        <w:t>Ω</w:t>
      </w:r>
      <w:r>
        <w:rPr>
          <w:rFonts w:ascii="Segoe UI" w:hAnsi="Segoe UI"/>
          <w:b w:val="0"/>
          <w:i w:val="0"/>
          <w:color w:val="2D3748"/>
          <w:sz w:val="22"/>
        </w:rPr>
        <w:t xml:space="preserve"> score ma stałą interpretację niezależną od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 xml:space="preserve">liczby routerów; modele zapisane w skali v1.0 są niekompatybilne i odrzucane przy wczytaniu (pole </w:t>
      </w:r>
      <w:r>
        <w:rPr>
          <w:rFonts w:ascii="Consolas" w:hAnsi="Consolas"/>
          <w:b w:val="0"/>
          <w:i w:val="0"/>
          <w:color w:val="A11E51"/>
          <w:sz w:val="19"/>
        </w:rPr>
        <w:t>version</w:t>
      </w:r>
      <w:r>
        <w:rPr>
          <w:rFonts w:ascii="Segoe UI" w:hAnsi="Segoe UI"/>
          <w:b w:val="0"/>
          <w:i w:val="0"/>
          <w:color w:val="2D3748"/>
          <w:sz w:val="22"/>
        </w:rPr>
        <w:t xml:space="preserve"> w payloadzie JSON).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/>
          <w:i w:val="0"/>
          <w:color w:val="2D3748"/>
          <w:sz w:val="22"/>
        </w:rPr>
        <w:t>Stacjonarność baseline'u.</w:t>
      </w:r>
      <w:r>
        <w:rPr>
          <w:rFonts w:ascii="Segoe UI" w:hAnsi="Segoe UI"/>
          <w:b w:val="0"/>
          <w:i w:val="0"/>
          <w:color w:val="2D3748"/>
          <w:sz w:val="22"/>
        </w:rPr>
        <w:t xml:space="preserve"> Mediana/MAD z 16 kroków zakłada lokalną stacjonarność ruchu;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silna sezonowość dobowa wymagałaby baseline'u warunkowanego czasem.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/>
          <w:i w:val="0"/>
          <w:color w:val="2D3748"/>
          <w:sz w:val="22"/>
        </w:rPr>
        <w:t>Detekcja punktowa po krokach.</w:t>
      </w:r>
      <w:r>
        <w:rPr>
          <w:rFonts w:ascii="Segoe UI" w:hAnsi="Segoe UI"/>
          <w:b w:val="0"/>
          <w:i w:val="0"/>
          <w:color w:val="2D3748"/>
          <w:sz w:val="22"/>
        </w:rPr>
        <w:t xml:space="preserve"> Metryki liczone są per-krok, nie per-epizod; długi atak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wykryty z opóźnieniem obniża recall proporcjonalnie do opóźnienia.</w:t>
      </w:r>
    </w:p>
    <w:p>
      <w:pPr>
        <w:spacing w:before="240" w:after="240"/>
        <w:jc w:val="center"/>
        <w:pBdr>
          <w:bottom w:val="single" w:sz="4" w:space="6" w:color="CBD5E1"/>
        </w:pBdr>
      </w:pP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1B365D"/>
          <w:sz w:val="26"/>
        </w:rPr>
        <w:t>9. Literatura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W. Kosiński, P. Prokopowicz, D. Ślęzak, </w:t>
      </w:r>
      <w:r>
        <w:rPr>
          <w:rFonts w:ascii="Segoe UI" w:hAnsi="Segoe UI"/>
          <w:b w:val="0"/>
          <w:i/>
          <w:color w:val="2D3748"/>
          <w:sz w:val="22"/>
        </w:rPr>
        <w:t>Ordered fuzzy numbers</w:t>
      </w:r>
      <w:r>
        <w:rPr>
          <w:rFonts w:ascii="Segoe UI" w:hAnsi="Segoe UI"/>
          <w:b w:val="0"/>
          <w:i w:val="0"/>
          <w:color w:val="2D3748"/>
          <w:sz w:val="22"/>
        </w:rPr>
        <w:t>, Bulletin of the Polish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Academy of Sciences: Mathematics, 51(3), 2003, 327–338.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W. Kosiński, </w:t>
      </w:r>
      <w:r>
        <w:rPr>
          <w:rFonts w:ascii="Segoe UI" w:hAnsi="Segoe UI"/>
          <w:b w:val="0"/>
          <w:i/>
          <w:color w:val="2D3748"/>
          <w:sz w:val="22"/>
        </w:rPr>
        <w:t>On fuzzy number calculus</w:t>
      </w:r>
      <w:r>
        <w:rPr>
          <w:rFonts w:ascii="Segoe UI" w:hAnsi="Segoe UI"/>
          <w:b w:val="0"/>
          <w:i w:val="0"/>
          <w:color w:val="2D3748"/>
          <w:sz w:val="22"/>
        </w:rPr>
        <w:t>, International Journal of Applied Mathematics and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Computer Science, 16(1), 2006, 51–57.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P. Prokopowicz i in. (red.), </w:t>
      </w:r>
      <w:r>
        <w:rPr>
          <w:rFonts w:ascii="Segoe UI" w:hAnsi="Segoe UI"/>
          <w:b w:val="0"/>
          <w:i/>
          <w:color w:val="2D3748"/>
          <w:sz w:val="22"/>
        </w:rPr>
        <w:t>Theory and Applications of Ordered Fuzzy Numbers</w:t>
      </w:r>
      <w:r>
        <w:rPr>
          <w:rFonts w:ascii="Segoe UI" w:hAnsi="Segoe UI"/>
          <w:b w:val="0"/>
          <w:i w:val="0"/>
          <w:color w:val="2D3748"/>
          <w:sz w:val="22"/>
        </w:rPr>
        <w:t>,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Studies in Fuzziness and Soft Computing 356, Springer, 2017.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P.J. Rousseeuw, C. Croux, </w:t>
      </w:r>
      <w:r>
        <w:rPr>
          <w:rFonts w:ascii="Segoe UI" w:hAnsi="Segoe UI"/>
          <w:b w:val="0"/>
          <w:i/>
          <w:color w:val="2D3748"/>
          <w:sz w:val="22"/>
        </w:rPr>
        <w:t>Alternatives to the median absolute deviation</w:t>
      </w:r>
      <w:r>
        <w:rPr>
          <w:rFonts w:ascii="Segoe UI" w:hAnsi="Segoe UI"/>
          <w:b w:val="0"/>
          <w:i w:val="0"/>
          <w:color w:val="2D3748"/>
          <w:sz w:val="22"/>
        </w:rPr>
        <w:t>, JASA 88(424), 1993.</w:t>
      </w:r>
    </w:p>
    <w:p>
      <w:pPr>
        <w:pStyle w:val="ListNumber"/>
        <w:spacing w:before="0" w:after="80"/>
        <w:ind w:left="360"/>
      </w:pPr>
      <w:r>
        <w:rPr>
          <w:rFonts w:ascii="Segoe UI" w:hAnsi="Segoe UI"/>
          <w:b w:val="0"/>
          <w:i w:val="0"/>
          <w:color w:val="2D3748"/>
          <w:sz w:val="22"/>
        </w:rPr>
        <w:t xml:space="preserve">B.P. Welford, </w:t>
      </w:r>
      <w:r>
        <w:rPr>
          <w:rFonts w:ascii="Segoe UI" w:hAnsi="Segoe UI"/>
          <w:b w:val="0"/>
          <w:i/>
          <w:color w:val="2D3748"/>
          <w:sz w:val="22"/>
        </w:rPr>
        <w:t>Note on a method for calculating corrected sums of squares and products</w:t>
      </w:r>
      <w:r>
        <w:rPr>
          <w:rFonts w:ascii="Segoe UI" w:hAnsi="Segoe UI"/>
          <w:b w:val="0"/>
          <w:i w:val="0"/>
          <w:color w:val="2D3748"/>
          <w:sz w:val="22"/>
        </w:rPr>
        <w:t>,</w:t>
      </w:r>
    </w:p>
    <w:p>
      <w:pPr>
        <w:spacing w:before="0" w:after="160"/>
      </w:pPr>
      <w:r>
        <w:rPr>
          <w:rFonts w:ascii="Segoe UI" w:hAnsi="Segoe UI"/>
          <w:b w:val="0"/>
          <w:i w:val="0"/>
          <w:color w:val="2D3748"/>
          <w:sz w:val="22"/>
        </w:rPr>
        <w:t>Technometrics 4(3), 1962.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Segoe UI" w:hAnsi="Segoe UI"/>
      <w:b w:val="0"/>
      <w:i w:val="0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