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EE88E" w14:textId="77777777" w:rsidR="00DE0CCA" w:rsidRDefault="00000000">
      <w:pPr>
        <w:spacing w:after="240"/>
      </w:pPr>
      <w:r>
        <w:t>Theory of Knowledge</w:t>
      </w:r>
    </w:p>
    <w:p w14:paraId="515C8BE4" w14:textId="77777777" w:rsidR="00DE0CCA" w:rsidRDefault="00000000">
      <w:pPr>
        <w:spacing w:after="240"/>
      </w:pPr>
      <w:r>
        <w:t>Are we too quick to assume that the most recent evidence is inevitably the strongest?</w:t>
      </w:r>
    </w:p>
    <w:p w14:paraId="666F90DA" w14:textId="77777777" w:rsidR="00DE0CCA" w:rsidRDefault="00000000">
      <w:pPr>
        <w:spacing w:after="240"/>
      </w:pPr>
      <w:r>
        <w:t>Discuss with reference to the natural sciences and one other area of knowledge.</w:t>
      </w:r>
    </w:p>
    <w:p w14:paraId="6114F208" w14:textId="77777777" w:rsidR="00DE0CCA" w:rsidRDefault="00000000">
      <w:pPr>
        <w:spacing w:after="240"/>
      </w:pPr>
      <w:r>
        <w:t>AOKs: Natural Sciences &amp; Mathematics</w:t>
      </w:r>
    </w:p>
    <w:p w14:paraId="7B95F9E4" w14:textId="77777777" w:rsidR="00DE0CCA" w:rsidRDefault="00000000">
      <w:pPr>
        <w:spacing w:after="240"/>
      </w:pPr>
      <w:r>
        <w:t>IB personal code: ldd666</w:t>
      </w:r>
    </w:p>
    <w:p w14:paraId="43A089A1" w14:textId="77777777" w:rsidR="00DE0CCA" w:rsidRDefault="00000000">
      <w:pPr>
        <w:spacing w:after="240"/>
      </w:pPr>
      <w:r>
        <w:t>Word count: 1600 words</w:t>
      </w:r>
    </w:p>
    <w:p w14:paraId="00CCAB40" w14:textId="77777777" w:rsidR="00DE0CCA" w:rsidRDefault="00000000">
      <w:pPr>
        <w:spacing w:after="240"/>
      </w:pPr>
      <w:r>
        <w:t>A common trope in crime fiction is the red herring. As an avid reader of such novels, I am familiar with the signs-planted gloves, false letters, or ominous fingerprints discovered early in the plot, initially perceived as infallible only to lead the detective astray. Essentially, this early evidence is the first step toward a false conclusion.</w:t>
      </w:r>
    </w:p>
    <w:p w14:paraId="46D26DD9" w14:textId="77777777" w:rsidR="00DE0CCA" w:rsidRDefault="00000000">
      <w:pPr>
        <w:spacing w:after="240"/>
      </w:pPr>
      <w:r>
        <w:t>The crux of red herrings lies in the making of assumptions, a phenomenon not confined to fiction. Recency bias asserts that priority is accorded to recent evidence, here defined as an empirical indicator of the truth of a statement; this is particularly noticeable in emerging fields of investigation where insufficient time has elapsed to gather additional evidence (Nagel &amp; Norton, 1998; Turvey &amp; Freeman, 2012). In line with this, while "inevitably" implies a predetermined course and "most recent" suggests immediacy, does temporal proximity influence belief in the strength of evidence? This essay aims to discuss whether or not we are too quick to assume that the most recent evidence is inevitably the strongest in conjunction with the areas of the natural sciences and mathematics. While both value evidence in the knowledge process, it is crucial to note that evidence undergoes rigorous review before gaining acceptance within a knowledge community; concomitantly, the validity of this can come under question when considering possible biases and inconsistencies (Smith, 2006).</w:t>
      </w:r>
    </w:p>
    <w:p w14:paraId="11CCEF22" w14:textId="77777777" w:rsidR="00DE0CCA" w:rsidRDefault="00000000">
      <w:pPr>
        <w:spacing w:after="240"/>
      </w:pPr>
      <w:r>
        <w:t>Evidence is a cornerstone in the natural sciences, and essential to this is the scientific method through which it, and by proxy, knowledge, is acquired: observation, experimentation, and analysis. Following this begins a comprehensive process of validation by the wider scientific community, yet it is undeniable that these procedures may carry biases (Zvereva &amp; Kozlov, 2021). In 1912, the discovery of the Piltdown Man, a set of fossilized human remains, was</w:t>
      </w:r>
      <w:r>
        <w:br/>
        <w:t>considered vital evidence in anthropology (Subramaniam, 2023). Forty-two years later, in 1953, the Piltdown Man was discovered to be a forgery. The hoax's success can be attributed to the then-prevailing beliefs and the resulting confirmation bias. At the time, there was a widely held belief that the modern brain preceded a jaw suited for omnivorous diets; the forgery conveniently supported this notion (Gould, 1980). Cultural biases also played a role in the fossil's supposed validity, as it fulfilled British hopes that the earliest humans would be found in Britain, the Piltdown Man being "the earliest Englishman" (Courant, 2018). Insomuch as it took years for the forgery to be disproven, it becomes clear that biases within the scientific community can contribute to the premature acceptance of evidence.</w:t>
      </w:r>
    </w:p>
    <w:p w14:paraId="7DFEAD5C" w14:textId="77777777" w:rsidR="00DE0CCA" w:rsidRDefault="00000000">
      <w:pPr>
        <w:spacing w:after="240"/>
      </w:pPr>
      <w:r>
        <w:t xml:space="preserve">Likewise, in the absence of further knowledge, flawed evidence may inadvertently be accepted as valid, driven by the human inclination to fill gaps in understanding. The element radium found widespread use in everyday goods from watches to medicines at the beginning of the 20th century (Scott &amp; Guilmette, 2005). During this period, the </w:t>
      </w:r>
      <w:r>
        <w:lastRenderedPageBreak/>
        <w:t>detrimental effects of radiation were still unknown; owing to limited scientific understanding, the notion that radium conferred health benefits was readily embraced, even among scientists (Gad, 2005). This uncritical acceptance contributed to risky practices, such as drinking radium-infused water which leads to bone necrosis and eventually, death. Certainly, allotting a grace period for radium to undergo further testing before approving its general usage could have potentially prevented numerous deaths and injuries. In seeking innovation, the allure of novelty can occasionally occlude the imperative for thorough investigation.</w:t>
      </w:r>
    </w:p>
    <w:p w14:paraId="2E4DA39A" w14:textId="77777777" w:rsidR="00DE0CCA" w:rsidRDefault="00000000">
      <w:pPr>
        <w:spacing w:after="240"/>
      </w:pPr>
      <w:r>
        <w:t>Nevertheless, with this in mind, is quick acceptance always the case regarding recent evidence? The development of the theory of quantum mechanics evolved gradually throughout the 1600 s until the modern day to explain phenomena that could not be reconciled with classical physics (Cohen, 2003). The discoveries that led up to this, however, were not universally accepted at the time - there were many staunchly against concepts currently agreed upon, such as physicist Ernst Mach firmly opposing the atomic theory of matter (Pojman, 2023). However, with time, the theory of quantum mechanics was accepted and formalized. Ultimately, scientific knowledge is iterative and subject to refinement and revision; rigorous peer review is what ensures that evidence and its strength are formalized only after a consensus has been reached.</w:t>
      </w:r>
    </w:p>
    <w:p w14:paraId="738A041D" w14:textId="77777777" w:rsidR="00DE0CCA" w:rsidRDefault="00000000">
      <w:pPr>
        <w:spacing w:after="240"/>
      </w:pPr>
      <w:r>
        <w:t>Furthermore, bias can work against recent evidence, leading it to be disregarded in line with the current paradigm. Before the 19th century, the germ theory of disease was ignored in favor of the miasma theory, which hypothesized that diseases were a result of "bad air" emanating from decomposed matter (Tulchinsky et al., 2023). For example, physician John Snow, an early proponent of modern epidemiology, proposed that an 1854 London cholera outbreak was spread through germs in a contaminated water pump; this idea was completely rejected by the London Board of Health's Committee for Scientific Inquiries. It was only after significant breakthroughs in epidemiology that germ theory was accepted. While the evidence for germ theory at the time was sound, it was disregarded in favor of prior evidence of miasma theory-confirmation bias pushed scientists to prioritize evidence that supported preexisting beliefs, a tendency known as the Semmelweis reflex (Gupta et al., 2020). Hence, it is essential to recognize the potential limitations of current knowledge and remain receptive to emerging</w:t>
      </w:r>
    </w:p>
    <w:p w14:paraId="10CCBD15" w14:textId="77777777" w:rsidR="00DE0CCA" w:rsidRDefault="00000000">
      <w:pPr>
        <w:spacing w:after="240"/>
      </w:pPr>
      <w:r>
        <w:t>Are we too quick to assume that the most recent evidence is inevitably the strongest?</w:t>
      </w:r>
    </w:p>
    <w:p w14:paraId="197E7B83" w14:textId="77777777" w:rsidR="00DE0CCA" w:rsidRDefault="00000000">
      <w:pPr>
        <w:spacing w:after="240"/>
      </w:pPr>
      <w:r>
        <w:t>evidence. A healthy knowledge community fosters an intellectually flexible environment, preventing the stagnation that may result from adherence to established beliefs.</w:t>
      </w:r>
    </w:p>
    <w:p w14:paraId="245522DD" w14:textId="77777777" w:rsidR="00DE0CCA" w:rsidRDefault="00000000">
      <w:pPr>
        <w:spacing w:after="240"/>
      </w:pPr>
      <w:r>
        <w:t>Akin to the natural sciences, mathematics is an ever-evolving discipline that relies on evidence to refine its theoretical foundations; knowledge acquisition in mathematics is conducted through formulating conclusions based on observations and proofs. Nonetheless, the complexity of mathematics can lead to evidence being accepted because of its complexity, a phenomenon referred to as "proof by intimidation." With this, the Four Color Theorem, a theorem stating that any map can be colored with only four colors in such a way that no two adjacent regions have the same color, had several false proofs until its final proof in 1976 (</w:t>
      </w:r>
      <w:proofErr w:type="spellStart"/>
      <w:r>
        <w:t>Tymoczko</w:t>
      </w:r>
      <w:proofErr w:type="spellEnd"/>
      <w:r>
        <w:t xml:space="preserve">, 1979). Two false proofs, given by Alfred Kempe in 1879 and Peter Guthrie Tait in 1880, were widely acclaimed and accepted for eleven years each before being disproven, initially celebrated due to their apparent complexity (Thomas, 1998). Concurrently, eagerness to adopt the latest findings, especially those seen as obscure enough to be true, may lead to overlooking critical flaws. In this, the </w:t>
      </w:r>
      <w:r>
        <w:lastRenderedPageBreak/>
        <w:t>nature of assumptions goes against logical reasoning; noncritical acceptance of complexity may overshadow the meticulous inspection necessary for sound evaluation.</w:t>
      </w:r>
    </w:p>
    <w:p w14:paraId="71273CB1" w14:textId="77777777" w:rsidR="00DE0CCA" w:rsidRDefault="00000000">
      <w:pPr>
        <w:spacing w:after="240"/>
      </w:pPr>
      <w:r>
        <w:t>Additionally, evidence gains strength over time as it undergoes verification and validation. Recent evidence might not have endured such rigorous examination; assuming it holds weight to the same degree as tested evidence underestimates the significance of time in evidence assessment. In financial mathematics, algorithmic trading strategies are the implementation of computerized algorithms to perform financial trades based on mathematical models (Joiner et al., 2022). This poses a scenario wherein, given the recency of these</w:t>
      </w:r>
      <w:r>
        <w:br/>
        <w:t>developments in technology, the long-term success of these strategies has not yet been adequately assessed (Yang, 2017). This can lead to overestimating the reliability and efficacy of these algorithms, resulting in potential financial losses due to an ever-changing and fluctuating market (Eberlein et al., 2007). Sustained success demands an understanding beyond the immediacy of recent evidence, but in the eagerness to embrace the latest findings, we risk disrupting the balance between innovation and reliability.</w:t>
      </w:r>
    </w:p>
    <w:p w14:paraId="09504C4A" w14:textId="77777777" w:rsidR="00DE0CCA" w:rsidRDefault="00000000">
      <w:pPr>
        <w:spacing w:after="240"/>
      </w:pPr>
      <w:r>
        <w:t xml:space="preserve">Be that as it may, these cases are few and far between; mathematics intrinsically opposes blind acceptance, discouraging hasty belief without verification. Mathematical concepts, though abstract, are subject to scrutiny and revision. Given the theoretical nature of mathematical work, proving theorems often involves a continuous exchange of ideas among researchers; collaborations extend across generations, with mathematicians contributing to and critiquing each other's work. The mathematical proof for the classification of simple finite groups, for example, comprises thousands of pages in hundreds of journal articles by approximately a hundred authors, and its development has spanned from 1832 to the present day (Solomon, 2001; </w:t>
      </w:r>
      <w:proofErr w:type="spellStart"/>
      <w:r>
        <w:t>Capdeboseq</w:t>
      </w:r>
      <w:proofErr w:type="spellEnd"/>
      <w:r>
        <w:t xml:space="preserve"> et al., 2023). This perpetual accumulation and revision of ideas is a dynamic and collaborative process wherein the pursuit of conclusive evidence is paramount.</w:t>
      </w:r>
    </w:p>
    <w:p w14:paraId="688B5B44" w14:textId="77777777" w:rsidR="00DE0CCA" w:rsidRDefault="00000000">
      <w:pPr>
        <w:spacing w:after="240"/>
      </w:pPr>
      <w:r>
        <w:t>Moreover, mathematical theorems are constructed through logical deductions originating from previously proven theorems. This approach ensures that newly proposed theorems have a robust basis, grounded in the verifiable principles of mathematical reasoning. In number theory, the statement that the product of two even integers is always even can be proven through basic number properties (Dunham, 2023). Consider any two even integers. If both integers are even,</w:t>
      </w:r>
      <w:r>
        <w:br/>
        <w:t>then each can be expressed as a multiple of two. The product of these integers is also a multiple of two, an even number. Therefore, it can be deduced that the product of two even integers is always even, derived only from fundamental number properties. Following this, mathematics relies on a systematic approach to building knowledge. The reasoning employed in mathematical proofs follows a structured path from previously proven knowledge to new evidence. Thus, new evidence can justifiably be considered strong when built upon a pre-established foundation.</w:t>
      </w:r>
    </w:p>
    <w:p w14:paraId="45393C3C" w14:textId="77777777" w:rsidR="00DE0CCA" w:rsidRDefault="00000000">
      <w:pPr>
        <w:spacing w:after="240"/>
      </w:pPr>
      <w:r>
        <w:t>In summary, it can be concluded that we are not necessarily too quick to assume that the most recent evidence is inevitably the strongest. While this may hold in specific scenarios, it is not a universal principle. This is not to say that it does not occur at all; instances abound where recent evidence is erroneously embraced as absolute truth, yet there are just as many cases where it is unfairly dismissed or, contrarily, validated.</w:t>
      </w:r>
    </w:p>
    <w:p w14:paraId="3FC89F4A" w14:textId="77777777" w:rsidR="00DE0CCA" w:rsidRDefault="00000000">
      <w:pPr>
        <w:spacing w:after="240"/>
      </w:pPr>
      <w:r>
        <w:t xml:space="preserve">Hence, recent evidence should not be summarily accepted or rejected. All evidence regardless of recency must undergo rigorous scrutiny, drawing upon available knowledge </w:t>
      </w:r>
      <w:r>
        <w:lastRenderedPageBreak/>
        <w:t>and employing a discerning and analytical approach (Anderson et al., 2005). Just as a red herring can mislead a detective, a smoking gun might be overlooked if evidence is casually disregarded. Through analyzing these AOKs, it is evident that intensive research and verification are prerequisites before evidence is accepted; however, the recency of the evidence does not necessarily determine its strength or shape our immediate assumptions. Bearing this in consideration, particularly in assiduous fields such as mathematics and the natural sciences, is crucial for knowledge production.</w:t>
      </w:r>
    </w:p>
    <w:p w14:paraId="0E93BD64" w14:textId="77777777" w:rsidR="00DE0CCA" w:rsidRDefault="00000000">
      <w:pPr>
        <w:spacing w:after="240"/>
      </w:pPr>
      <w:r>
        <w:t>Are we too quick to assume that the most recent evidence is inevitably the strongest?</w:t>
      </w:r>
    </w:p>
    <w:p w14:paraId="54D56132" w14:textId="77777777" w:rsidR="00DE0CCA" w:rsidRDefault="00000000">
      <w:pPr>
        <w:spacing w:before="360" w:line="420" w:lineRule="auto"/>
      </w:pPr>
      <w:r>
        <w:rPr>
          <w:b/>
          <w:sz w:val="42"/>
          <w:szCs w:val="42"/>
        </w:rPr>
        <w:t>References</w:t>
      </w:r>
    </w:p>
    <w:p w14:paraId="18FE9A07" w14:textId="77777777" w:rsidR="00DE0CCA" w:rsidRDefault="00000000">
      <w:pPr>
        <w:spacing w:after="240"/>
      </w:pPr>
      <w:r>
        <w:t>Anderson, T., Schum, D., &amp; Twining, W. (2005). Evaluating evidence. In Analysis of Evidence (Law in Context, pp. 224-245). Cambridge: Cambridge University Press. doi:10.1017/CBO9780511610585.009</w:t>
      </w:r>
    </w:p>
    <w:p w14:paraId="7A67B05E" w14:textId="77777777" w:rsidR="00DE0CCA" w:rsidRDefault="00000000">
      <w:pPr>
        <w:spacing w:after="240"/>
      </w:pPr>
      <w:proofErr w:type="spellStart"/>
      <w:r>
        <w:t>Capdeboscq</w:t>
      </w:r>
      <w:proofErr w:type="spellEnd"/>
      <w:r>
        <w:t xml:space="preserve">, I., Gorenstein, D., Lyons, R., &amp; Solomon, R. (2023). The Classification of the Finite Simple Groups, Number 10: Part V, Chapters 9-17: Theorem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6</m:t>
            </m:r>
          </m:sub>
        </m:sSub>
      </m:oMath>
      <w:r>
        <w:t xml:space="preserve"> and Theorem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4</m:t>
            </m:r>
          </m:sub>
        </m:sSub>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m:t>
            </m:r>
          </m:sup>
        </m:sSup>
      </m:oMath>
      <w:r>
        <w:t>, Case A. American Mathematical Society.</w:t>
      </w:r>
    </w:p>
    <w:p w14:paraId="76E5FE55" w14:textId="77777777" w:rsidR="00DE0CCA" w:rsidRDefault="00000000">
      <w:pPr>
        <w:spacing w:after="240"/>
      </w:pPr>
      <w:r>
        <w:t>Cohen, D. (2003). Quantum Theory. In Elsevier eBooks (pp. 441-463).</w:t>
      </w:r>
    </w:p>
    <w:p w14:paraId="705AEA34" w14:textId="77777777" w:rsidR="00DE0CCA" w:rsidRDefault="00000000">
      <w:pPr>
        <w:spacing w:after="240"/>
      </w:pPr>
      <w:hyperlink r:id="rId5">
        <w:r>
          <w:rPr>
            <w:color w:val="4472C4"/>
          </w:rPr>
          <w:t>https://doi.org/10.1016/b0-12-227410-5/00628-1</w:t>
        </w:r>
      </w:hyperlink>
    </w:p>
    <w:p w14:paraId="6AD7B94F" w14:textId="77777777" w:rsidR="00DE0CCA" w:rsidRDefault="00000000">
      <w:pPr>
        <w:spacing w:after="240"/>
      </w:pPr>
      <w:r>
        <w:t xml:space="preserve">Courant, H. (2018, December 12). Robert M. Thorson: Piltdown Man shows How biases can Trump Facts. Hartford Courant. </w:t>
      </w:r>
      <w:hyperlink r:id="rId6">
        <w:r>
          <w:rPr>
            <w:color w:val="4472C4"/>
          </w:rPr>
          <w:t>https://www.courant.com/2016/09/01/robert-m-thorson-piltdown-man-shows-how-biasescan-trump-facts/</w:t>
        </w:r>
      </w:hyperlink>
    </w:p>
    <w:p w14:paraId="70ED059B" w14:textId="77777777" w:rsidR="00DE0CCA" w:rsidRDefault="00000000">
      <w:pPr>
        <w:spacing w:after="240"/>
      </w:pPr>
      <w:r>
        <w:t xml:space="preserve">Dunham, W. (2023, October 6). Number theory | Definition, Topics, &amp; History. Encyclopedia Britannica. </w:t>
      </w:r>
      <w:hyperlink r:id="rId7">
        <w:r>
          <w:rPr>
            <w:color w:val="4472C4"/>
          </w:rPr>
          <w:t>https://www.britannica.com/science/number-theory</w:t>
        </w:r>
      </w:hyperlink>
    </w:p>
    <w:p w14:paraId="4FFCF987" w14:textId="77777777" w:rsidR="00DE0CCA" w:rsidRDefault="00000000">
      <w:pPr>
        <w:spacing w:after="240"/>
      </w:pPr>
      <w:r>
        <w:t xml:space="preserve">Eberlein, E., Frey, R., </w:t>
      </w:r>
      <w:proofErr w:type="spellStart"/>
      <w:r>
        <w:t>Kalkbrener</w:t>
      </w:r>
      <w:proofErr w:type="spellEnd"/>
      <w:r>
        <w:t xml:space="preserve">, M., &amp; Overbeck, L. (2007). Mathematics in Financial Risk Management. ResearchGate. </w:t>
      </w:r>
      <w:hyperlink r:id="rId8">
        <w:r>
          <w:rPr>
            <w:color w:val="4472C4"/>
          </w:rPr>
          <w:t>https://www.researchgate.net/publication/228349543_Mathematics_in_Financial_Risk_</w:t>
        </w:r>
      </w:hyperlink>
      <w:r>
        <w:t xml:space="preserve"> Management</w:t>
      </w:r>
    </w:p>
    <w:p w14:paraId="36FD9160" w14:textId="77777777" w:rsidR="00DE0CCA" w:rsidRDefault="00000000">
      <w:pPr>
        <w:spacing w:after="240"/>
      </w:pPr>
      <w:r>
        <w:t>Gad, S. C. (2005). Radium. In P. Wexler (Ed.), Encyclopedia of Toxicology (Second Edition) (Second Edition, pp. 615-617). doi:10.1016/B0-12-369400-0/00829-2</w:t>
      </w:r>
    </w:p>
    <w:p w14:paraId="38BEE7D7" w14:textId="77777777" w:rsidR="00DE0CCA" w:rsidRDefault="00000000">
      <w:pPr>
        <w:spacing w:after="240"/>
      </w:pPr>
      <w:r>
        <w:t>Gould, S. J. (1980). The Panda's Thumb: More Reflections in Natural History. W. W. Norton.</w:t>
      </w:r>
    </w:p>
    <w:p w14:paraId="0ED10664" w14:textId="77777777" w:rsidR="00DE0CCA" w:rsidRDefault="00000000">
      <w:pPr>
        <w:spacing w:after="240"/>
      </w:pPr>
      <w:r>
        <w:t xml:space="preserve">Gupta, V. K., Saini, C., Oberoi, M., Kalra, G., &amp; Nasir, I. (2020). Semmelweis Reflex: An Age-Old Prejudice. World Neurosurgery, 136, e119-e125. </w:t>
      </w:r>
      <w:hyperlink r:id="rId9">
        <w:r>
          <w:rPr>
            <w:color w:val="4472C4"/>
          </w:rPr>
          <w:t>https://doi.org/10.1016/j.wneu.2019.12.012</w:t>
        </w:r>
      </w:hyperlink>
    </w:p>
    <w:p w14:paraId="03EED14B" w14:textId="77777777" w:rsidR="00DE0CCA" w:rsidRDefault="00000000">
      <w:pPr>
        <w:spacing w:after="240"/>
      </w:pPr>
      <w:r>
        <w:t xml:space="preserve">Joiner, D., Vezeau, A., Wong, A., Hains, G., &amp; </w:t>
      </w:r>
      <w:proofErr w:type="spellStart"/>
      <w:r>
        <w:t>Khmelevsky</w:t>
      </w:r>
      <w:proofErr w:type="spellEnd"/>
      <w:r>
        <w:t>, Y. (2022). Algorithmic Trading and Short-term Forecast for Financial Time Series with Machine Learning Models; State of the Art and Perspectives. 1-9. doi:10.1109/RASSE54974.2022.9989592</w:t>
      </w:r>
    </w:p>
    <w:p w14:paraId="7BDFEF1A" w14:textId="77777777" w:rsidR="00DE0CCA" w:rsidRDefault="00000000">
      <w:pPr>
        <w:spacing w:after="240"/>
      </w:pPr>
      <w:r>
        <w:lastRenderedPageBreak/>
        <w:t xml:space="preserve">Nagel, H., &amp; Norton, J. (1998, July 20). Evidence | Definition, Law, Types, Examples, &amp; Facts. Encyclopedia Britannica. </w:t>
      </w:r>
      <w:hyperlink r:id="rId10">
        <w:r>
          <w:rPr>
            <w:color w:val="4472C4"/>
          </w:rPr>
          <w:t>https://www.britannica.com/topic/evidence-law</w:t>
        </w:r>
      </w:hyperlink>
    </w:p>
    <w:p w14:paraId="58E4B5E0" w14:textId="77777777" w:rsidR="00DE0CCA" w:rsidRDefault="00000000">
      <w:pPr>
        <w:spacing w:after="240"/>
      </w:pPr>
      <w:r>
        <w:t xml:space="preserve">Pojman, P. (2023). Ernst Mach. Retrieved from The Stanford Encyclopedia of Philosophy website: </w:t>
      </w:r>
      <w:hyperlink r:id="rId11">
        <w:r>
          <w:rPr>
            <w:color w:val="4472C4"/>
          </w:rPr>
          <w:t>https://plato.stanford.edu/archives/win2023/entries/ernst-mach/</w:t>
        </w:r>
      </w:hyperlink>
    </w:p>
    <w:p w14:paraId="59222EE9" w14:textId="77777777" w:rsidR="00DE0CCA" w:rsidRDefault="00000000">
      <w:pPr>
        <w:spacing w:after="240"/>
      </w:pPr>
      <w:r>
        <w:t xml:space="preserve">Scott, B. R., &amp; Guilmette, R. A. (2005). Radiation toxicology, ionizing and nonionizing. In Elsevier eBooks (pp. 601-615). </w:t>
      </w:r>
      <w:hyperlink r:id="rId12">
        <w:r>
          <w:rPr>
            <w:color w:val="4472C4"/>
          </w:rPr>
          <w:t>https://doi.org/10.1016/b0-12-369400-0/00828-0</w:t>
        </w:r>
      </w:hyperlink>
    </w:p>
    <w:p w14:paraId="0F6E8700" w14:textId="77777777" w:rsidR="00DE0CCA" w:rsidRDefault="00000000">
      <w:pPr>
        <w:spacing w:after="240"/>
      </w:pPr>
      <w:r>
        <w:t xml:space="preserve">Smith, R. (2006). Peer Review: A flawed process at the heart of science and journals. Journal of the Royal Society of Medicine, 99(4), 178-182. </w:t>
      </w:r>
      <w:hyperlink r:id="rId13">
        <w:r>
          <w:rPr>
            <w:color w:val="4472C4"/>
          </w:rPr>
          <w:t>https://doi.org/10.1177/014107680609900414</w:t>
        </w:r>
      </w:hyperlink>
    </w:p>
    <w:p w14:paraId="1E3DC320" w14:textId="77777777" w:rsidR="00DE0CCA" w:rsidRDefault="00000000">
      <w:pPr>
        <w:spacing w:after="240"/>
      </w:pPr>
      <w:r>
        <w:t xml:space="preserve">Solomon, R. (2001). A brief history of the classification of the finite simple groups. Bulletin of the American Mathematical Society, 38(3), 315-352. </w:t>
      </w:r>
      <w:hyperlink r:id="rId14">
        <w:r>
          <w:rPr>
            <w:color w:val="4472C4"/>
          </w:rPr>
          <w:t>https://doi.org/10.1090/s0273-0979-01-00909-0</w:t>
        </w:r>
      </w:hyperlink>
    </w:p>
    <w:p w14:paraId="427357F9" w14:textId="77777777" w:rsidR="00DE0CCA" w:rsidRDefault="00000000">
      <w:pPr>
        <w:spacing w:after="240"/>
      </w:pPr>
      <w:r>
        <w:t>Subramaniam, N. (2023, April 27). The Problem of Piltdown Man | Science History Institute. Science History Institute.</w:t>
      </w:r>
    </w:p>
    <w:p w14:paraId="5E02D1E2" w14:textId="77777777" w:rsidR="00DE0CCA" w:rsidRDefault="00000000">
      <w:pPr>
        <w:spacing w:after="240"/>
      </w:pPr>
      <w:hyperlink r:id="rId15">
        <w:r>
          <w:rPr>
            <w:color w:val="4472C4"/>
          </w:rPr>
          <w:t>https://www.sciencehistory.org/stories/magazine/the-problem-of-piltdown-man/</w:t>
        </w:r>
      </w:hyperlink>
    </w:p>
    <w:p w14:paraId="2D3AB08E" w14:textId="77777777" w:rsidR="00DE0CCA" w:rsidRDefault="00000000">
      <w:pPr>
        <w:spacing w:after="240"/>
      </w:pPr>
      <w:r>
        <w:t>Are we too quick to assume that the most recent evidence is inevitably the strongest?</w:t>
      </w:r>
    </w:p>
    <w:p w14:paraId="3F940F2D" w14:textId="77777777" w:rsidR="00DE0CCA" w:rsidRDefault="00000000">
      <w:pPr>
        <w:spacing w:after="240"/>
      </w:pPr>
      <w:r>
        <w:t>Thomas, R. (1998). An Update on the Four-Color Theorem. Notices of the American Mathematical Society, 45(7), 848-859.</w:t>
      </w:r>
    </w:p>
    <w:p w14:paraId="2E171827" w14:textId="77777777" w:rsidR="00DE0CCA" w:rsidRDefault="00000000">
      <w:pPr>
        <w:spacing w:after="240"/>
      </w:pPr>
      <w:r>
        <w:t xml:space="preserve">Tulchinsky, T. H., </w:t>
      </w:r>
      <w:proofErr w:type="spellStart"/>
      <w:r>
        <w:t>Varavikova</w:t>
      </w:r>
      <w:proofErr w:type="spellEnd"/>
      <w:r>
        <w:t xml:space="preserve">, E. A., &amp; Cohen, M. J. (2023). A history of public health. In Elsevier eBooks (pp. 1-54). </w:t>
      </w:r>
      <w:hyperlink r:id="rId16">
        <w:r>
          <w:rPr>
            <w:color w:val="4472C4"/>
          </w:rPr>
          <w:t>https://doi.org/10.1016/b978-0-12-822957-6.00009-0</w:t>
        </w:r>
      </w:hyperlink>
    </w:p>
    <w:p w14:paraId="47064BBC" w14:textId="77777777" w:rsidR="00DE0CCA" w:rsidRDefault="00000000">
      <w:pPr>
        <w:spacing w:after="240"/>
      </w:pPr>
      <w:r>
        <w:t xml:space="preserve">Turvey, B., &amp; Freeman, J. (2012). Jury psychology. In Elsevier eBooks (pp. 495-502). </w:t>
      </w:r>
      <w:hyperlink r:id="rId17">
        <w:r>
          <w:rPr>
            <w:color w:val="4472C4"/>
          </w:rPr>
          <w:t>https://doi.org/10.1016/b978-0-12-375000-6.00216-0</w:t>
        </w:r>
      </w:hyperlink>
    </w:p>
    <w:p w14:paraId="579454A5" w14:textId="77777777" w:rsidR="00DE0CCA" w:rsidRDefault="00000000">
      <w:pPr>
        <w:spacing w:after="240"/>
      </w:pPr>
      <w:proofErr w:type="spellStart"/>
      <w:r>
        <w:t>Tymoczko</w:t>
      </w:r>
      <w:proofErr w:type="spellEnd"/>
      <w:r>
        <w:t xml:space="preserve">, T. (1979). The Four-Color Problem and its philosophical significance. The Journal of Philosophy, 76(2), 57. </w:t>
      </w:r>
      <w:hyperlink r:id="rId18">
        <w:r>
          <w:rPr>
            <w:color w:val="4472C4"/>
          </w:rPr>
          <w:t>https://doi.org/10.2307/2025976</w:t>
        </w:r>
      </w:hyperlink>
    </w:p>
    <w:p w14:paraId="7080269D" w14:textId="77777777" w:rsidR="00DE0CCA" w:rsidRDefault="00000000">
      <w:pPr>
        <w:spacing w:after="240"/>
      </w:pPr>
      <w:r>
        <w:t xml:space="preserve">Yang, X. (2017). Three important applications of mathematics in financial Mathematics. American Journal of Industrial and Business Management, 07(09), 1096-1100. </w:t>
      </w:r>
      <w:hyperlink r:id="rId19">
        <w:r>
          <w:rPr>
            <w:color w:val="4472C4"/>
          </w:rPr>
          <w:t>https://doi.org/10.4236/ajibm</w:t>
        </w:r>
      </w:hyperlink>
      <w:r>
        <w:t>. 2017.79077</w:t>
      </w:r>
    </w:p>
    <w:p w14:paraId="7F564BB8" w14:textId="77777777" w:rsidR="00DE0CCA" w:rsidRDefault="00000000">
      <w:pPr>
        <w:spacing w:after="240"/>
      </w:pPr>
      <w:r>
        <w:t>Zvereva, E. L., &amp; Kozlov, M. V. (2021). Biases in ecological research: Attitudes of scientists and ways of control. Scientific Reports, 11(1), 1-9.</w:t>
      </w:r>
    </w:p>
    <w:p w14:paraId="2CA3C742" w14:textId="77777777" w:rsidR="00DE0CCA" w:rsidRDefault="00000000">
      <w:pPr>
        <w:spacing w:after="240"/>
        <w:rPr>
          <w:color w:val="4472C4"/>
        </w:rPr>
      </w:pPr>
      <w:hyperlink r:id="rId20">
        <w:r>
          <w:rPr>
            <w:color w:val="4472C4"/>
          </w:rPr>
          <w:t>https://doi.org/10.1038/s41598-020-80677-4</w:t>
        </w:r>
      </w:hyperlink>
    </w:p>
    <w:p w14:paraId="221FFABB" w14:textId="77777777" w:rsidR="00DE0CCA" w:rsidRDefault="00DE0CCA">
      <w:pPr>
        <w:spacing w:after="240"/>
        <w:rPr>
          <w:color w:val="4472C4"/>
        </w:rPr>
      </w:pPr>
    </w:p>
    <w:p w14:paraId="3FE2A3E9" w14:textId="77777777" w:rsidR="00DE0CCA" w:rsidRDefault="00DE0CCA">
      <w:pPr>
        <w:spacing w:after="240"/>
        <w:rPr>
          <w:color w:val="4472C4"/>
        </w:rPr>
      </w:pPr>
    </w:p>
    <w:p w14:paraId="74B70286" w14:textId="77777777" w:rsidR="00DE0CCA" w:rsidRDefault="00DE0CCA">
      <w:pPr>
        <w:spacing w:after="240"/>
        <w:rPr>
          <w:color w:val="4472C4"/>
        </w:rPr>
      </w:pPr>
    </w:p>
    <w:p w14:paraId="1C896EF5" w14:textId="2DDBD96D" w:rsidR="00DE0CCA" w:rsidRDefault="00000000">
      <w:pPr>
        <w:rPr>
          <w:color w:val="4472C4"/>
        </w:rPr>
      </w:pPr>
      <w:r>
        <w:br w:type="page"/>
      </w:r>
    </w:p>
    <w:p w14:paraId="3972DA05" w14:textId="02A8C9A6" w:rsidR="00DE0CCA" w:rsidRPr="00776417" w:rsidRDefault="00000000">
      <w:pPr>
        <w:spacing w:after="240"/>
      </w:pPr>
      <w:r>
        <w:lastRenderedPageBreak/>
        <w:t>Grading criteria:</w:t>
      </w:r>
    </w:p>
    <w:p w14:paraId="0622CF1C" w14:textId="77777777" w:rsidR="00DE0CCA" w:rsidRDefault="00DE0CCA">
      <w:pPr>
        <w:spacing w:after="240"/>
        <w:rPr>
          <w:color w:val="4472C4"/>
        </w:rPr>
      </w:pPr>
    </w:p>
    <w:tbl>
      <w:tblPr>
        <w:tblStyle w:val="a0"/>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40"/>
        <w:gridCol w:w="840"/>
        <w:gridCol w:w="3555"/>
        <w:gridCol w:w="1605"/>
      </w:tblGrid>
      <w:tr w:rsidR="00DE0CCA" w14:paraId="25C8FAA2" w14:textId="77777777">
        <w:trPr>
          <w:trHeight w:val="1935"/>
        </w:trPr>
        <w:tc>
          <w:tcPr>
            <w:tcW w:w="26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700EC3" w14:textId="77777777" w:rsidR="00DE0CCA" w:rsidRDefault="00000000">
            <w:pPr>
              <w:spacing w:after="0" w:line="276" w:lineRule="auto"/>
            </w:pPr>
            <w:r>
              <w:t>The essay</w:t>
            </w:r>
            <w:r>
              <w:rPr>
                <w:rFonts w:ascii="Arial" w:eastAsia="Arial" w:hAnsi="Arial" w:cs="Arial"/>
              </w:rPr>
              <w:t>’</w:t>
            </w:r>
            <w:r>
              <w:t>s title is clearly stated and the essay's focus is sustained</w:t>
            </w:r>
          </w:p>
          <w:p w14:paraId="65F2FB0C" w14:textId="77777777" w:rsidR="00DE0CCA" w:rsidRDefault="00000000">
            <w:pPr>
              <w:spacing w:after="0" w:line="276" w:lineRule="auto"/>
            </w:pPr>
            <w:r>
              <w:t>on the title chosen and does not</w:t>
            </w:r>
          </w:p>
          <w:p w14:paraId="3595DBA5" w14:textId="77777777" w:rsidR="00DE0CCA" w:rsidRDefault="00000000">
            <w:pPr>
              <w:spacing w:after="0" w:line="276" w:lineRule="auto"/>
            </w:pPr>
            <w:r>
              <w:t>include digression or irrelevant</w:t>
            </w:r>
          </w:p>
          <w:p w14:paraId="5118178A" w14:textId="77777777" w:rsidR="00DE0CCA" w:rsidRDefault="00000000">
            <w:pPr>
              <w:spacing w:after="0" w:line="276" w:lineRule="auto"/>
            </w:pPr>
            <w:r>
              <w:t>information</w:t>
            </w:r>
          </w:p>
        </w:tc>
        <w:tc>
          <w:tcPr>
            <w:tcW w:w="840" w:type="dxa"/>
            <w:tcBorders>
              <w:top w:val="single" w:sz="8" w:space="0" w:color="000000"/>
              <w:bottom w:val="single" w:sz="8" w:space="0" w:color="000000"/>
              <w:right w:val="single" w:sz="8" w:space="0" w:color="000000"/>
            </w:tcBorders>
            <w:tcMar>
              <w:top w:w="0" w:type="dxa"/>
              <w:left w:w="100" w:type="dxa"/>
              <w:bottom w:w="0" w:type="dxa"/>
              <w:right w:w="100" w:type="dxa"/>
            </w:tcMar>
          </w:tcPr>
          <w:p w14:paraId="244BF7BB" w14:textId="77777777" w:rsidR="00DE0CCA" w:rsidRDefault="00000000">
            <w:pPr>
              <w:spacing w:after="0" w:line="276" w:lineRule="auto"/>
            </w:pPr>
            <w:r>
              <w:t>0-5</w:t>
            </w:r>
          </w:p>
        </w:tc>
        <w:tc>
          <w:tcPr>
            <w:tcW w:w="3555" w:type="dxa"/>
            <w:tcBorders>
              <w:top w:val="single" w:sz="8" w:space="0" w:color="000000"/>
              <w:bottom w:val="single" w:sz="8" w:space="0" w:color="000000"/>
              <w:right w:val="single" w:sz="8" w:space="0" w:color="000000"/>
            </w:tcBorders>
            <w:tcMar>
              <w:top w:w="0" w:type="dxa"/>
              <w:left w:w="100" w:type="dxa"/>
              <w:bottom w:w="0" w:type="dxa"/>
              <w:right w:w="100" w:type="dxa"/>
            </w:tcMar>
          </w:tcPr>
          <w:p w14:paraId="116B784F" w14:textId="77777777" w:rsidR="00DE0CCA" w:rsidRDefault="00000000">
            <w:pPr>
              <w:spacing w:after="240"/>
            </w:pPr>
            <w:r>
              <w:rPr>
                <w:rFonts w:ascii="-webkit-standard" w:eastAsia="-webkit-standard" w:hAnsi="-webkit-standard" w:cs="-webkit-standard"/>
                <w:sz w:val="25"/>
                <w:szCs w:val="25"/>
              </w:rPr>
              <w:t>The essay clearly addresses the title, exploring whether recent evidence is always the strongest. It also maintains a focused discussion on the strength of recent evidence, connecting it to the areas of natural sciences and mathematics without significant digression</w:t>
            </w:r>
            <w:r>
              <w:rPr>
                <w:rFonts w:ascii="-webkit-standard" w:eastAsia="-webkit-standard" w:hAnsi="-webkit-standard" w:cs="-webkit-standard"/>
                <w:sz w:val="27"/>
                <w:szCs w:val="27"/>
              </w:rPr>
              <w:t>.</w:t>
            </w:r>
          </w:p>
        </w:tc>
        <w:tc>
          <w:tcPr>
            <w:tcW w:w="1605" w:type="dxa"/>
            <w:tcBorders>
              <w:top w:val="single" w:sz="8" w:space="0" w:color="000000"/>
              <w:bottom w:val="single" w:sz="8" w:space="0" w:color="000000"/>
              <w:right w:val="single" w:sz="8" w:space="0" w:color="000000"/>
            </w:tcBorders>
            <w:tcMar>
              <w:top w:w="0" w:type="dxa"/>
              <w:left w:w="100" w:type="dxa"/>
              <w:bottom w:w="0" w:type="dxa"/>
              <w:right w:w="100" w:type="dxa"/>
            </w:tcMar>
          </w:tcPr>
          <w:p w14:paraId="62F32B17" w14:textId="77777777" w:rsidR="00DE0CCA" w:rsidRDefault="00000000">
            <w:pPr>
              <w:spacing w:after="0" w:line="276" w:lineRule="auto"/>
            </w:pPr>
            <w:r>
              <w:t>5</w:t>
            </w:r>
          </w:p>
        </w:tc>
      </w:tr>
      <w:tr w:rsidR="00DE0CCA" w14:paraId="2F373FF3" w14:textId="77777777">
        <w:trPr>
          <w:trHeight w:val="97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43D432" w14:textId="77777777" w:rsidR="00DE0CCA" w:rsidRDefault="00000000">
            <w:pPr>
              <w:spacing w:after="0" w:line="276" w:lineRule="auto"/>
            </w:pPr>
            <w:r>
              <w:t>The work is effectively linked with</w:t>
            </w:r>
          </w:p>
          <w:p w14:paraId="0730569D" w14:textId="77777777" w:rsidR="00DE0CCA" w:rsidRDefault="00000000">
            <w:pPr>
              <w:spacing w:after="0" w:line="276" w:lineRule="auto"/>
            </w:pPr>
            <w:r>
              <w:t>different Areas of Knowledge</w:t>
            </w:r>
          </w:p>
        </w:tc>
        <w:tc>
          <w:tcPr>
            <w:tcW w:w="840" w:type="dxa"/>
            <w:tcBorders>
              <w:bottom w:val="single" w:sz="8" w:space="0" w:color="000000"/>
              <w:right w:val="single" w:sz="8" w:space="0" w:color="000000"/>
            </w:tcBorders>
            <w:tcMar>
              <w:top w:w="0" w:type="dxa"/>
              <w:left w:w="100" w:type="dxa"/>
              <w:bottom w:w="0" w:type="dxa"/>
              <w:right w:w="100" w:type="dxa"/>
            </w:tcMar>
          </w:tcPr>
          <w:p w14:paraId="64776D58" w14:textId="77777777" w:rsidR="00DE0CCA"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54AABE88" w14:textId="77777777" w:rsidR="00DE0CCA" w:rsidRDefault="00000000">
            <w:pPr>
              <w:spacing w:after="240"/>
              <w:rPr>
                <w:sz w:val="20"/>
                <w:szCs w:val="20"/>
              </w:rPr>
            </w:pPr>
            <w:r>
              <w:rPr>
                <w:rFonts w:ascii="-webkit-standard" w:eastAsia="-webkit-standard" w:hAnsi="-webkit-standard" w:cs="-webkit-standard"/>
                <w:sz w:val="25"/>
                <w:szCs w:val="25"/>
              </w:rPr>
              <w:t>The essay effectively links the natural sciences and mathematics, illustrating how the strength of recent evidence is evaluated in both fields.</w:t>
            </w:r>
          </w:p>
        </w:tc>
        <w:tc>
          <w:tcPr>
            <w:tcW w:w="1605" w:type="dxa"/>
            <w:tcBorders>
              <w:bottom w:val="single" w:sz="8" w:space="0" w:color="000000"/>
              <w:right w:val="single" w:sz="8" w:space="0" w:color="000000"/>
            </w:tcBorders>
            <w:tcMar>
              <w:top w:w="0" w:type="dxa"/>
              <w:left w:w="100" w:type="dxa"/>
              <w:bottom w:w="0" w:type="dxa"/>
              <w:right w:w="100" w:type="dxa"/>
            </w:tcMar>
          </w:tcPr>
          <w:p w14:paraId="355C4105" w14:textId="77777777" w:rsidR="00DE0CCA" w:rsidRDefault="00000000">
            <w:pPr>
              <w:spacing w:after="0" w:line="276" w:lineRule="auto"/>
            </w:pPr>
            <w:r>
              <w:t>10</w:t>
            </w:r>
          </w:p>
        </w:tc>
      </w:tr>
      <w:tr w:rsidR="00DE0CCA" w14:paraId="618E3219" w14:textId="77777777">
        <w:trPr>
          <w:trHeight w:val="121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59D0CAA" w14:textId="77777777" w:rsidR="00DE0CCA" w:rsidRDefault="00000000">
            <w:pPr>
              <w:spacing w:after="0" w:line="276" w:lineRule="auto"/>
            </w:pPr>
            <w:r>
              <w:t>The students provides examples which are convincing and support</w:t>
            </w:r>
          </w:p>
          <w:p w14:paraId="24FBC939" w14:textId="77777777" w:rsidR="00DE0CCA" w:rsidRDefault="00000000">
            <w:pPr>
              <w:spacing w:after="0" w:line="276" w:lineRule="auto"/>
            </w:pPr>
            <w:r>
              <w:t>the argument being made</w:t>
            </w:r>
          </w:p>
          <w:p w14:paraId="6A636619" w14:textId="77777777" w:rsidR="00DE0CCA" w:rsidRDefault="00000000">
            <w:pPr>
              <w:spacing w:after="0" w:line="276" w:lineRule="auto"/>
            </w:pPr>
            <w:r>
              <w:t>efficiently</w:t>
            </w:r>
          </w:p>
        </w:tc>
        <w:tc>
          <w:tcPr>
            <w:tcW w:w="840" w:type="dxa"/>
            <w:tcBorders>
              <w:bottom w:val="single" w:sz="8" w:space="0" w:color="000000"/>
              <w:right w:val="single" w:sz="8" w:space="0" w:color="000000"/>
            </w:tcBorders>
            <w:tcMar>
              <w:top w:w="0" w:type="dxa"/>
              <w:left w:w="100" w:type="dxa"/>
              <w:bottom w:w="0" w:type="dxa"/>
              <w:right w:w="100" w:type="dxa"/>
            </w:tcMar>
          </w:tcPr>
          <w:p w14:paraId="0250B77C" w14:textId="77777777" w:rsidR="00DE0CCA"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6D9BC0D3" w14:textId="77777777" w:rsidR="00DE0CCA" w:rsidRDefault="00000000">
            <w:pPr>
              <w:spacing w:after="240"/>
              <w:rPr>
                <w:sz w:val="20"/>
                <w:szCs w:val="20"/>
              </w:rPr>
            </w:pPr>
            <w:r>
              <w:rPr>
                <w:rFonts w:ascii="-webkit-standard" w:eastAsia="-webkit-standard" w:hAnsi="-webkit-standard" w:cs="-webkit-standard"/>
                <w:sz w:val="25"/>
                <w:szCs w:val="25"/>
              </w:rPr>
              <w:t>The essay uses real-life examples such as Piltdown Man, radium, quantum mechanics, and mathematical proofs to support its arguments. The examples are well-chosen and convincingly illustrate how recent evidence can be both accepted and challenged within their fields</w:t>
            </w:r>
          </w:p>
        </w:tc>
        <w:tc>
          <w:tcPr>
            <w:tcW w:w="1605" w:type="dxa"/>
            <w:tcBorders>
              <w:bottom w:val="single" w:sz="8" w:space="0" w:color="000000"/>
              <w:right w:val="single" w:sz="8" w:space="0" w:color="000000"/>
            </w:tcBorders>
            <w:tcMar>
              <w:top w:w="0" w:type="dxa"/>
              <w:left w:w="100" w:type="dxa"/>
              <w:bottom w:w="0" w:type="dxa"/>
              <w:right w:w="100" w:type="dxa"/>
            </w:tcMar>
          </w:tcPr>
          <w:p w14:paraId="0B414203" w14:textId="77777777" w:rsidR="00DE0CCA" w:rsidRDefault="00000000">
            <w:pPr>
              <w:spacing w:after="0" w:line="276" w:lineRule="auto"/>
            </w:pPr>
            <w:r>
              <w:t>10</w:t>
            </w:r>
          </w:p>
        </w:tc>
      </w:tr>
      <w:tr w:rsidR="00DE0CCA" w14:paraId="42C2F211" w14:textId="77777777">
        <w:trPr>
          <w:trHeight w:val="169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724CE16" w14:textId="77777777" w:rsidR="00DE0CCA" w:rsidRDefault="00000000">
            <w:pPr>
              <w:spacing w:after="0" w:line="276" w:lineRule="auto"/>
            </w:pPr>
            <w:r>
              <w:t>Any implications, counterpoints of the arguments, and different points of views</w:t>
            </w:r>
          </w:p>
          <w:p w14:paraId="4A02F623" w14:textId="77777777" w:rsidR="00DE0CCA" w:rsidRDefault="00000000">
            <w:pPr>
              <w:spacing w:after="0" w:line="276" w:lineRule="auto"/>
            </w:pPr>
            <w:r>
              <w:t>are considered and evaluated</w:t>
            </w:r>
          </w:p>
          <w:p w14:paraId="6EA975E1" w14:textId="77777777" w:rsidR="00DE0CCA" w:rsidRDefault="00000000">
            <w:pPr>
              <w:spacing w:after="0" w:line="276" w:lineRule="auto"/>
            </w:pPr>
            <w:r>
              <w:t>by the student</w:t>
            </w:r>
          </w:p>
        </w:tc>
        <w:tc>
          <w:tcPr>
            <w:tcW w:w="840" w:type="dxa"/>
            <w:tcBorders>
              <w:bottom w:val="single" w:sz="8" w:space="0" w:color="000000"/>
              <w:right w:val="single" w:sz="8" w:space="0" w:color="000000"/>
            </w:tcBorders>
            <w:tcMar>
              <w:top w:w="0" w:type="dxa"/>
              <w:left w:w="100" w:type="dxa"/>
              <w:bottom w:w="0" w:type="dxa"/>
              <w:right w:w="100" w:type="dxa"/>
            </w:tcMar>
          </w:tcPr>
          <w:p w14:paraId="761C186B" w14:textId="77777777" w:rsidR="00DE0CCA"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2EE1BF6D" w14:textId="77777777" w:rsidR="00DE0CCA" w:rsidRDefault="00000000">
            <w:pPr>
              <w:spacing w:after="240"/>
              <w:rPr>
                <w:sz w:val="20"/>
                <w:szCs w:val="20"/>
              </w:rPr>
            </w:pPr>
            <w:r>
              <w:rPr>
                <w:rFonts w:ascii="-webkit-standard" w:eastAsia="-webkit-standard" w:hAnsi="-webkit-standard" w:cs="-webkit-standard"/>
                <w:sz w:val="25"/>
                <w:szCs w:val="25"/>
              </w:rPr>
              <w:t>The essay considers various implications and counterpoints, such as biases in scientific acceptance, the iterative nature of scientific knowledge, and the complexities of mathematical proofs. It also shows different perspectives on how new evidence is treated acknowledging both acceptance and skepticism.</w:t>
            </w:r>
          </w:p>
        </w:tc>
        <w:tc>
          <w:tcPr>
            <w:tcW w:w="1605" w:type="dxa"/>
            <w:tcBorders>
              <w:bottom w:val="single" w:sz="8" w:space="0" w:color="000000"/>
              <w:right w:val="single" w:sz="8" w:space="0" w:color="000000"/>
            </w:tcBorders>
            <w:tcMar>
              <w:top w:w="0" w:type="dxa"/>
              <w:left w:w="100" w:type="dxa"/>
              <w:bottom w:w="0" w:type="dxa"/>
              <w:right w:w="100" w:type="dxa"/>
            </w:tcMar>
          </w:tcPr>
          <w:p w14:paraId="25798A7F" w14:textId="77777777" w:rsidR="00DE0CCA" w:rsidRDefault="00000000">
            <w:pPr>
              <w:spacing w:after="0" w:line="276" w:lineRule="auto"/>
            </w:pPr>
            <w:r>
              <w:t>10</w:t>
            </w:r>
          </w:p>
        </w:tc>
      </w:tr>
      <w:tr w:rsidR="00DE0CCA" w14:paraId="75873670" w14:textId="77777777">
        <w:trPr>
          <w:trHeight w:val="97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BCD5E67" w14:textId="77777777" w:rsidR="00DE0CCA" w:rsidRDefault="00000000">
            <w:pPr>
              <w:spacing w:after="0" w:line="276" w:lineRule="auto"/>
            </w:pPr>
            <w:r>
              <w:lastRenderedPageBreak/>
              <w:t>The essay is predominately</w:t>
            </w:r>
          </w:p>
          <w:p w14:paraId="20AB624C" w14:textId="77777777" w:rsidR="00DE0CCA" w:rsidRDefault="00000000">
            <w:pPr>
              <w:spacing w:after="0" w:line="276" w:lineRule="auto"/>
            </w:pPr>
            <w:r>
              <w:t>critical and argumentative rather</w:t>
            </w:r>
          </w:p>
          <w:p w14:paraId="69E6BF05" w14:textId="77777777" w:rsidR="00DE0CCA" w:rsidRDefault="00000000">
            <w:pPr>
              <w:spacing w:after="0" w:line="276" w:lineRule="auto"/>
            </w:pPr>
            <w:r>
              <w:t>than descriptive</w:t>
            </w:r>
          </w:p>
        </w:tc>
        <w:tc>
          <w:tcPr>
            <w:tcW w:w="840" w:type="dxa"/>
            <w:tcBorders>
              <w:bottom w:val="single" w:sz="8" w:space="0" w:color="000000"/>
              <w:right w:val="single" w:sz="8" w:space="0" w:color="000000"/>
            </w:tcBorders>
            <w:tcMar>
              <w:top w:w="0" w:type="dxa"/>
              <w:left w:w="100" w:type="dxa"/>
              <w:bottom w:w="0" w:type="dxa"/>
              <w:right w:w="100" w:type="dxa"/>
            </w:tcMar>
          </w:tcPr>
          <w:p w14:paraId="543B129C" w14:textId="77777777" w:rsidR="00DE0CCA"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7945C4CF" w14:textId="77777777" w:rsidR="00DE0CCA" w:rsidRDefault="00000000">
            <w:pPr>
              <w:spacing w:after="240"/>
              <w:rPr>
                <w:sz w:val="20"/>
                <w:szCs w:val="20"/>
              </w:rPr>
            </w:pPr>
            <w:r>
              <w:rPr>
                <w:rFonts w:ascii="-webkit-standard" w:eastAsia="-webkit-standard" w:hAnsi="-webkit-standard" w:cs="-webkit-standard"/>
                <w:sz w:val="25"/>
                <w:szCs w:val="25"/>
              </w:rPr>
              <w:t xml:space="preserve">The essay is critical and argumentative, focusing on analyzing and evaluating the strength of recent evidence rather than merely describing the examples. For example, it </w:t>
            </w:r>
            <w:proofErr w:type="spellStart"/>
            <w:r>
              <w:rPr>
                <w:rFonts w:ascii="-webkit-standard" w:eastAsia="-webkit-standard" w:hAnsi="-webkit-standard" w:cs="-webkit-standard"/>
                <w:sz w:val="25"/>
                <w:szCs w:val="25"/>
              </w:rPr>
              <w:t>valuates</w:t>
            </w:r>
            <w:proofErr w:type="spellEnd"/>
            <w:r>
              <w:rPr>
                <w:rFonts w:ascii="-webkit-standard" w:eastAsia="-webkit-standard" w:hAnsi="-webkit-standard" w:cs="-webkit-standard"/>
                <w:sz w:val="25"/>
                <w:szCs w:val="25"/>
              </w:rPr>
              <w:t xml:space="preserve"> different approaches, discussing how recent evidence might be prematurely accepted or overlooked and the role of peer review and rigorous validation.</w:t>
            </w:r>
          </w:p>
        </w:tc>
        <w:tc>
          <w:tcPr>
            <w:tcW w:w="1605" w:type="dxa"/>
            <w:tcBorders>
              <w:bottom w:val="single" w:sz="8" w:space="0" w:color="000000"/>
              <w:right w:val="single" w:sz="8" w:space="0" w:color="000000"/>
            </w:tcBorders>
            <w:tcMar>
              <w:top w:w="0" w:type="dxa"/>
              <w:left w:w="100" w:type="dxa"/>
              <w:bottom w:w="0" w:type="dxa"/>
              <w:right w:w="100" w:type="dxa"/>
            </w:tcMar>
          </w:tcPr>
          <w:p w14:paraId="049C26C0" w14:textId="77777777" w:rsidR="00DE0CCA" w:rsidRDefault="00000000">
            <w:pPr>
              <w:spacing w:after="0" w:line="276" w:lineRule="auto"/>
            </w:pPr>
            <w:r>
              <w:t>10</w:t>
            </w:r>
          </w:p>
        </w:tc>
      </w:tr>
      <w:tr w:rsidR="00DE0CCA" w14:paraId="6A41ED7E" w14:textId="77777777">
        <w:trPr>
          <w:trHeight w:val="169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F406AB6" w14:textId="77777777" w:rsidR="00DE0CCA" w:rsidRDefault="00000000">
            <w:pPr>
              <w:spacing w:after="0" w:line="276" w:lineRule="auto"/>
            </w:pPr>
            <w:r>
              <w:t>The work is well-organized with</w:t>
            </w:r>
          </w:p>
          <w:p w14:paraId="454AA40E" w14:textId="77777777" w:rsidR="00DE0CCA" w:rsidRDefault="00000000">
            <w:pPr>
              <w:spacing w:after="0" w:line="276" w:lineRule="auto"/>
            </w:pPr>
            <w:r>
              <w:t>an introductory paragraph, main</w:t>
            </w:r>
          </w:p>
          <w:p w14:paraId="5B84820E" w14:textId="77777777" w:rsidR="00DE0CCA" w:rsidRDefault="00000000">
            <w:pPr>
              <w:spacing w:after="0" w:line="276" w:lineRule="auto"/>
            </w:pPr>
            <w:r>
              <w:t>body sections, and a concluding</w:t>
            </w:r>
          </w:p>
          <w:p w14:paraId="057E2C2E" w14:textId="77777777" w:rsidR="00DE0CCA" w:rsidRDefault="00000000">
            <w:pPr>
              <w:spacing w:after="0" w:line="276" w:lineRule="auto"/>
            </w:pPr>
            <w:r>
              <w:t>paragraph</w:t>
            </w:r>
          </w:p>
        </w:tc>
        <w:tc>
          <w:tcPr>
            <w:tcW w:w="840" w:type="dxa"/>
            <w:tcBorders>
              <w:bottom w:val="single" w:sz="8" w:space="0" w:color="000000"/>
              <w:right w:val="single" w:sz="8" w:space="0" w:color="000000"/>
            </w:tcBorders>
            <w:tcMar>
              <w:top w:w="0" w:type="dxa"/>
              <w:left w:w="100" w:type="dxa"/>
              <w:bottom w:w="0" w:type="dxa"/>
              <w:right w:w="100" w:type="dxa"/>
            </w:tcMar>
          </w:tcPr>
          <w:p w14:paraId="54719310" w14:textId="77777777" w:rsidR="00DE0CCA" w:rsidRDefault="00000000">
            <w:pPr>
              <w:spacing w:after="0" w:line="276" w:lineRule="auto"/>
            </w:pPr>
            <w:r>
              <w:t>0-5</w:t>
            </w:r>
          </w:p>
        </w:tc>
        <w:tc>
          <w:tcPr>
            <w:tcW w:w="3555" w:type="dxa"/>
            <w:tcBorders>
              <w:bottom w:val="single" w:sz="8" w:space="0" w:color="000000"/>
              <w:right w:val="single" w:sz="8" w:space="0" w:color="000000"/>
            </w:tcBorders>
            <w:tcMar>
              <w:top w:w="0" w:type="dxa"/>
              <w:left w:w="100" w:type="dxa"/>
              <w:bottom w:w="0" w:type="dxa"/>
              <w:right w:w="100" w:type="dxa"/>
            </w:tcMar>
          </w:tcPr>
          <w:p w14:paraId="2423A90D" w14:textId="77777777" w:rsidR="00DE0CCA" w:rsidRDefault="00000000">
            <w:pPr>
              <w:spacing w:after="0"/>
              <w:rPr>
                <w:sz w:val="20"/>
                <w:szCs w:val="20"/>
              </w:rPr>
            </w:pPr>
            <w:r>
              <w:rPr>
                <w:rFonts w:ascii="-webkit-standard" w:eastAsia="-webkit-standard" w:hAnsi="-webkit-standard" w:cs="-webkit-standard"/>
                <w:sz w:val="25"/>
                <w:szCs w:val="25"/>
              </w:rPr>
              <w:t>The essay is well-structured with a clear introduction, organized body paragraphs, and a coherent conclusion including a comprehensive reference list and cited sources.</w:t>
            </w:r>
          </w:p>
        </w:tc>
        <w:tc>
          <w:tcPr>
            <w:tcW w:w="1605" w:type="dxa"/>
            <w:tcBorders>
              <w:bottom w:val="single" w:sz="8" w:space="0" w:color="000000"/>
              <w:right w:val="single" w:sz="8" w:space="0" w:color="000000"/>
            </w:tcBorders>
            <w:tcMar>
              <w:top w:w="0" w:type="dxa"/>
              <w:left w:w="100" w:type="dxa"/>
              <w:bottom w:w="0" w:type="dxa"/>
              <w:right w:w="100" w:type="dxa"/>
            </w:tcMar>
          </w:tcPr>
          <w:p w14:paraId="07192235" w14:textId="77777777" w:rsidR="00DE0CCA" w:rsidRDefault="00000000">
            <w:pPr>
              <w:spacing w:after="0" w:line="276" w:lineRule="auto"/>
            </w:pPr>
            <w:r>
              <w:t>5</w:t>
            </w:r>
          </w:p>
        </w:tc>
      </w:tr>
    </w:tbl>
    <w:p w14:paraId="7E40FB59" w14:textId="77777777" w:rsidR="00DE0CCA" w:rsidRDefault="00DE0CCA">
      <w:pPr>
        <w:spacing w:after="240"/>
        <w:rPr>
          <w:color w:val="4472C4"/>
        </w:rPr>
      </w:pPr>
    </w:p>
    <w:p w14:paraId="1DF779D9" w14:textId="77777777" w:rsidR="00DE0CCA" w:rsidRDefault="00DE0CCA">
      <w:pPr>
        <w:spacing w:after="240"/>
        <w:rPr>
          <w:color w:val="4472C4"/>
        </w:rPr>
      </w:pPr>
    </w:p>
    <w:p w14:paraId="3A0A3EB1" w14:textId="77777777" w:rsidR="00DE0CCA" w:rsidRDefault="00000000">
      <w:pPr>
        <w:spacing w:after="240"/>
      </w:pPr>
      <w:r>
        <w:t>Grade: 10/10</w:t>
      </w:r>
    </w:p>
    <w:sectPr w:rsidR="00DE0CC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EE"/>
    <w:family w:val="roman"/>
    <w:pitch w:val="variable"/>
    <w:sig w:usb0="00000287" w:usb1="00000000" w:usb2="00000000" w:usb3="00000000" w:csb0="0000009F" w:csb1="00000000"/>
    <w:embedRegular r:id="rId1" w:fontKey="{A82B32E5-C895-4D0E-A209-6954358468D3}"/>
    <w:embedBold r:id="rId2" w:fontKey="{BB910211-8C71-46D7-8AD4-EA4FB2FFC46B}"/>
    <w:embedItalic r:id="rId3" w:fontKey="{33B01314-5772-49C2-AC3D-8CA8CD6D63B7}"/>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embedRegular r:id="rId4" w:fontKey="{2159625F-15A7-4D0B-B897-4C383B2970F7}"/>
  </w:font>
  <w:font w:name="Cambria Math">
    <w:panose1 w:val="02040503050406030204"/>
    <w:charset w:val="EE"/>
    <w:family w:val="roman"/>
    <w:pitch w:val="variable"/>
    <w:sig w:usb0="E00006FF" w:usb1="420024FF" w:usb2="02000000" w:usb3="00000000" w:csb0="0000019F" w:csb1="00000000"/>
    <w:embedRegular r:id="rId5" w:fontKey="{D3EF8C8E-5B50-4F28-84E5-EC53B4449003}"/>
    <w:embedItalic r:id="rId6" w:fontKey="{3D676A55-B878-426F-9F1F-677EA035B5ED}"/>
  </w:font>
  <w:font w:name="Arial">
    <w:panose1 w:val="020B0604020202020204"/>
    <w:charset w:val="EE"/>
    <w:family w:val="swiss"/>
    <w:pitch w:val="variable"/>
    <w:sig w:usb0="E0002EFF" w:usb1="C000785B" w:usb2="00000009" w:usb3="00000000" w:csb0="000001FF" w:csb1="00000000"/>
  </w:font>
  <w:font w:name="-webkit-standard">
    <w:altName w:val="Calibri"/>
    <w:charset w:val="00"/>
    <w:family w:val="auto"/>
    <w:pitch w:val="default"/>
  </w:font>
  <w:font w:name="Aptos Display">
    <w:charset w:val="00"/>
    <w:family w:val="swiss"/>
    <w:pitch w:val="variable"/>
    <w:sig w:usb0="20000287" w:usb1="00000003" w:usb2="00000000" w:usb3="00000000" w:csb0="0000019F" w:csb1="00000000"/>
    <w:embedRegular r:id="rId7" w:fontKey="{17FC64F3-6D09-4227-AF66-A829D7A62548}"/>
  </w:font>
  <w:font w:name="Aptos">
    <w:charset w:val="00"/>
    <w:family w:val="swiss"/>
    <w:pitch w:val="variable"/>
    <w:sig w:usb0="20000287" w:usb1="00000003" w:usb2="00000000" w:usb3="00000000" w:csb0="0000019F" w:csb1="00000000"/>
    <w:embedRegular r:id="rId8" w:fontKey="{1637684B-6621-4293-B86B-D3DCCB3452B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CCA"/>
    <w:rsid w:val="00776417"/>
    <w:rsid w:val="00AE3CE5"/>
    <w:rsid w:val="00DE0CCA"/>
    <w:rsid w:val="00F25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852F"/>
  <w15:docId w15:val="{3BCEFAC4-0F2D-404D-8E18-C45353A86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Georgia" w:hAnsi="Georgia" w:cs="Georgia"/>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VerbatimChar">
    <w:name w:val="Verbatim Char"/>
    <w:rPr>
      <w:rFonts w:ascii="Consolas" w:hAnsi="Consolas"/>
      <w:sz w:val="22"/>
    </w:rPr>
  </w:style>
  <w:style w:type="table" w:styleId="TableGrid">
    <w:name w:val="Table Grid"/>
    <w:basedOn w:val="TableNormal"/>
    <w:uiPriority w:val="39"/>
    <w:rsid w:val="003166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66CB"/>
    <w:pPr>
      <w:spacing w:before="100" w:beforeAutospacing="1" w:after="100" w:afterAutospacing="1"/>
    </w:pPr>
    <w:rPr>
      <w:rFonts w:ascii="Times New Roman" w:eastAsia="Times New Roman" w:hAnsi="Times New Roman" w:cs="Times New Roman"/>
      <w:sz w:val="24"/>
      <w:szCs w:val="24"/>
      <w:lang w:eastAsia="en-GB"/>
    </w:r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28349543_Mathematics_in_Financial_Risk_" TargetMode="External"/><Relationship Id="rId13" Type="http://schemas.openxmlformats.org/officeDocument/2006/relationships/hyperlink" Target="https://doi.org/10.1177/014107680609900414" TargetMode="External"/><Relationship Id="rId18" Type="http://schemas.openxmlformats.org/officeDocument/2006/relationships/hyperlink" Target="https://doi.org/10.2307/202597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ritannica.com/science/number-theory" TargetMode="External"/><Relationship Id="rId12" Type="http://schemas.openxmlformats.org/officeDocument/2006/relationships/hyperlink" Target="https://doi.org/10.1016/b0-12-369400-0/00828-0" TargetMode="External"/><Relationship Id="rId17" Type="http://schemas.openxmlformats.org/officeDocument/2006/relationships/hyperlink" Target="https://doi.org/10.1016/b978-0-12-375000-6.00216-0" TargetMode="External"/><Relationship Id="rId2" Type="http://schemas.openxmlformats.org/officeDocument/2006/relationships/styles" Target="styles.xml"/><Relationship Id="rId16" Type="http://schemas.openxmlformats.org/officeDocument/2006/relationships/hyperlink" Target="https://doi.org/10.1016/b978-0-12-822957-6.00009-0" TargetMode="External"/><Relationship Id="rId20" Type="http://schemas.openxmlformats.org/officeDocument/2006/relationships/hyperlink" Target="https://doi.org/10.1038/s41598-020-80677-4" TargetMode="External"/><Relationship Id="rId1" Type="http://schemas.openxmlformats.org/officeDocument/2006/relationships/customXml" Target="../customXml/item1.xml"/><Relationship Id="rId6" Type="http://schemas.openxmlformats.org/officeDocument/2006/relationships/hyperlink" Target="https://www.courant.com/2016/09/01/robert-m-thorson-piltdown-man-shows-how-biasescan-trump-facts/" TargetMode="External"/><Relationship Id="rId11" Type="http://schemas.openxmlformats.org/officeDocument/2006/relationships/hyperlink" Target="https://plato.stanford.edu/archives/win2023/entries/ernst-mach/" TargetMode="External"/><Relationship Id="rId5" Type="http://schemas.openxmlformats.org/officeDocument/2006/relationships/hyperlink" Target="https://doi.org/10.1016/b0-12-227410-5/00628-1" TargetMode="External"/><Relationship Id="rId15" Type="http://schemas.openxmlformats.org/officeDocument/2006/relationships/hyperlink" Target="https://www.sciencehistory.org/stories/magazine/the-problem-of-piltdown-man/" TargetMode="External"/><Relationship Id="rId10" Type="http://schemas.openxmlformats.org/officeDocument/2006/relationships/hyperlink" Target="https://www.britannica.com/topic/evidence-law" TargetMode="External"/><Relationship Id="rId19" Type="http://schemas.openxmlformats.org/officeDocument/2006/relationships/hyperlink" Target="https://doi.org/10.4236/ajibm" TargetMode="External"/><Relationship Id="rId4" Type="http://schemas.openxmlformats.org/officeDocument/2006/relationships/webSettings" Target="webSettings.xml"/><Relationship Id="rId9" Type="http://schemas.openxmlformats.org/officeDocument/2006/relationships/hyperlink" Target="https://doi.org/10.1016/j.wneu.2019.12.012" TargetMode="External"/><Relationship Id="rId14" Type="http://schemas.openxmlformats.org/officeDocument/2006/relationships/hyperlink" Target="https://doi.org/10.1090/s0273-0979-01-00909-0"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kwCwpod/IOhxBZUY4wBR/PdVsQ==">CgMxLjA4AHIhMS1xOEtOemh6Z24xU2FnNHd3V1dfOGpBUGtwY0xXckZI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2817</Words>
  <Characters>16062</Characters>
  <Application>Microsoft Office Word</Application>
  <DocSecurity>0</DocSecurity>
  <Lines>133</Lines>
  <Paragraphs>37</Paragraphs>
  <ScaleCrop>false</ScaleCrop>
  <Company/>
  <LinksUpToDate>false</LinksUpToDate>
  <CharactersWithSpaces>18842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lastModifiedBy>Jacek Cieślak</cp:lastModifiedBy>
  <cp:revision>3</cp:revision>
  <dcterms:created xsi:type="dcterms:W3CDTF">2024-08-01T12:40:00Z</dcterms:created>
  <dcterms:modified xsi:type="dcterms:W3CDTF">2024-08-28T08:42:00Z</dcterms:modified>
</cp:coreProperties>
</file>