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5EB9A" w14:textId="77777777" w:rsidR="00E27D03" w:rsidRDefault="00000000">
      <w:p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Experts, individuals who delve into a specific concept, have a different set of expectations placed on them than the general population. Specialization will be defined as delving into one concept, whereas generalization will be defined as delving into multiple concepts or none. Hence, experts are expected to make informed decisions and are granted more authority due to their deeper level of knowledge. Resolution between the opposing demands of generalization and specialization may occur by producing knowledge with experts in various fields, so the knowledge has diverse applications, or by simplifying demands of generalists and specialists to universal human needs, so knowledge access is standardized, regardless of power level.</w:t>
      </w:r>
    </w:p>
    <w:p w14:paraId="311C78EB"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Furthermore, experts are consulted and asked to produce knowledge to solve current problems and to develop past knowledge. Mathematics requires a distinction between experts and the general population for authorizing knowledge production; the arts encourage experts and the general population to have equal authority in knowledge production. This essay will discuss this dilemma and possible solutions between experts and generalists in mathematics and in the arts.</w:t>
      </w:r>
    </w:p>
    <w:p w14:paraId="2C57A085"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 math, the opposing demands for specialization and generalization are often reconciled by producing knowledge intended for a specific application. For example, different statistical tests address specific defined parameters. The Mann Whitney U Test is a statistical test used to compare two populations that do not have a normal distribution and have continuous data, such as observations; therefore, the discipline of psychology often utilizes it.</w:t>
      </w:r>
    </w:p>
    <w:p w14:paraId="38B5DD4B"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Statistical tests were produced for data to be analyzed by certain metrics, such as distribution, shape, and spread; the tests can be applied to any form of numerical data, consequently mathematics is often the foundation that knowledge is produced from. General mathematical knowledge can be used by specialists in other disciplines to meet their demands of analyzing specific data.</w:t>
      </w:r>
    </w:p>
    <w:p w14:paraId="33F74AF5"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Specialists in the creation of the Mann Whitney U Test have equal power, but there is inequality between their general knowledge in the other field. Mathematicians and psychologists working together to produce knowledge have reconciled the opposing demands where the experts have specialized knowledge in their respective fields and have generalized knowledge of the other field they collaborated with. Knowledge created through consensus can synthesize specialized knowledge from multiple disciplines.</w:t>
      </w:r>
    </w:p>
    <w:p w14:paraId="31036223"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specialized can knowledge production become before it starts to exclude less knowledgeable individuals? Mathematics is not an area of knowledge that restricts access based on current knowledge level; rather, the knowledge is spread through proofs and formulas. In my experience as an IB Mathematics Analysis student, mathematical knowledge is strengthened by exposure. Yes, certain concepts are foreign without prior understanding; however, with the low barrier of entry of arithmetic, it can be dangerous for an individual who possesses general knowledge to apply specialized math they do not understand.</w:t>
      </w:r>
    </w:p>
    <w:p w14:paraId="69D896FA"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reconciliation of opposing demands for specialization and generalization can be harmful. Unauthorized personnel with access to specialized knowledge is dangerous to the knower and the consumers of the new knowledge. In Toronto, Canada, the public transportation system was underfunded due to elected officials' misattribution of the opportunity cost when implementing the farebox funding model. When calculating opportunity cost, knowledge about general economics, mathematical optimization, and mathematical formulas of revenue </w:t>
      </w:r>
      <w:r>
        <w:rPr>
          <w:rFonts w:ascii="Times New Roman" w:eastAsia="Times New Roman" w:hAnsi="Times New Roman" w:cs="Times New Roman"/>
          <w:color w:val="000000"/>
        </w:rPr>
        <w:lastRenderedPageBreak/>
        <w:t>and profit are required. This specialized knowledge requires a deep understanding of its applications.</w:t>
      </w:r>
    </w:p>
    <w:p w14:paraId="3524F2DA"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For the transit system, government officials who possess general mathematical and economic knowledge are making specialized decisions. The government’s overestimation of their specialized knowledge is a Dunning-Kruger effect, which led to the transit system being underdeveloped, leading to a sunken cost fallacy where unrealistic amounts of time and money were spent on the public transit project. The government’s authority in managing civil matters should not translate to authority in deciding how knowledge is produced.</w:t>
      </w:r>
    </w:p>
    <w:p w14:paraId="65855C9A"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Is there danger in making specialized knowledge too accessible to general individuals? I believe in individual responsibility to truthfully assess one’s previous knowledge before attempting to create specialized knowledge or to consult with specialized individuals first. In mathematics, it is extremely important to evaluate how knowledge was produced, so it is applied to the correct situation. In the first example, failing to use the correct statistical test would result in misleading data and misinformation; in the second example, the error is much more pressing, where failing to apply opportunity cost calculation to realistic data, results in millions of dollars wasted and creates an inaccessible city.</w:t>
      </w:r>
    </w:p>
    <w:p w14:paraId="483E5DC1"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reconciliation of opposing demands for specialization and generalization in the production of knowledge is sometimes less evident in the interpretation of knowledge, as exemplified by the musical compositions "Te Extraño, Te Olvido, Te Amo" by Ricky Martin (1995) from Puerto Rico and "You're the Inspiration" by Chicago (1984) from the USA. Despite sharing a similar '90s sound and ballad style, the Puerto Rican influence in Ricky Martin's piece distinguishes it from the American context of Chicago's creation.</w:t>
      </w:r>
    </w:p>
    <w:p w14:paraId="1B9F9ED7"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By utilizing the ballad genre but tailoring it to a Puerto Rican audience, Martin used his position as a songwriter to create culturally relevant music. He used general concepts from the ballad genre, as exemplified in Chicago’s piece, while including specialized aspects recognizable to his Puerto Rican audience. The basic format of the ballad genre is generalized knowledge, and the interpretations by different artists are specialized knowledge.</w:t>
      </w:r>
    </w:p>
    <w:p w14:paraId="559D5CE5"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Artists combine their conceptual, procedural, and cultural knowledge when producing pieces. In music, the musician creates songs by knowing universal music theory basics, knowing what lyrics will provoke a certain emotion, and what musical techniques will resonate with their audience. Musicians’ songs are their interpretations of popularized genres.</w:t>
      </w:r>
    </w:p>
    <w:p w14:paraId="11019F47"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Both Martin and Chicago are authorities in music because they both had freedom to apply culturally specific instruments to their songs. Unlike mathematics, that requires authority from demonstrating proficiency in past knowledge; in the arts, authority is given through consumer popularization where the audience earns enjoyment from the art and immortalizes it into art history.</w:t>
      </w:r>
    </w:p>
    <w:p w14:paraId="0648115B"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However, limitations arise in potential misunderstandings by non-Puerto Rican audiences. This raises the question: are these opposing demands truly universal? Perhaps, in certain aspects of knowledge production, like artistic expression, specialization complements generalization by allowing universal forms to resonate with unique cultural experiences, blurring the lines between seemingly distinct approaches. In the arts, creativity encourages cultural discrepancy; culturally specific demands are encouraged, like in music, a specific song can exist within a broad genre where the artist incorporated their own twist on the </w:t>
      </w:r>
      <w:r>
        <w:rPr>
          <w:rFonts w:ascii="Times New Roman" w:eastAsia="Times New Roman" w:hAnsi="Times New Roman" w:cs="Times New Roman"/>
          <w:color w:val="000000"/>
        </w:rPr>
        <w:lastRenderedPageBreak/>
        <w:t>interpretation of the medium. Moreover, this claim is limited in validity since universality is difficult to quantify in the arts, as opposed to documented rules in mathematics.</w:t>
      </w:r>
    </w:p>
    <w:p w14:paraId="15CE8A22"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opposing demands for specialization and generalization in the production of knowledge sometimes enrich the interpretation of the knowledge. Within culinary arts, pasta creation is a general concept, and regional shapes popularized across the Italian peninsula are specialized knowledge. Ingredient availability and proximity to the sea influenced the variation of pasta shapes across Italy. For example, orecchiette in southern Italy originated from the sea merchant culture of the region, while gnocchi in northern Italy was created due to the availability of Spanish potatoes.</w:t>
      </w:r>
    </w:p>
    <w:p w14:paraId="2F95E510"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Culture heavily influenced the variation of pasta shapes. The demands for specialization of pasta shapes were embraced because of the practicality; the variation of the shapes occurred as an interpretation of an established form of sustenance. Culture guides daily life and in southern Italy, the prevalence of merchants spawned production of knowledge via a new pasta dish. This specialized knowledge was welcomed and evolved into orecchiette. The demand of sustenance pasta making in Italy.</w:t>
      </w:r>
    </w:p>
    <w:p w14:paraId="24815ED2"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demands between general pasta-making practice and specialized pasta shapes diverged in the practicality of the production of knowledge based on resource availability. The opposing demands between this generalization and specialization enrich the artistic interpretation and highlight the cultural differences and similarities through pasta making.</w:t>
      </w:r>
    </w:p>
    <w:p w14:paraId="121F671F"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Opposing demands present a false dichotomy, since opposition implies disagreement of two concepts, whereas the arts are extremely subjective, and each maker and consumer is entitled to their own opinions. Perhaps, the opposing demands are not critically opposed; rather, they inspire new interpretations, new artistic movements, new pasta shapes. The cohesion of the demands in the arts is complemented by the necessary opposition in mathematics.</w:t>
      </w:r>
    </w:p>
    <w:p w14:paraId="59C3D904"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production of knowledge clearly merits different demands from experts and the general public that are usually able to reach a compromise. In mathematics, production isn’t necessarily discouraged to the general public; however, it is not encouraged either, since the subject of mathematics usually intimidates the majority of the population. Conversely, in the arts, both experts and the general public are encouraged to produce knowledge because authority is ambiguous in this area.</w:t>
      </w:r>
    </w:p>
    <w:p w14:paraId="4969569A"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 knowers and learners, we have a responsibility to evaluate the depth of the knowledge we possess and consider the applications of it within the scope of our abilities; this introspection remedies many of the issues discussed in this essay: errors in public infrastructure and the interpretation of knowledge.</w:t>
      </w:r>
    </w:p>
    <w:p w14:paraId="692C3E37" w14:textId="77777777" w:rsidR="00E27D03" w:rsidRDefault="00000000">
      <w:pPr>
        <w:spacing w:after="0" w:line="240" w:lineRule="auto"/>
        <w:rPr>
          <w:rFonts w:ascii="Times New Roman" w:eastAsia="Times New Roman" w:hAnsi="Times New Roman" w:cs="Times New Roman"/>
        </w:rPr>
      </w:pPr>
      <w:r>
        <w:pict w14:anchorId="3E3E61AE">
          <v:rect id="_x0000_i1025" style="width:0;height:1.5pt" o:hralign="center" o:hrstd="t" o:hr="t" fillcolor="#a0a0a0" stroked="f"/>
        </w:pict>
      </w:r>
    </w:p>
    <w:p w14:paraId="615BAFE0" w14:textId="77777777" w:rsidR="00E27D03"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Bibliography</w:t>
      </w:r>
    </w:p>
    <w:p w14:paraId="157713CC" w14:textId="77777777" w:rsidR="00E27D03" w:rsidRDefault="00000000">
      <w:pPr>
        <w:numPr>
          <w:ilvl w:val="0"/>
          <w:numId w:val="1"/>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"ITALIAN PASTA TYPES AND SHAPES REGION BY REGION." Italy Bite. May 6, 2020. </w:t>
      </w:r>
      <w:hyperlink r:id="rId6">
        <w:r>
          <w:rPr>
            <w:rFonts w:ascii="Times New Roman" w:eastAsia="Times New Roman" w:hAnsi="Times New Roman" w:cs="Times New Roman"/>
            <w:color w:val="0000FF"/>
            <w:u w:val="single"/>
          </w:rPr>
          <w:t>https://www.italybite.it/en/blog/post/Italian-pasta-shapes-and-types-region-by-region.html</w:t>
        </w:r>
      </w:hyperlink>
      <w:r>
        <w:rPr>
          <w:rFonts w:ascii="Times New Roman" w:eastAsia="Times New Roman" w:hAnsi="Times New Roman" w:cs="Times New Roman"/>
          <w:color w:val="000000"/>
        </w:rPr>
        <w:t>. Accessed 7 Dec. 2023.</w:t>
      </w:r>
    </w:p>
    <w:p w14:paraId="143F3069" w14:textId="77777777" w:rsidR="00E27D03" w:rsidRDefault="00000000">
      <w:pPr>
        <w:numPr>
          <w:ilvl w:val="0"/>
          <w:numId w:val="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Davis, Stephen S. "Who broke the TTC? inside Toronto's public transit disaster." Toronto Life. July 6, 2023. </w:t>
      </w:r>
      <w:hyperlink r:id="rId7">
        <w:r>
          <w:rPr>
            <w:rFonts w:ascii="Times New Roman" w:eastAsia="Times New Roman" w:hAnsi="Times New Roman" w:cs="Times New Roman"/>
            <w:color w:val="0000FF"/>
            <w:u w:val="single"/>
          </w:rPr>
          <w:t>https://torontolife.com/deep-dives/who-broke-the-ttc-inside-torontos-public-transit-disaster/</w:t>
        </w:r>
      </w:hyperlink>
      <w:r>
        <w:rPr>
          <w:rFonts w:ascii="Times New Roman" w:eastAsia="Times New Roman" w:hAnsi="Times New Roman" w:cs="Times New Roman"/>
          <w:color w:val="000000"/>
        </w:rPr>
        <w:t>. Accessed 2 Feb. 2024.</w:t>
      </w:r>
    </w:p>
    <w:p w14:paraId="5730E191" w14:textId="77777777" w:rsidR="00E27D03" w:rsidRDefault="00000000">
      <w:pPr>
        <w:numPr>
          <w:ilvl w:val="0"/>
          <w:numId w:val="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Dilts, David A. "INTRODUCTION TO MICROECONOMICS E201." Fort Wayne; Indiana - Purdue University - Fort Wayne. July 7, 2004. Accessed 31 Jan. 2024.</w:t>
      </w:r>
    </w:p>
    <w:p w14:paraId="094A6513" w14:textId="77777777" w:rsidR="00E27D03" w:rsidRDefault="00000000">
      <w:pPr>
        <w:numPr>
          <w:ilvl w:val="0"/>
          <w:numId w:val="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Ultimate Guide to Pasta Shapes Across Italy." Giadzy. January 26, 2023. </w:t>
      </w:r>
      <w:hyperlink r:id="rId8">
        <w:r>
          <w:rPr>
            <w:rFonts w:ascii="Times New Roman" w:eastAsia="Times New Roman" w:hAnsi="Times New Roman" w:cs="Times New Roman"/>
            <w:color w:val="0000FF"/>
            <w:u w:val="single"/>
          </w:rPr>
          <w:t>https://giadzy.com/blogs/tips/pasta-shape-guide</w:t>
        </w:r>
      </w:hyperlink>
      <w:r>
        <w:rPr>
          <w:rFonts w:ascii="Times New Roman" w:eastAsia="Times New Roman" w:hAnsi="Times New Roman" w:cs="Times New Roman"/>
          <w:color w:val="000000"/>
        </w:rPr>
        <w:t>. Accessed 7 Dec. 2023.</w:t>
      </w:r>
    </w:p>
    <w:p w14:paraId="061444E0" w14:textId="77777777" w:rsidR="00E27D03" w:rsidRDefault="00000000">
      <w:pPr>
        <w:numPr>
          <w:ilvl w:val="0"/>
          <w:numId w:val="1"/>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"Mann-Whitney U Test." Statistics Solutions. May 5, 2021. https://www.statisticssolutions.com/free-resources/directory-of-statistical-analyses/mann-whitney-u-test/. Accessed 27 Nov. 2023.</w:t>
      </w:r>
    </w:p>
    <w:p w14:paraId="52A2F6FA" w14:textId="77777777" w:rsidR="00E27D03" w:rsidRDefault="00000000">
      <w:r>
        <w:br w:type="page"/>
      </w:r>
    </w:p>
    <w:p w14:paraId="51BD78B4" w14:textId="7916114C" w:rsidR="00E27D03" w:rsidRPr="00656450" w:rsidRDefault="00000000" w:rsidP="00656450">
      <w:pPr>
        <w:rPr>
          <w:lang w:val="pl-PL"/>
        </w:rPr>
      </w:pPr>
      <w:r>
        <w:lastRenderedPageBreak/>
        <w:t>Grading criteria:</w:t>
      </w:r>
    </w:p>
    <w:sdt>
      <w:sdtPr>
        <w:tag w:val="goog_rdk_0"/>
        <w:id w:val="750623748"/>
        <w:lock w:val="contentLocked"/>
      </w:sdtPr>
      <w:sdtContent>
        <w:tbl>
          <w:tblPr>
            <w:tblStyle w:val="a0"/>
            <w:tblpPr w:leftFromText="180" w:rightFromText="180" w:topFromText="180" w:bottomFromText="180" w:vertAnchor="text"/>
            <w:tblW w:w="9030" w:type="dxa"/>
            <w:tblBorders>
              <w:top w:val="nil"/>
              <w:left w:val="nil"/>
              <w:bottom w:val="nil"/>
              <w:right w:val="nil"/>
              <w:insideH w:val="nil"/>
              <w:insideV w:val="nil"/>
            </w:tblBorders>
            <w:tblLayout w:type="fixed"/>
            <w:tblLook w:val="0600" w:firstRow="0" w:lastRow="0" w:firstColumn="0" w:lastColumn="0" w:noHBand="1" w:noVBand="1"/>
          </w:tblPr>
          <w:tblGrid>
            <w:gridCol w:w="3705"/>
            <w:gridCol w:w="990"/>
            <w:gridCol w:w="2715"/>
            <w:gridCol w:w="1620"/>
          </w:tblGrid>
          <w:tr w:rsidR="00E27D03" w14:paraId="04D8B19A" w14:textId="77777777">
            <w:trPr>
              <w:trHeight w:val="169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CC7AE3"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The essay’s title is clearly stated and the essay's focus is sustained</w:t>
                </w:r>
              </w:p>
              <w:p w14:paraId="7B934D13"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on the title chosen and does not</w:t>
                </w:r>
              </w:p>
              <w:p w14:paraId="5D00C06C"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include digression or irrelevant</w:t>
                </w:r>
              </w:p>
              <w:p w14:paraId="00E2C615"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information</w:t>
                </w:r>
              </w:p>
            </w:tc>
            <w:tc>
              <w:tcPr>
                <w:tcW w:w="99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D5B4C0"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0-5</w:t>
                </w:r>
              </w:p>
            </w:tc>
            <w:tc>
              <w:tcPr>
                <w:tcW w:w="27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F83E82B" w14:textId="77777777" w:rsidR="00E27D03" w:rsidRDefault="00000000">
                <w:pPr>
                  <w:spacing w:after="240" w:line="240" w:lineRule="auto"/>
                  <w:rPr>
                    <w:rFonts w:ascii="Verdana" w:eastAsia="Verdana" w:hAnsi="Verdana" w:cs="Verdana"/>
                    <w:sz w:val="22"/>
                    <w:szCs w:val="22"/>
                  </w:rPr>
                </w:pPr>
                <w:r>
                  <w:rPr>
                    <w:rFonts w:ascii="Verdana" w:eastAsia="Verdana" w:hAnsi="Verdana" w:cs="Verdana"/>
                    <w:sz w:val="22"/>
                    <w:szCs w:val="22"/>
                  </w:rPr>
                  <w:t>The essay does not explicitly state the chosen title at the beginning. The focus on the topic is implied but not clearly articulated. Nonetheless, it maintains focus on the central topic of specialization vs. generalization but includes some general observations and tangential points. To improve, ensure that every section directly addresses the key question and avoid unrelated observations.</w:t>
                </w:r>
              </w:p>
            </w:tc>
            <w:tc>
              <w:tcPr>
                <w:tcW w:w="162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6E845D"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3</w:t>
                </w:r>
              </w:p>
            </w:tc>
          </w:tr>
          <w:tr w:rsidR="00E27D03" w14:paraId="18AE8405" w14:textId="77777777">
            <w:trPr>
              <w:trHeight w:val="73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22198F"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The work is effectively linked with different Areas of Knowledge</w:t>
                </w:r>
              </w:p>
            </w:tc>
            <w:tc>
              <w:tcPr>
                <w:tcW w:w="990" w:type="dxa"/>
                <w:tcBorders>
                  <w:top w:val="single" w:sz="8" w:space="0" w:color="000000"/>
                  <w:left w:val="single" w:sz="8" w:space="0" w:color="000000"/>
                  <w:bottom w:val="single" w:sz="8" w:space="0" w:color="000000"/>
                  <w:right w:val="single" w:sz="8" w:space="0" w:color="000000"/>
                </w:tcBorders>
                <w:tcMar>
                  <w:top w:w="0" w:type="dxa"/>
                  <w:bottom w:w="0" w:type="dxa"/>
                </w:tcMar>
              </w:tcPr>
              <w:p w14:paraId="1F3B2C0D"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0-10</w:t>
                </w:r>
              </w:p>
            </w:tc>
            <w:tc>
              <w:tcPr>
                <w:tcW w:w="271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5A72F" w14:textId="77777777" w:rsidR="00E27D03" w:rsidRDefault="00000000">
                <w:pPr>
                  <w:spacing w:after="240" w:line="240" w:lineRule="auto"/>
                  <w:rPr>
                    <w:rFonts w:ascii="Verdana" w:eastAsia="Verdana" w:hAnsi="Verdana" w:cs="Verdana"/>
                    <w:sz w:val="22"/>
                    <w:szCs w:val="22"/>
                  </w:rPr>
                </w:pPr>
                <w:r>
                  <w:rPr>
                    <w:rFonts w:ascii="Verdana" w:eastAsia="Verdana" w:hAnsi="Verdana" w:cs="Verdana"/>
                    <w:sz w:val="22"/>
                    <w:szCs w:val="22"/>
                  </w:rPr>
                  <w:t>The essay effectively links Mathematics and the Arts to the central discussion of specialization and generalization. Examples are provided from both fields.</w:t>
                </w:r>
              </w:p>
              <w:p w14:paraId="25BB779A" w14:textId="77777777" w:rsidR="00E27D03" w:rsidRDefault="00E27D03">
                <w:pPr>
                  <w:spacing w:after="120" w:line="240" w:lineRule="auto"/>
                  <w:ind w:left="140" w:right="140"/>
                  <w:rPr>
                    <w:rFonts w:ascii="Verdana" w:eastAsia="Verdana" w:hAnsi="Verdana" w:cs="Verdana"/>
                    <w:sz w:val="22"/>
                    <w:szCs w:val="22"/>
                  </w:rPr>
                </w:pPr>
              </w:p>
            </w:tc>
            <w:tc>
              <w:tcPr>
                <w:tcW w:w="1620" w:type="dxa"/>
                <w:tcBorders>
                  <w:top w:val="single" w:sz="8" w:space="0" w:color="000000"/>
                  <w:left w:val="single" w:sz="8" w:space="0" w:color="000000"/>
                  <w:bottom w:val="single" w:sz="8" w:space="0" w:color="000000"/>
                  <w:right w:val="single" w:sz="8" w:space="0" w:color="000000"/>
                </w:tcBorders>
                <w:tcMar>
                  <w:top w:w="0" w:type="dxa"/>
                  <w:bottom w:w="0" w:type="dxa"/>
                </w:tcMar>
              </w:tcPr>
              <w:p w14:paraId="23E80FAF"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8</w:t>
                </w:r>
              </w:p>
            </w:tc>
          </w:tr>
          <w:tr w:rsidR="00E27D03" w14:paraId="092E4A07" w14:textId="77777777">
            <w:trPr>
              <w:trHeight w:val="85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A0B6651"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The students provides examples which are convincing and support the argument being made efficiently</w:t>
                </w:r>
              </w:p>
            </w:tc>
            <w:tc>
              <w:tcPr>
                <w:tcW w:w="99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611B9A"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0-10</w:t>
                </w:r>
              </w:p>
            </w:tc>
            <w:tc>
              <w:tcPr>
                <w:tcW w:w="271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6CA543" w14:textId="77777777" w:rsidR="00E27D03" w:rsidRDefault="00000000">
                <w:pPr>
                  <w:spacing w:after="240" w:line="240" w:lineRule="auto"/>
                  <w:rPr>
                    <w:rFonts w:ascii="Verdana" w:eastAsia="Verdana" w:hAnsi="Verdana" w:cs="Verdana"/>
                    <w:sz w:val="22"/>
                    <w:szCs w:val="22"/>
                  </w:rPr>
                </w:pPr>
                <w:r>
                  <w:rPr>
                    <w:rFonts w:ascii="Verdana" w:eastAsia="Verdana" w:hAnsi="Verdana" w:cs="Verdana"/>
                    <w:sz w:val="22"/>
                    <w:szCs w:val="22"/>
                  </w:rPr>
                  <w:t xml:space="preserve">The essay includes relevant real-life examples, such as the Mann-Whitney U Test and variations in pasta shapes, to illustrate points about specialization and generalization. While relevant, their connection to the argument could be more thoroughly explained to strengthen their effectiveness. Provide more detailed explanations and </w:t>
                </w:r>
                <w:r>
                  <w:rPr>
                    <w:rFonts w:ascii="Verdana" w:eastAsia="Verdana" w:hAnsi="Verdana" w:cs="Verdana"/>
                    <w:sz w:val="22"/>
                    <w:szCs w:val="22"/>
                  </w:rPr>
                  <w:lastRenderedPageBreak/>
                  <w:t>clearer connections between the examples and the main argument to enhance their impact.</w:t>
                </w:r>
              </w:p>
            </w:tc>
            <w:tc>
              <w:tcPr>
                <w:tcW w:w="1620" w:type="dxa"/>
                <w:tcBorders>
                  <w:top w:val="single" w:sz="8" w:space="0" w:color="000000"/>
                  <w:left w:val="single" w:sz="8" w:space="0" w:color="000000"/>
                  <w:bottom w:val="single" w:sz="8" w:space="0" w:color="000000"/>
                  <w:right w:val="single" w:sz="8" w:space="0" w:color="000000"/>
                </w:tcBorders>
                <w:tcMar>
                  <w:top w:w="0" w:type="dxa"/>
                  <w:bottom w:w="0" w:type="dxa"/>
                </w:tcMar>
              </w:tcPr>
              <w:p w14:paraId="1D0CA54D" w14:textId="77777777" w:rsidR="00E27D03" w:rsidRDefault="00000000">
                <w:pPr>
                  <w:spacing w:after="120" w:line="240" w:lineRule="auto"/>
                  <w:ind w:left="140"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5</w:t>
                </w:r>
              </w:p>
            </w:tc>
          </w:tr>
          <w:tr w:rsidR="00E27D03" w14:paraId="35DF21A2" w14:textId="77777777">
            <w:trPr>
              <w:trHeight w:val="133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DAAADC"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Any implications, counterpoints of the arguments, and different points of views</w:t>
                </w:r>
              </w:p>
              <w:p w14:paraId="12D99C3B"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are considered and evaluated</w:t>
                </w:r>
              </w:p>
              <w:p w14:paraId="414B42E6"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by the student</w:t>
                </w:r>
              </w:p>
            </w:tc>
            <w:tc>
              <w:tcPr>
                <w:tcW w:w="99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52459F"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0-10</w:t>
                </w:r>
              </w:p>
            </w:tc>
            <w:tc>
              <w:tcPr>
                <w:tcW w:w="27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45DD53" w14:textId="77777777" w:rsidR="00E27D03" w:rsidRDefault="00000000">
                <w:pPr>
                  <w:spacing w:after="240" w:line="240" w:lineRule="auto"/>
                  <w:rPr>
                    <w:rFonts w:ascii="Verdana" w:eastAsia="Verdana" w:hAnsi="Verdana" w:cs="Verdana"/>
                    <w:sz w:val="22"/>
                    <w:szCs w:val="22"/>
                  </w:rPr>
                </w:pPr>
                <w:r>
                  <w:rPr>
                    <w:rFonts w:ascii="Verdana" w:eastAsia="Verdana" w:hAnsi="Verdana" w:cs="Verdana"/>
                    <w:sz w:val="22"/>
                    <w:szCs w:val="22"/>
                  </w:rPr>
                  <w:t>The essay demonstrates awareness of various perspectives on specialization and generalization, including the benefits and risks in different contexts, such as exploring the potential risks associated with specialization and generalization, such as misapplication and the Dunning-Kruger effect. However, the analysis could be more in-depth by offering a more detailed evaluation of how different viewpoints interact and impact the central question to provide a deeper analysis.</w:t>
                </w:r>
              </w:p>
              <w:p w14:paraId="1D4876AC" w14:textId="77777777" w:rsidR="00E27D03" w:rsidRDefault="00E27D03">
                <w:pPr>
                  <w:spacing w:after="240" w:line="240" w:lineRule="auto"/>
                  <w:rPr>
                    <w:rFonts w:ascii="Verdana" w:eastAsia="Verdana" w:hAnsi="Verdana" w:cs="Verdana"/>
                    <w:sz w:val="22"/>
                    <w:szCs w:val="22"/>
                  </w:rPr>
                </w:pPr>
              </w:p>
            </w:tc>
            <w:tc>
              <w:tcPr>
                <w:tcW w:w="162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FD5CD4" w14:textId="77777777" w:rsidR="00E27D03" w:rsidRDefault="00000000">
                <w:pPr>
                  <w:spacing w:after="120" w:line="240" w:lineRule="auto"/>
                  <w:ind w:left="140"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r>
          <w:tr w:rsidR="00E27D03" w14:paraId="04FCEF9F" w14:textId="77777777">
            <w:trPr>
              <w:trHeight w:val="109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1A1DFD"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The essay is predominately</w:t>
                </w:r>
              </w:p>
              <w:p w14:paraId="20FD6075"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critical and argumentative rather</w:t>
                </w:r>
              </w:p>
              <w:p w14:paraId="336A3169"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than descriptive</w:t>
                </w:r>
              </w:p>
            </w:tc>
            <w:tc>
              <w:tcPr>
                <w:tcW w:w="990" w:type="dxa"/>
                <w:tcBorders>
                  <w:top w:val="single" w:sz="8" w:space="0" w:color="000000"/>
                  <w:left w:val="single" w:sz="8" w:space="0" w:color="000000"/>
                  <w:bottom w:val="single" w:sz="8" w:space="0" w:color="000000"/>
                  <w:right w:val="single" w:sz="8" w:space="0" w:color="000000"/>
                </w:tcBorders>
                <w:tcMar>
                  <w:top w:w="0" w:type="dxa"/>
                  <w:bottom w:w="0" w:type="dxa"/>
                </w:tcMar>
              </w:tcPr>
              <w:p w14:paraId="0BF658DF"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0-10</w:t>
                </w:r>
              </w:p>
            </w:tc>
            <w:tc>
              <w:tcPr>
                <w:tcW w:w="271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BC20AF" w14:textId="77777777" w:rsidR="00E27D03" w:rsidRDefault="00000000">
                <w:pPr>
                  <w:spacing w:after="240" w:line="240" w:lineRule="auto"/>
                  <w:rPr>
                    <w:rFonts w:ascii="Verdana" w:eastAsia="Verdana" w:hAnsi="Verdana" w:cs="Verdana"/>
                    <w:sz w:val="22"/>
                    <w:szCs w:val="22"/>
                  </w:rPr>
                </w:pPr>
                <w:r>
                  <w:rPr>
                    <w:rFonts w:ascii="Verdana" w:eastAsia="Verdana" w:hAnsi="Verdana" w:cs="Verdana"/>
                    <w:sz w:val="22"/>
                    <w:szCs w:val="22"/>
                  </w:rPr>
                  <w:t>The essay is primarily critical and argumentative, analyzing the issues related to specialization and generalization in Mathematics and the Arts.</w:t>
                </w:r>
              </w:p>
              <w:p w14:paraId="403E797E" w14:textId="77777777" w:rsidR="00E27D03" w:rsidRDefault="00E27D03">
                <w:pPr>
                  <w:spacing w:after="120" w:line="240" w:lineRule="auto"/>
                  <w:ind w:right="140"/>
                  <w:rPr>
                    <w:rFonts w:ascii="Verdana" w:eastAsia="Verdana" w:hAnsi="Verdana" w:cs="Verdana"/>
                    <w:sz w:val="22"/>
                    <w:szCs w:val="22"/>
                  </w:rPr>
                </w:pPr>
              </w:p>
            </w:tc>
            <w:tc>
              <w:tcPr>
                <w:tcW w:w="1620" w:type="dxa"/>
                <w:tcBorders>
                  <w:top w:val="single" w:sz="8" w:space="0" w:color="000000"/>
                  <w:left w:val="single" w:sz="8" w:space="0" w:color="000000"/>
                  <w:bottom w:val="single" w:sz="8" w:space="0" w:color="000000"/>
                  <w:right w:val="single" w:sz="8" w:space="0" w:color="000000"/>
                </w:tcBorders>
                <w:tcMar>
                  <w:top w:w="0" w:type="dxa"/>
                  <w:bottom w:w="0" w:type="dxa"/>
                </w:tcMar>
              </w:tcPr>
              <w:p w14:paraId="37C7BF26" w14:textId="77777777" w:rsidR="00E27D03" w:rsidRDefault="00000000">
                <w:pPr>
                  <w:spacing w:after="120" w:line="240" w:lineRule="auto"/>
                  <w:ind w:right="140"/>
                  <w:rPr>
                    <w:rFonts w:ascii="Georgia" w:eastAsia="Georgia" w:hAnsi="Georgia" w:cs="Georgia"/>
                    <w:sz w:val="22"/>
                    <w:szCs w:val="22"/>
                  </w:rPr>
                </w:pPr>
                <w:r>
                  <w:rPr>
                    <w:rFonts w:ascii="Georgia" w:eastAsia="Georgia" w:hAnsi="Georgia" w:cs="Georgia"/>
                    <w:sz w:val="22"/>
                    <w:szCs w:val="22"/>
                  </w:rPr>
                  <w:t>7</w:t>
                </w:r>
              </w:p>
            </w:tc>
          </w:tr>
          <w:tr w:rsidR="00E27D03" w14:paraId="289FAD45" w14:textId="77777777">
            <w:trPr>
              <w:trHeight w:val="145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815FEE"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The work is well-organized with</w:t>
                </w:r>
              </w:p>
              <w:p w14:paraId="5C4A1E00"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an introductory paragraph, main</w:t>
                </w:r>
              </w:p>
              <w:p w14:paraId="226DDF9C"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body sections, and a concluding</w:t>
                </w:r>
              </w:p>
              <w:p w14:paraId="6C2835F1"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paragraph</w:t>
                </w:r>
              </w:p>
            </w:tc>
            <w:tc>
              <w:tcPr>
                <w:tcW w:w="990" w:type="dxa"/>
                <w:tcBorders>
                  <w:top w:val="single" w:sz="8" w:space="0" w:color="000000"/>
                  <w:left w:val="single" w:sz="8" w:space="0" w:color="000000"/>
                  <w:bottom w:val="single" w:sz="8" w:space="0" w:color="000000"/>
                  <w:right w:val="single" w:sz="8" w:space="0" w:color="000000"/>
                </w:tcBorders>
                <w:tcMar>
                  <w:top w:w="0" w:type="dxa"/>
                  <w:bottom w:w="0" w:type="dxa"/>
                </w:tcMar>
              </w:tcPr>
              <w:p w14:paraId="5DAA4952"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t>0-5</w:t>
                </w:r>
              </w:p>
            </w:tc>
            <w:tc>
              <w:tcPr>
                <w:tcW w:w="27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CBC8D8" w14:textId="77777777" w:rsidR="00E27D03" w:rsidRDefault="00000000">
                <w:pPr>
                  <w:spacing w:after="0" w:line="240" w:lineRule="auto"/>
                  <w:rPr>
                    <w:rFonts w:ascii="Verdana" w:eastAsia="Verdana" w:hAnsi="Verdana" w:cs="Verdana"/>
                    <w:sz w:val="22"/>
                    <w:szCs w:val="22"/>
                  </w:rPr>
                </w:pPr>
                <w:r>
                  <w:rPr>
                    <w:rFonts w:ascii="Verdana" w:eastAsia="Verdana" w:hAnsi="Verdana" w:cs="Verdana"/>
                    <w:sz w:val="22"/>
                    <w:szCs w:val="22"/>
                  </w:rPr>
                  <w:t xml:space="preserve">The essay is well-organized, featuring a clear introduction, body sections discussing both areas of knowledge, and a </w:t>
                </w:r>
                <w:r>
                  <w:rPr>
                    <w:rFonts w:ascii="Verdana" w:eastAsia="Verdana" w:hAnsi="Verdana" w:cs="Verdana"/>
                    <w:sz w:val="22"/>
                    <w:szCs w:val="22"/>
                  </w:rPr>
                  <w:lastRenderedPageBreak/>
                  <w:t>conclusion that ties the arguments together and adequately cites the sources used.</w:t>
                </w:r>
              </w:p>
            </w:tc>
            <w:tc>
              <w:tcPr>
                <w:tcW w:w="1620" w:type="dxa"/>
                <w:tcBorders>
                  <w:top w:val="single" w:sz="8" w:space="0" w:color="000000"/>
                  <w:left w:val="single" w:sz="8" w:space="0" w:color="000000"/>
                  <w:bottom w:val="single" w:sz="8" w:space="0" w:color="000000"/>
                  <w:right w:val="single" w:sz="8" w:space="0" w:color="000000"/>
                </w:tcBorders>
                <w:tcMar>
                  <w:top w:w="0" w:type="dxa"/>
                  <w:bottom w:w="0" w:type="dxa"/>
                </w:tcMar>
              </w:tcPr>
              <w:p w14:paraId="6CE5028C" w14:textId="77777777" w:rsidR="00E27D03" w:rsidRDefault="00000000">
                <w:pPr>
                  <w:spacing w:after="120" w:line="240" w:lineRule="auto"/>
                  <w:ind w:left="140" w:right="140"/>
                  <w:rPr>
                    <w:rFonts w:ascii="Georgia" w:eastAsia="Georgia" w:hAnsi="Georgia" w:cs="Georgia"/>
                    <w:sz w:val="22"/>
                    <w:szCs w:val="22"/>
                  </w:rPr>
                </w:pPr>
                <w:r>
                  <w:rPr>
                    <w:rFonts w:ascii="Georgia" w:eastAsia="Georgia" w:hAnsi="Georgia" w:cs="Georgia"/>
                    <w:sz w:val="22"/>
                    <w:szCs w:val="22"/>
                  </w:rPr>
                  <w:lastRenderedPageBreak/>
                  <w:t>3</w:t>
                </w:r>
              </w:p>
            </w:tc>
          </w:tr>
        </w:tbl>
      </w:sdtContent>
    </w:sdt>
    <w:p w14:paraId="10C70603" w14:textId="77777777" w:rsidR="00E27D03" w:rsidRDefault="00000000">
      <w:pPr>
        <w:spacing w:after="240" w:line="240" w:lineRule="auto"/>
      </w:pPr>
      <w:r>
        <w:rPr>
          <w:rFonts w:ascii="Georgia" w:eastAsia="Georgia" w:hAnsi="Georgia" w:cs="Georgia"/>
          <w:sz w:val="22"/>
          <w:szCs w:val="22"/>
        </w:rPr>
        <w:t>Grade: 6/10</w:t>
      </w:r>
    </w:p>
    <w:sectPr w:rsidR="00E27D0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CC3C9FE3-A83B-4846-8323-871C648E40B2}"/>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BD52293-F0BE-4451-8D69-5390F85F6FA3}"/>
    <w:embedItalic r:id="rId3" w:fontKey="{595C3090-660B-457C-86C4-85A3E7662FE1}"/>
  </w:font>
  <w:font w:name="Aptos Display">
    <w:charset w:val="00"/>
    <w:family w:val="swiss"/>
    <w:pitch w:val="variable"/>
    <w:sig w:usb0="20000287" w:usb1="00000003" w:usb2="00000000" w:usb3="00000000" w:csb0="0000019F" w:csb1="00000000"/>
    <w:embedRegular r:id="rId4" w:fontKey="{EEA4AFEC-6915-4FC7-A51C-46A31EA1C96B}"/>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Regular r:id="rId5" w:fontKey="{A5B692B0-DB7A-4E63-A21B-37C308EB4F91}"/>
  </w:font>
  <w:font w:name="Verdana">
    <w:panose1 w:val="020B0604030504040204"/>
    <w:charset w:val="EE"/>
    <w:family w:val="swiss"/>
    <w:pitch w:val="variable"/>
    <w:sig w:usb0="A00006FF" w:usb1="4000205B" w:usb2="00000010" w:usb3="00000000" w:csb0="0000019F" w:csb1="00000000"/>
    <w:embedRegular r:id="rId6" w:fontKey="{819C29DB-CD8D-4FA8-8E6A-EC85088ADA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55C81"/>
    <w:multiLevelType w:val="multilevel"/>
    <w:tmpl w:val="FADC6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1234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03"/>
    <w:rsid w:val="0065393C"/>
    <w:rsid w:val="00656450"/>
    <w:rsid w:val="00E27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FDEC"/>
  <w15:docId w15:val="{F5C709CA-7A06-49DB-A175-D7FDDFF3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37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C3"/>
    <w:rPr>
      <w:rFonts w:eastAsiaTheme="majorEastAsia" w:cstheme="majorBidi"/>
      <w:color w:val="272727" w:themeColor="text1" w:themeTint="D8"/>
    </w:rPr>
  </w:style>
  <w:style w:type="character" w:customStyle="1" w:styleId="TitleChar">
    <w:name w:val="Title Char"/>
    <w:basedOn w:val="DefaultParagraphFont"/>
    <w:link w:val="Title"/>
    <w:uiPriority w:val="10"/>
    <w:rsid w:val="00F3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3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C3"/>
    <w:pPr>
      <w:spacing w:before="160"/>
      <w:jc w:val="center"/>
    </w:pPr>
    <w:rPr>
      <w:i/>
      <w:iCs/>
      <w:color w:val="404040" w:themeColor="text1" w:themeTint="BF"/>
    </w:rPr>
  </w:style>
  <w:style w:type="character" w:customStyle="1" w:styleId="QuoteChar">
    <w:name w:val="Quote Char"/>
    <w:basedOn w:val="DefaultParagraphFont"/>
    <w:link w:val="Quote"/>
    <w:uiPriority w:val="29"/>
    <w:rsid w:val="00F37EC3"/>
    <w:rPr>
      <w:i/>
      <w:iCs/>
      <w:color w:val="404040" w:themeColor="text1" w:themeTint="BF"/>
    </w:rPr>
  </w:style>
  <w:style w:type="paragraph" w:styleId="ListParagraph">
    <w:name w:val="List Paragraph"/>
    <w:basedOn w:val="Normal"/>
    <w:uiPriority w:val="34"/>
    <w:qFormat/>
    <w:rsid w:val="00F37EC3"/>
    <w:pPr>
      <w:ind w:left="720"/>
      <w:contextualSpacing/>
    </w:pPr>
  </w:style>
  <w:style w:type="character" w:styleId="IntenseEmphasis">
    <w:name w:val="Intense Emphasis"/>
    <w:basedOn w:val="DefaultParagraphFont"/>
    <w:uiPriority w:val="21"/>
    <w:qFormat/>
    <w:rsid w:val="00F37EC3"/>
    <w:rPr>
      <w:i/>
      <w:iCs/>
      <w:color w:val="0F4761" w:themeColor="accent1" w:themeShade="BF"/>
    </w:rPr>
  </w:style>
  <w:style w:type="paragraph" w:styleId="IntenseQuote">
    <w:name w:val="Intense Quote"/>
    <w:basedOn w:val="Normal"/>
    <w:next w:val="Normal"/>
    <w:link w:val="IntenseQuoteChar"/>
    <w:uiPriority w:val="30"/>
    <w:qFormat/>
    <w:rsid w:val="00F37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EC3"/>
    <w:rPr>
      <w:i/>
      <w:iCs/>
      <w:color w:val="0F4761" w:themeColor="accent1" w:themeShade="BF"/>
    </w:rPr>
  </w:style>
  <w:style w:type="character" w:styleId="IntenseReference">
    <w:name w:val="Intense Reference"/>
    <w:basedOn w:val="DefaultParagraphFont"/>
    <w:uiPriority w:val="32"/>
    <w:qFormat/>
    <w:rsid w:val="00F37EC3"/>
    <w:rPr>
      <w:b/>
      <w:bCs/>
      <w:smallCaps/>
      <w:color w:val="0F4761" w:themeColor="accent1" w:themeShade="BF"/>
      <w:spacing w:val="5"/>
    </w:rPr>
  </w:style>
  <w:style w:type="paragraph" w:styleId="NormalWeb">
    <w:name w:val="Normal (Web)"/>
    <w:basedOn w:val="Normal"/>
    <w:uiPriority w:val="99"/>
    <w:semiHidden/>
    <w:unhideWhenUsed/>
    <w:rsid w:val="00F37EC3"/>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F37EC3"/>
    <w:rPr>
      <w:b/>
      <w:bCs/>
    </w:rPr>
  </w:style>
  <w:style w:type="character" w:customStyle="1" w:styleId="apple-converted-space">
    <w:name w:val="apple-converted-space"/>
    <w:basedOn w:val="DefaultParagraphFont"/>
    <w:rsid w:val="00F37EC3"/>
  </w:style>
  <w:style w:type="character" w:styleId="Hyperlink">
    <w:name w:val="Hyperlink"/>
    <w:basedOn w:val="DefaultParagraphFont"/>
    <w:uiPriority w:val="99"/>
    <w:semiHidden/>
    <w:unhideWhenUsed/>
    <w:rsid w:val="00F37EC3"/>
    <w:rPr>
      <w:color w:val="0000FF"/>
      <w:u w:val="single"/>
    </w:rPr>
  </w:style>
  <w:style w:type="table" w:styleId="TableGrid">
    <w:name w:val="Table Grid"/>
    <w:basedOn w:val="TableNormal"/>
    <w:uiPriority w:val="39"/>
    <w:rsid w:val="00F37EC3"/>
    <w:pPr>
      <w:spacing w:after="0" w:line="240" w:lineRule="auto"/>
    </w:pPr>
    <w:rPr>
      <w:rFonts w:ascii="Georg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rPr>
      <w:rFonts w:ascii="Georgia" w:eastAsia="Georgia" w:hAnsi="Georgia" w:cs="Georgia"/>
      <w:sz w:val="22"/>
      <w:szCs w:val="22"/>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adzy.com/blogs/tips/pasta-shape-guide" TargetMode="External"/><Relationship Id="rId3" Type="http://schemas.openxmlformats.org/officeDocument/2006/relationships/styles" Target="styles.xml"/><Relationship Id="rId7" Type="http://schemas.openxmlformats.org/officeDocument/2006/relationships/hyperlink" Target="https://torontolife.com/deep-dives/who-broke-the-ttc-inside-torontos-public-transit-disast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talybite.it/en/blog/post/Italian-pasta-shapes-and-types-region-by-region.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6Nw4ZrARwGpbMxTGhbeOcIgpw==">CgMxLjAaHgoBMBIZChcICVITChF0YWJsZS51MnpjczRqbGd5ajgAciExMzZHSzhZcl9tOXNTaUR4TFE3SlB4bjJBbnRPU3N0b2o=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2075</Words>
  <Characters>11830</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Kostrz</dc:creator>
  <cp:lastModifiedBy>Jacek Cieślak</cp:lastModifiedBy>
  <cp:revision>2</cp:revision>
  <dcterms:created xsi:type="dcterms:W3CDTF">2024-08-09T06:39:00Z</dcterms:created>
  <dcterms:modified xsi:type="dcterms:W3CDTF">2024-08-28T08:43:00Z</dcterms:modified>
</cp:coreProperties>
</file>