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C6C490" w14:textId="77777777" w:rsidR="00E73701" w:rsidRDefault="00000000">
      <w:pPr>
        <w:spacing w:after="240"/>
      </w:pPr>
      <w:r>
        <w:t>Theory of knowledge Essay</w:t>
      </w:r>
    </w:p>
    <w:p w14:paraId="486F88FA" w14:textId="77777777" w:rsidR="00E73701" w:rsidRDefault="00000000">
      <w:pPr>
        <w:spacing w:before="240" w:after="240" w:line="672" w:lineRule="auto"/>
        <w:jc w:val="center"/>
      </w:pPr>
      <w:r>
        <w:rPr>
          <w:b/>
          <w:sz w:val="56"/>
          <w:szCs w:val="56"/>
        </w:rPr>
        <w:t>Title 4.</w:t>
      </w:r>
    </w:p>
    <w:p w14:paraId="79E6AF4A" w14:textId="77777777" w:rsidR="00E73701" w:rsidRDefault="00000000">
      <w:pPr>
        <w:spacing w:after="240"/>
      </w:pPr>
      <w:r>
        <w:t>How can we reconcile the opposing demands for specialization and generalization in the production of knowledge? Discuss with reference to mathematics and one other area of knowledge.</w:t>
      </w:r>
    </w:p>
    <w:p w14:paraId="21DFAD3C" w14:textId="77777777" w:rsidR="00E73701" w:rsidRDefault="00000000">
      <w:pPr>
        <w:jc w:val="center"/>
        <w:rPr>
          <w:rFonts w:ascii="Cambria Math" w:eastAsia="Cambria Math" w:hAnsi="Cambria Math" w:cs="Cambria Math"/>
        </w:rPr>
      </w:pPr>
      <m:oMathPara>
        <m:oMath>
          <m:r>
            <w:rPr>
              <w:rFonts w:ascii="Cambria Math" w:hAnsi="Cambria Math"/>
            </w:rPr>
            <m:t> Exam session: May </m:t>
          </m:r>
          <m:r>
            <w:rPr>
              <w:rFonts w:ascii="Cambria Math" w:eastAsia="Cambria Math" w:hAnsi="Cambria Math" w:cs="Cambria Math"/>
            </w:rPr>
            <m:t>2024</m:t>
          </m:r>
        </m:oMath>
      </m:oMathPara>
    </w:p>
    <w:p w14:paraId="1D059A4F" w14:textId="77777777" w:rsidR="00E73701" w:rsidRDefault="00000000">
      <w:pPr>
        <w:spacing w:after="240"/>
      </w:pPr>
      <w:r>
        <w:t>Word count: 1592</w:t>
      </w:r>
    </w:p>
    <w:p w14:paraId="7AFD956C" w14:textId="77777777" w:rsidR="00E73701" w:rsidRDefault="00000000">
      <w:pPr>
        <w:spacing w:after="240"/>
      </w:pPr>
      <w:r>
        <w:t xml:space="preserve">Children often start learning English grammar with set rules. For example when learning how to use plural words they are taught to put the letter " </w:t>
      </w:r>
      <m:oMath>
        <m:r>
          <w:rPr>
            <w:rFonts w:ascii="Cambria Math" w:eastAsia="Cambria Math" w:hAnsi="Cambria Math" w:cs="Cambria Math"/>
          </w:rPr>
          <m:t>s</m:t>
        </m:r>
      </m:oMath>
      <w:r>
        <w:t xml:space="preserve"> " at the end of the word to make it plural. This is a generalized rule in the English language, meaning it is specific and straightforward. This is used in teaching English as it can reduce confusion for the knower. However, as children grow up they learn that this generalization is not applicable to all words. For example for words that end with ( </w:t>
      </w:r>
      <m:oMath>
        <m:r>
          <w:rPr>
            <w:rFonts w:ascii="Cambria Math" w:eastAsia="Cambria Math" w:hAnsi="Cambria Math" w:cs="Cambria Math"/>
          </w:rPr>
          <m:t>s,z,sh</m:t>
        </m:r>
      </m:oMath>
      <w:r>
        <w:t>, and ch) they must use "-es" to make it plural. This is a specialized rule for only words that end with these letters. Furthermore, there are other specialized rules with respect to plurals in other conditions, when linguistic structure differs. There is often a demand to reduce such specializations in language to make language acquisitions easier. On the other hand, there is also an opposing demand to preserve the original structures of a language. This is evident from the evolution of American English diverging from British English rules and principles, mainly to reduce linguistic specialization. This is achieved mostly by bringing phonic spellings, wherein the written language is closer to the way it is uttered. Reconciliation for this situation has led to a new language system to make it easier to understand. As a language student, this evolution of various languages allows me to understand how specialization and generalization have opposing demands. However, there are methods to reconcile them in each field which have created respectful boundaries as illustrated in American and British english. This essay aims to explore the different methods of how we can reconcile the opposing demands of specialization and generalization by using examples from Maths and Natural Science.</w:t>
      </w:r>
    </w:p>
    <w:p w14:paraId="6D5A506F" w14:textId="77777777" w:rsidR="00E73701" w:rsidRDefault="00000000">
      <w:pPr>
        <w:spacing w:after="240"/>
      </w:pPr>
      <w:r>
        <w:t>"Mathematical proof" is a concept in Mathematics which is used to convince or defend the truth of a statement. However, it also contributes to helping increase the</w:t>
      </w:r>
      <w:r>
        <w:br/>
        <w:t xml:space="preserve">understanding of results and related concepts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1</m:t>
            </m:r>
          </m:sup>
        </m:sSup>
      </m:oMath>
      <w:r>
        <w:t xml:space="preserve">. When knowledge is produced it can either be specialized or generalized depending on the individual who is producing this knowledge. The concept of Mathematics is mostly generalized. Generalization can be defined as a statement that is true for a whole category of concepts, it can be seen as just numbers being put into formulas to get a specific answer but this creates opposing demands because some cases require a lot more knowledge than people expect which creates opposing demands for some specific concepts. There are several specialized proving strategies in Mathematics. Proof by Mathematical induction, for example, is a specialized approach for proving claims about specifically sequences and series. This method entails a specific set of steps and assumptions. While these specialized </w:t>
      </w:r>
      <w:r>
        <w:lastRenderedPageBreak/>
        <w:t xml:space="preserve">techniques are important, mathematics also relies on general proof methods which can be applied to multiple proof methods. Proof by contradiction is one strategy, in which mathematicians assume the opposite of what they want to prove and demonstrate that it results in a logical disagreement. For example, if </w:t>
      </w:r>
      <m:oMath>
        <m:r>
          <w:rPr>
            <w:rFonts w:ascii="Cambria Math" w:eastAsia="Cambria Math" w:hAnsi="Cambria Math" w:cs="Cambria Math"/>
          </w:rPr>
          <m:t>n</m:t>
        </m:r>
      </m:oMath>
      <w:r>
        <w:t xml:space="preserve"> is an integer and </w:t>
      </w:r>
      <m:oMath>
        <m:sSup>
          <m:sSupPr>
            <m:ctrlPr>
              <w:rPr>
                <w:rFonts w:ascii="Cambria Math" w:eastAsia="Cambria Math" w:hAnsi="Cambria Math" w:cs="Cambria Math"/>
              </w:rPr>
            </m:ctrlPr>
          </m:sSupPr>
          <m:e>
            <m:r>
              <w:rPr>
                <w:rFonts w:ascii="Cambria Math" w:eastAsia="Cambria Math" w:hAnsi="Cambria Math" w:cs="Cambria Math"/>
              </w:rPr>
              <m:t>n</m:t>
            </m:r>
          </m:e>
          <m:sup>
            <m:r>
              <w:rPr>
                <w:rFonts w:ascii="Cambria Math" w:eastAsia="Cambria Math" w:hAnsi="Cambria Math" w:cs="Cambria Math"/>
              </w:rPr>
              <m:t>2</m:t>
            </m:r>
          </m:sup>
        </m:sSup>
      </m:oMath>
      <w:r>
        <w:t xml:space="preserve"> is odd then </w:t>
      </w:r>
      <m:oMath>
        <m:r>
          <w:rPr>
            <w:rFonts w:ascii="Cambria Math" w:eastAsia="Cambria Math" w:hAnsi="Cambria Math" w:cs="Cambria Math"/>
          </w:rPr>
          <m:t>n</m:t>
        </m:r>
      </m:oMath>
      <w:r>
        <w:t xml:space="preserve"> is also an odd number but in order to actually solve it they must assume that n is an even number. The benefit of this concept is that it contradicts people's assumptions so that different concepts can be proven to be correct Dr. lan Stewart, for example,recognized that in some situations finding an exact solution may be impractical or even impossible due to the complexity of the problem. In these cases, approximations become valuable tools for gaining insights and making predictions.Reconciliation of this case often</w:t>
      </w:r>
    </w:p>
    <w:p w14:paraId="3CCCAA6F" w14:textId="77777777" w:rsidR="00E73701" w:rsidRDefault="00000000">
      <w:r>
        <w:t>involves understanding the limitations of approximation and exploring specialized ways to refine or improve the accuracy within acceptable bounds.</w:t>
      </w:r>
    </w:p>
    <w:p w14:paraId="12B344C3" w14:textId="77777777" w:rsidR="00E73701" w:rsidRDefault="00000000">
      <w:pPr>
        <w:spacing w:after="240"/>
      </w:pPr>
      <w:r>
        <w:t>Adding on, The Riemann Hypothesis is a longstanding question in number theory which has not been solved to this day, where Bernhard Riemann observed that the frequency of prime numbers is very closely related to the behavior of an elaborate function which is called the Riemann zeta function. This creates opposing demands for specialization and generalization because from one perspective, the hypothesis is very specialized by addressing specific conjectures about the distribution of prime numbers along the critical line in the complex plane. Mathematicians who attempt to solve this problem usually require specialized knowledge in complex analysis and advanced theory. On the other hand, The implications of solving this hypothesis can have many consequences which impact many mathematical areas and even computer science. The reconciliation of these opposing demands require a generalized understanding of the connection of mathematical ideas that may reveal deeper insights into the nature of numbers. Therefore, the exploration of the Riemann Hypothesis shows the difficult balance and conflict between the specialized depth necessary to handle a specific problem and wider implications that expand discipline borders.</w:t>
      </w:r>
    </w:p>
    <w:p w14:paraId="0261978E" w14:textId="77777777" w:rsidR="00E73701" w:rsidRDefault="00000000">
      <w:pPr>
        <w:spacing w:after="240"/>
      </w:pPr>
      <w:r>
        <w:t>Furthermore, the second AOK which will be explored is Natural Science.There are two theories that question the way the world has evolved, the evolution and creationism theory. The theory of creationism, often known as intelligent design, holds that an all-powerful God, working as a supernatural being, created life and the cosmos. The process of development and diversification that separates various life species from one another throughout Earth's history is known as evolution. Evolutionary theory by</w:t>
      </w:r>
    </w:p>
    <w:p w14:paraId="74FFC43A" w14:textId="77777777" w:rsidR="00E73701" w:rsidRDefault="00000000">
      <w:pPr>
        <w:spacing w:after="240"/>
      </w:pPr>
      <w:r>
        <w:t xml:space="preserve">Charles Darwin and Alfred Wallace states that life originated on Earth 3.8 billion years ago from a single universal common ancestor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2</m:t>
            </m:r>
          </m:sup>
        </m:sSup>
      </m:oMath>
      <w:r>
        <w:t xml:space="preserve">. Whether this theory is generalized or specialized depends on the person because religious people may choose to believe the creationism theory but non religious people will choose to believe the evolution theory because they rely on science to prove the way things happen in the world. This creates an opposing demand between knowers because it creates conflict for scientists,as the nature of truth in both arguments is relative. For example, a knower who choose to believe in creationism this is a generalized concept they grow up with this information and it comes from the bible but for people who believe in creationism this is a specialized concept because they believe in the science behind how humans evolved, for example the famous theory that humans initially were diverged from apes. This example proves the theory to be correct because it is a specialized part of the larger body of theory of evolution. This is shown by multiple scientists who each were able to prove that humans evolved from a specific animal. In this particular situation, the method of reconciliation is relative because in the end it all comes down to opposing individuals beliefs. The theory that an </w:t>
      </w:r>
      <w:r>
        <w:lastRenderedPageBreak/>
        <w:t>individual will accept as the true and proved theory depends on their religious beliefs, which is similar to any other knowledge that a person may choose to reconcile to accept because knowledge often might contradict with one's beliefs and values and we are constantly in negotiating and reconciling with what aligns with us personally. However, such reconciliation differ in gravity and structure when it comes to formal reconciliations in Natural Science mostly due to the nature of Area of knowledge.</w:t>
      </w:r>
    </w:p>
    <w:p w14:paraId="1317D445" w14:textId="77777777" w:rsidR="00E73701" w:rsidRDefault="00000000">
      <w:pPr>
        <w:spacing w:after="240"/>
      </w:pPr>
      <w:r>
        <w:t xml:space="preserve">For instance, Dr. Richard Alley is a university professor who specializes in teaching Geosciences. He studied the great ice sheets to help predict future sea level rises and climate change.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3</m:t>
            </m:r>
          </m:sup>
        </m:sSup>
      </m:oMath>
      <w:r>
        <w:t xml:space="preserve"> He studied specific measurements of the ice thickness, flow rates, and understanding the specific mechanisms that make the ice melt. A deep understanding of the dynamics of polar ice sheets, glacier behavior, and particular regional variations is essential for making accurate predictions and reducing the effects of sea-level rise. This requires specialized research and modeling. Similarly, Susan Solomon took a broader approach on the problem of climate change where she considered the overall impacts of climate change. This includes being aware of the contributions made by the seawater's thermal expansion, melting ice caps, and the connected feedback loops between the atmosphere and oceans. </w:t>
      </w: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4</m:t>
            </m:r>
          </m:sup>
        </m:sSup>
      </m:oMath>
      <w:r>
        <w:t xml:space="preserve"> A more generalized understanding of the wider variables impacting sea-level rise is required in order to design broader policies and adaptation measures. This requires taking into account patterns of ocean circulation, trends in global temperature, and the overall effect on coastal ecosystems. Though both scientists have used different methods to research the same things each of them will get more accurate results in a different part, this creates opposing demands between the necessity for specialized knowledge to address specific mechanisms that contribute to sea-level rise but there is also a necessity for generalized understanding to develop convenient policies to stop climate change. This type of situation can have a very simple method of reconciliation which will allow the scientists to combine their knowledge to</w:t>
      </w:r>
    </w:p>
    <w:p w14:paraId="1437148A" w14:textId="77777777" w:rsidR="00E73701" w:rsidRDefault="00000000">
      <w:r>
        <w:t>come to a fully accurate conclusion so that they can contribute to helping the world. By collaborating and combining their research variables this gives them a better understanding of both perspectives of research that was done while also filling in any missing data that they may not have collected due to their method of experimentation. Scientific experimentation promotes peer reviewing and concurrency which ensure a structured reconciliation between different approaches .</w:t>
      </w:r>
    </w:p>
    <w:p w14:paraId="201BB1D3" w14:textId="77777777" w:rsidR="00E73701" w:rsidRDefault="00000000">
      <w:pPr>
        <w:spacing w:after="240"/>
      </w:pPr>
      <w:r>
        <w:t>In conclusion, reconciling the opposing demands for specialization and generalization in the production of knowledge can vary depending on the context. Whether it is in Natural Science or Mathematics, In the end it all comes down to the original expert who created this knowledge. Reconciliation often aligns with the methodology and principles of the AOK, while it is also a consistent and continuous process which ensures production of knowledge. However, there are cases when knowledge clashes with cultural values and beliefs where reconciliation can be rather subjective than structured as seen in the case of the theory of creationism.</w:t>
      </w:r>
    </w:p>
    <w:p w14:paraId="6181AE43" w14:textId="77777777" w:rsidR="00E73701" w:rsidRDefault="00000000">
      <w:pPr>
        <w:spacing w:before="360" w:line="420" w:lineRule="auto"/>
      </w:pPr>
      <w:r>
        <w:rPr>
          <w:b/>
          <w:sz w:val="42"/>
          <w:szCs w:val="42"/>
        </w:rPr>
        <w:t>Bibliography:</w:t>
      </w:r>
    </w:p>
    <w:p w14:paraId="47072C89" w14:textId="77777777" w:rsidR="00E73701" w:rsidRDefault="00000000">
      <w:pPr>
        <w:numPr>
          <w:ilvl w:val="0"/>
          <w:numId w:val="1"/>
        </w:numPr>
      </w:pPr>
      <w:r>
        <w:t xml:space="preserve">Rocha, Helena. "Mathematical Proof: From Mathematics to School Mathematics." Philosophical Transactions of the Royal Society A: Mathematical, Physical and Engineering Sciences, vol. 377, no. 2140, Jan. 2019, p. 20180045, </w:t>
      </w:r>
      <w:hyperlink r:id="rId6">
        <w:r>
          <w:rPr>
            <w:color w:val="4472C4"/>
          </w:rPr>
          <w:t>https://doi.org/10.1098/rsta.2018.0045</w:t>
        </w:r>
      </w:hyperlink>
      <w:r>
        <w:t>.</w:t>
      </w:r>
    </w:p>
    <w:p w14:paraId="794468B2" w14:textId="77777777" w:rsidR="00E73701" w:rsidRDefault="00000000">
      <w:pPr>
        <w:numPr>
          <w:ilvl w:val="0"/>
          <w:numId w:val="1"/>
        </w:numPr>
      </w:pPr>
      <w:r>
        <w:lastRenderedPageBreak/>
        <w:t xml:space="preserve">"Creationism vs Evolution." </w:t>
      </w:r>
      <w:hyperlink r:id="rId7">
        <w:r>
          <w:rPr>
            <w:color w:val="4472C4"/>
          </w:rPr>
          <w:t>Diffen.com</w:t>
        </w:r>
      </w:hyperlink>
      <w:r>
        <w:t>. Diffen LLC, n.d. Web. 26 Nov 2023.</w:t>
      </w:r>
    </w:p>
    <w:p w14:paraId="50716834" w14:textId="77777777" w:rsidR="00E73701" w:rsidRDefault="00000000">
      <w:pPr>
        <w:numPr>
          <w:ilvl w:val="0"/>
          <w:numId w:val="1"/>
        </w:numPr>
      </w:pPr>
      <w:r>
        <w:t xml:space="preserve">&lt; </w:t>
      </w:r>
      <w:hyperlink r:id="rId8">
        <w:r>
          <w:rPr>
            <w:color w:val="4472C4"/>
          </w:rPr>
          <w:t>https://www.diffen.com/difference/Creationism_vs_Evolution</w:t>
        </w:r>
      </w:hyperlink>
      <w:r>
        <w:t xml:space="preserve"> &gt;</w:t>
      </w:r>
    </w:p>
    <w:p w14:paraId="29B77054" w14:textId="77777777" w:rsidR="00E73701" w:rsidRDefault="00000000">
      <w:pPr>
        <w:numPr>
          <w:ilvl w:val="0"/>
          <w:numId w:val="1"/>
        </w:numPr>
      </w:pPr>
      <w:r>
        <w:t xml:space="preserve">"Richard Alley." Penn State Department of Geosciences, 17 Mar. 2020, </w:t>
      </w:r>
      <w:hyperlink r:id="rId9">
        <w:r>
          <w:rPr>
            <w:color w:val="4472C4"/>
          </w:rPr>
          <w:t>www.geosc.psu.edu/directory/richard-alley</w:t>
        </w:r>
      </w:hyperlink>
      <w:r>
        <w:t>.</w:t>
      </w:r>
    </w:p>
    <w:p w14:paraId="7D5D0D65" w14:textId="77777777" w:rsidR="00E73701" w:rsidRDefault="00000000">
      <w:pPr>
        <w:numPr>
          <w:ilvl w:val="0"/>
          <w:numId w:val="1"/>
        </w:numPr>
      </w:pPr>
      <w:r>
        <w:t xml:space="preserve">BBVA, and CSIC. "Susan Solomon." Premios Fronteras, </w:t>
      </w:r>
      <w:hyperlink r:id="rId10">
        <w:r>
          <w:rPr>
            <w:color w:val="4472C4"/>
          </w:rPr>
          <w:t>www.frontiersofknowledgeawards-fbbva.es/galardonados/susan-solomon-2/</w:t>
        </w:r>
      </w:hyperlink>
      <w:r>
        <w:t>.</w:t>
      </w:r>
    </w:p>
    <w:p w14:paraId="75D7D572" w14:textId="77777777" w:rsidR="00E73701" w:rsidRDefault="00000000">
      <w:pPr>
        <w:spacing w:after="240"/>
      </w:pPr>
      <w:r>
        <w:t>Accessed 10 Jan. 2024.</w:t>
      </w:r>
    </w:p>
    <w:p w14:paraId="74247D0F" w14:textId="77777777" w:rsidR="00E73701" w:rsidRDefault="00000000">
      <w:r>
        <w:pict w14:anchorId="09DE12D0">
          <v:rect id="_x0000_i1025" style="width:0;height:1.5pt" o:hralign="center" o:hrstd="t" o:hr="t" fillcolor="#a0a0a0" stroked="f"/>
        </w:pict>
      </w:r>
    </w:p>
    <w:bookmarkStart w:id="0" w:name="bookmark=id.gjdgxs" w:colFirst="0" w:colLast="0"/>
    <w:bookmarkEnd w:id="0"/>
    <w:p w14:paraId="36DE9206" w14:textId="77777777" w:rsidR="00E73701" w:rsidRDefault="00000000">
      <w:pPr>
        <w:numPr>
          <w:ilvl w:val="0"/>
          <w:numId w:val="2"/>
        </w:numPr>
        <w:spacing w:after="240"/>
        <w:ind w:left="357"/>
      </w:pP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1</m:t>
            </m:r>
          </m:sup>
        </m:sSup>
      </m:oMath>
      <w:r>
        <w:t xml:space="preserve"> Rocha, Helena. "Mathematical Proof: From Mathematics to School Mathematics." Philosophical Transactions of the Royal Society A: Mathematical, Physical and Engineering Sciences, vol. 377, no. 2140, Jan. 2019, p. 20180045, </w:t>
      </w:r>
      <w:hyperlink r:id="rId11">
        <w:r>
          <w:rPr>
            <w:color w:val="4472C4"/>
          </w:rPr>
          <w:t>https://doi.org/10.1098/rsta.2018.0045</w:t>
        </w:r>
      </w:hyperlink>
      <w:r>
        <w:t>.</w:t>
      </w:r>
    </w:p>
    <w:p w14:paraId="1394C779" w14:textId="77777777" w:rsidR="00E73701" w:rsidRDefault="00000000">
      <w:pPr>
        <w:numPr>
          <w:ilvl w:val="0"/>
          <w:numId w:val="2"/>
        </w:numPr>
        <w:spacing w:after="240"/>
        <w:ind w:left="357"/>
      </w:pPr>
      <w:bookmarkStart w:id="1" w:name="bookmark=id.30j0zll" w:colFirst="0" w:colLast="0"/>
      <w:bookmarkEnd w:id="1"/>
      <w:r>
        <w:t xml:space="preserve">2"Creationism vs Evolution." </w:t>
      </w:r>
      <w:hyperlink r:id="rId12">
        <w:r>
          <w:rPr>
            <w:color w:val="4472C4"/>
          </w:rPr>
          <w:t>Diffen.com</w:t>
        </w:r>
      </w:hyperlink>
      <w:r>
        <w:t>. Diffen LLC, n.d. Web. 26 Nov 2023.</w:t>
      </w:r>
    </w:p>
    <w:p w14:paraId="4DB537E3" w14:textId="77777777" w:rsidR="00E73701" w:rsidRDefault="00000000">
      <w:pPr>
        <w:spacing w:after="240"/>
        <w:ind w:left="357"/>
      </w:pPr>
      <w:r>
        <w:t xml:space="preserve">&lt; </w:t>
      </w:r>
      <w:hyperlink r:id="rId13">
        <w:r>
          <w:rPr>
            <w:color w:val="4472C4"/>
          </w:rPr>
          <w:t>https://www.diffen.com/difference/Creationism_vs_Evolution</w:t>
        </w:r>
      </w:hyperlink>
      <w:r>
        <w:t xml:space="preserve"> &gt;</w:t>
      </w:r>
    </w:p>
    <w:p w14:paraId="3C2DCB85" w14:textId="77777777" w:rsidR="00E73701" w:rsidRDefault="00000000">
      <w:pPr>
        <w:numPr>
          <w:ilvl w:val="0"/>
          <w:numId w:val="2"/>
        </w:numPr>
        <w:spacing w:after="240"/>
        <w:ind w:left="357"/>
      </w:pPr>
      <w:bookmarkStart w:id="2" w:name="bookmark=id.1fob9te" w:colFirst="0" w:colLast="0"/>
      <w:bookmarkEnd w:id="2"/>
      <w:r>
        <w:t xml:space="preserve">3 "Richard Alley." Penn State Department of Geosciences, 17 Mar. 2020, </w:t>
      </w:r>
      <w:hyperlink r:id="rId14">
        <w:r>
          <w:rPr>
            <w:color w:val="4472C4"/>
          </w:rPr>
          <w:t>www.geosc.psu.edu/directory/richard-alley</w:t>
        </w:r>
      </w:hyperlink>
      <w:r>
        <w:t>.</w:t>
      </w:r>
    </w:p>
    <w:p w14:paraId="43E56ECE" w14:textId="77777777" w:rsidR="00E73701" w:rsidRDefault="00000000">
      <w:pPr>
        <w:spacing w:after="240"/>
        <w:ind w:left="357"/>
      </w:pPr>
      <m:oMath>
        <m:sSup>
          <m:sSupPr>
            <m:ctrlPr>
              <w:rPr>
                <w:rFonts w:ascii="Cambria Math" w:eastAsia="Cambria Math" w:hAnsi="Cambria Math" w:cs="Cambria Math"/>
              </w:rPr>
            </m:ctrlPr>
          </m:sSupPr>
          <m:e>
            <m:r>
              <w:rPr>
                <w:rFonts w:ascii="Cambria Math" w:eastAsia="Cambria Math" w:hAnsi="Cambria Math" w:cs="Cambria Math"/>
              </w:rPr>
              <m:t xml:space="preserve"> </m:t>
            </m:r>
          </m:e>
          <m:sup>
            <m:r>
              <w:rPr>
                <w:rFonts w:ascii="Cambria Math" w:eastAsia="Cambria Math" w:hAnsi="Cambria Math" w:cs="Cambria Math"/>
              </w:rPr>
              <m:t>4</m:t>
            </m:r>
          </m:sup>
        </m:sSup>
      </m:oMath>
      <w:r>
        <w:t xml:space="preserve"> BBVA, and CSIC. "Susan Solomon." Premios Fronteras, </w:t>
      </w:r>
      <w:hyperlink r:id="rId15">
        <w:r>
          <w:rPr>
            <w:color w:val="4472C4"/>
          </w:rPr>
          <w:t>www.frontiersofknowledgeawards-fbbva.es/galardonados/susan-solomon-2/</w:t>
        </w:r>
      </w:hyperlink>
      <w:r>
        <w:t>. Accessed 10 Jan. 2024.</w:t>
      </w:r>
    </w:p>
    <w:p w14:paraId="53D8A53C" w14:textId="77777777" w:rsidR="00E73701" w:rsidRDefault="00000000">
      <w:r>
        <w:br w:type="page"/>
      </w:r>
    </w:p>
    <w:p w14:paraId="1DCE0F8B" w14:textId="52536BF7" w:rsidR="00E73701" w:rsidRDefault="00000000">
      <w:pPr>
        <w:spacing w:after="240"/>
      </w:pPr>
      <w:r>
        <w:lastRenderedPageBreak/>
        <w:t>Grading criteria:</w:t>
      </w:r>
    </w:p>
    <w:p w14:paraId="05370A09" w14:textId="77777777" w:rsidR="00E73701" w:rsidRDefault="00E73701">
      <w:pPr>
        <w:spacing w:after="240"/>
        <w:rPr>
          <w:color w:val="4472C4"/>
        </w:rPr>
      </w:pPr>
    </w:p>
    <w:tbl>
      <w:tblPr>
        <w:tblStyle w:val="a0"/>
        <w:tblW w:w="8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40"/>
        <w:gridCol w:w="840"/>
        <w:gridCol w:w="3555"/>
        <w:gridCol w:w="1605"/>
      </w:tblGrid>
      <w:tr w:rsidR="00E73701" w14:paraId="60531CD1" w14:textId="77777777">
        <w:trPr>
          <w:trHeight w:val="1935"/>
        </w:trPr>
        <w:tc>
          <w:tcPr>
            <w:tcW w:w="26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88BA23" w14:textId="77777777" w:rsidR="00E73701" w:rsidRDefault="00000000">
            <w:pPr>
              <w:spacing w:after="0" w:line="276" w:lineRule="auto"/>
            </w:pPr>
            <w:r>
              <w:t>The essay</w:t>
            </w:r>
            <w:r>
              <w:rPr>
                <w:rFonts w:ascii="Arial" w:eastAsia="Arial" w:hAnsi="Arial" w:cs="Arial"/>
              </w:rPr>
              <w:t>’</w:t>
            </w:r>
            <w:r>
              <w:t>s title is clearly stated and the essay's focus is sustained</w:t>
            </w:r>
          </w:p>
          <w:p w14:paraId="37599367" w14:textId="77777777" w:rsidR="00E73701" w:rsidRDefault="00000000">
            <w:pPr>
              <w:spacing w:after="0" w:line="276" w:lineRule="auto"/>
            </w:pPr>
            <w:r>
              <w:t>on the title chosen and does not</w:t>
            </w:r>
          </w:p>
          <w:p w14:paraId="0278A339" w14:textId="77777777" w:rsidR="00E73701" w:rsidRDefault="00000000">
            <w:pPr>
              <w:spacing w:after="0" w:line="276" w:lineRule="auto"/>
            </w:pPr>
            <w:r>
              <w:t>include digression or irrelevant</w:t>
            </w:r>
          </w:p>
          <w:p w14:paraId="691A7C26" w14:textId="77777777" w:rsidR="00E73701" w:rsidRDefault="00000000">
            <w:pPr>
              <w:spacing w:after="0" w:line="276" w:lineRule="auto"/>
            </w:pPr>
            <w:r>
              <w:t>information</w:t>
            </w:r>
          </w:p>
        </w:tc>
        <w:tc>
          <w:tcPr>
            <w:tcW w:w="840" w:type="dxa"/>
            <w:tcBorders>
              <w:top w:val="single" w:sz="8" w:space="0" w:color="000000"/>
              <w:bottom w:val="single" w:sz="8" w:space="0" w:color="000000"/>
              <w:right w:val="single" w:sz="8" w:space="0" w:color="000000"/>
            </w:tcBorders>
            <w:tcMar>
              <w:top w:w="0" w:type="dxa"/>
              <w:left w:w="100" w:type="dxa"/>
              <w:bottom w:w="0" w:type="dxa"/>
              <w:right w:w="100" w:type="dxa"/>
            </w:tcMar>
          </w:tcPr>
          <w:p w14:paraId="3819B1B9" w14:textId="77777777" w:rsidR="00E73701" w:rsidRDefault="00000000">
            <w:pPr>
              <w:spacing w:after="0" w:line="276" w:lineRule="auto"/>
            </w:pPr>
            <w:r>
              <w:t>0-5</w:t>
            </w:r>
          </w:p>
        </w:tc>
        <w:tc>
          <w:tcPr>
            <w:tcW w:w="3555" w:type="dxa"/>
            <w:tcBorders>
              <w:top w:val="single" w:sz="8" w:space="0" w:color="000000"/>
              <w:bottom w:val="single" w:sz="8" w:space="0" w:color="000000"/>
              <w:right w:val="single" w:sz="8" w:space="0" w:color="000000"/>
            </w:tcBorders>
            <w:tcMar>
              <w:top w:w="0" w:type="dxa"/>
              <w:left w:w="100" w:type="dxa"/>
              <w:bottom w:w="0" w:type="dxa"/>
              <w:right w:w="100" w:type="dxa"/>
            </w:tcMar>
          </w:tcPr>
          <w:p w14:paraId="4CC3D09C" w14:textId="77777777" w:rsidR="00E73701" w:rsidRDefault="00000000">
            <w:pPr>
              <w:spacing w:after="240"/>
              <w:rPr>
                <w:sz w:val="18"/>
                <w:szCs w:val="18"/>
              </w:rPr>
            </w:pPr>
            <w:r>
              <w:rPr>
                <w:rFonts w:ascii="-webkit-standard" w:eastAsia="-webkit-standard" w:hAnsi="-webkit-standard" w:cs="-webkit-standard"/>
                <w:sz w:val="27"/>
                <w:szCs w:val="27"/>
              </w:rPr>
              <w:t>The essay introduces the concept of reconciling specialization and generalization in knowledge production, mentioning English grammar as an initial example. However, the relevance of this example to mathematics and natural sciences is not clearly established.</w:t>
            </w:r>
            <w:r>
              <w:rPr>
                <w:sz w:val="23"/>
                <w:szCs w:val="23"/>
              </w:rPr>
              <w:t xml:space="preserve"> Whilst the </w:t>
            </w:r>
            <w:r>
              <w:rPr>
                <w:rFonts w:ascii="-webkit-standard" w:eastAsia="-webkit-standard" w:hAnsi="-webkit-standard" w:cs="-webkit-standard"/>
                <w:sz w:val="27"/>
                <w:szCs w:val="27"/>
              </w:rPr>
              <w:t>essay attempts to address the title, it includes a lot of tangential information that is not directly relevant.</w:t>
            </w:r>
          </w:p>
        </w:tc>
        <w:tc>
          <w:tcPr>
            <w:tcW w:w="1605" w:type="dxa"/>
            <w:tcBorders>
              <w:top w:val="single" w:sz="8" w:space="0" w:color="000000"/>
              <w:bottom w:val="single" w:sz="8" w:space="0" w:color="000000"/>
              <w:right w:val="single" w:sz="8" w:space="0" w:color="000000"/>
            </w:tcBorders>
            <w:tcMar>
              <w:top w:w="0" w:type="dxa"/>
              <w:left w:w="100" w:type="dxa"/>
              <w:bottom w:w="0" w:type="dxa"/>
              <w:right w:w="100" w:type="dxa"/>
            </w:tcMar>
          </w:tcPr>
          <w:p w14:paraId="0F26D8AD" w14:textId="77777777" w:rsidR="00E73701" w:rsidRDefault="00000000">
            <w:pPr>
              <w:spacing w:after="0" w:line="276" w:lineRule="auto"/>
            </w:pPr>
            <w:r>
              <w:t>2</w:t>
            </w:r>
          </w:p>
        </w:tc>
      </w:tr>
      <w:tr w:rsidR="00E73701" w14:paraId="29429BB7"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857210" w14:textId="77777777" w:rsidR="00E73701" w:rsidRDefault="00000000">
            <w:pPr>
              <w:spacing w:after="0" w:line="276" w:lineRule="auto"/>
            </w:pPr>
            <w:r>
              <w:t>The work is effectively linked with</w:t>
            </w:r>
          </w:p>
          <w:p w14:paraId="6D75BE7B" w14:textId="77777777" w:rsidR="00E73701" w:rsidRDefault="00000000">
            <w:pPr>
              <w:spacing w:after="0" w:line="276" w:lineRule="auto"/>
            </w:pPr>
            <w:r>
              <w:t>different Areas of Knowledge</w:t>
            </w:r>
          </w:p>
        </w:tc>
        <w:tc>
          <w:tcPr>
            <w:tcW w:w="840" w:type="dxa"/>
            <w:tcBorders>
              <w:bottom w:val="single" w:sz="8" w:space="0" w:color="000000"/>
              <w:right w:val="single" w:sz="8" w:space="0" w:color="000000"/>
            </w:tcBorders>
            <w:tcMar>
              <w:top w:w="0" w:type="dxa"/>
              <w:left w:w="100" w:type="dxa"/>
              <w:bottom w:w="0" w:type="dxa"/>
              <w:right w:w="100" w:type="dxa"/>
            </w:tcMar>
          </w:tcPr>
          <w:p w14:paraId="59195976" w14:textId="77777777" w:rsidR="00E73701"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3C89E98C" w14:textId="77777777" w:rsidR="00E73701" w:rsidRDefault="00000000">
            <w:pPr>
              <w:spacing w:after="240"/>
              <w:rPr>
                <w:sz w:val="20"/>
                <w:szCs w:val="20"/>
              </w:rPr>
            </w:pPr>
            <w:r>
              <w:rPr>
                <w:rFonts w:ascii="-webkit-standard" w:eastAsia="-webkit-standard" w:hAnsi="-webkit-standard" w:cs="-webkit-standard"/>
                <w:sz w:val="27"/>
                <w:szCs w:val="27"/>
              </w:rPr>
              <w:t>The essay links mathematics and natural sciences as required. However, the connection to the overarching theme of specialization versus generalization is not consistently clear throughout the essay.</w:t>
            </w:r>
          </w:p>
        </w:tc>
        <w:tc>
          <w:tcPr>
            <w:tcW w:w="1605" w:type="dxa"/>
            <w:tcBorders>
              <w:bottom w:val="single" w:sz="8" w:space="0" w:color="000000"/>
              <w:right w:val="single" w:sz="8" w:space="0" w:color="000000"/>
            </w:tcBorders>
            <w:tcMar>
              <w:top w:w="0" w:type="dxa"/>
              <w:left w:w="100" w:type="dxa"/>
              <w:bottom w:w="0" w:type="dxa"/>
              <w:right w:w="100" w:type="dxa"/>
            </w:tcMar>
          </w:tcPr>
          <w:p w14:paraId="11D165FF" w14:textId="77777777" w:rsidR="00E73701" w:rsidRDefault="00000000">
            <w:pPr>
              <w:spacing w:after="0" w:line="276" w:lineRule="auto"/>
            </w:pPr>
            <w:r>
              <w:t>5</w:t>
            </w:r>
          </w:p>
        </w:tc>
      </w:tr>
      <w:tr w:rsidR="00E73701" w14:paraId="5CE5F87C" w14:textId="77777777">
        <w:trPr>
          <w:trHeight w:val="121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5C782B" w14:textId="77777777" w:rsidR="00E73701" w:rsidRDefault="00000000">
            <w:pPr>
              <w:spacing w:after="0" w:line="276" w:lineRule="auto"/>
            </w:pPr>
            <w:r>
              <w:t>The students provides examples which are convincing and support</w:t>
            </w:r>
          </w:p>
          <w:p w14:paraId="257B0EC5" w14:textId="77777777" w:rsidR="00E73701" w:rsidRDefault="00000000">
            <w:pPr>
              <w:spacing w:after="0" w:line="276" w:lineRule="auto"/>
            </w:pPr>
            <w:r>
              <w:t>the argument being made</w:t>
            </w:r>
          </w:p>
          <w:p w14:paraId="7CF26CDC" w14:textId="77777777" w:rsidR="00E73701" w:rsidRDefault="00000000">
            <w:pPr>
              <w:spacing w:after="0" w:line="276" w:lineRule="auto"/>
            </w:pPr>
            <w:r>
              <w:t>efficiently</w:t>
            </w:r>
          </w:p>
        </w:tc>
        <w:tc>
          <w:tcPr>
            <w:tcW w:w="840" w:type="dxa"/>
            <w:tcBorders>
              <w:bottom w:val="single" w:sz="8" w:space="0" w:color="000000"/>
              <w:right w:val="single" w:sz="8" w:space="0" w:color="000000"/>
            </w:tcBorders>
            <w:tcMar>
              <w:top w:w="0" w:type="dxa"/>
              <w:left w:w="100" w:type="dxa"/>
              <w:bottom w:w="0" w:type="dxa"/>
              <w:right w:w="100" w:type="dxa"/>
            </w:tcMar>
          </w:tcPr>
          <w:p w14:paraId="7B473731" w14:textId="77777777" w:rsidR="00E73701"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761D5BFE" w14:textId="77777777" w:rsidR="00E73701" w:rsidRDefault="00000000">
            <w:pPr>
              <w:spacing w:after="240"/>
              <w:rPr>
                <w:sz w:val="19"/>
                <w:szCs w:val="19"/>
              </w:rPr>
            </w:pPr>
            <w:r>
              <w:rPr>
                <w:rFonts w:ascii="-webkit-standard" w:eastAsia="-webkit-standard" w:hAnsi="-webkit-standard" w:cs="-webkit-standard"/>
                <w:sz w:val="27"/>
                <w:szCs w:val="27"/>
              </w:rPr>
              <w:t xml:space="preserve">The essay links mathematics and natural sciences as required. However, the connection to the overarching theme of specialization versus generalization is not consistently clear throughout the essay. Examples like the Riemann Hypothesis and climate change research are relevant, but the discussion </w:t>
            </w:r>
            <w:r>
              <w:rPr>
                <w:rFonts w:ascii="-webkit-standard" w:eastAsia="-webkit-standard" w:hAnsi="-webkit-standard" w:cs="-webkit-standard"/>
                <w:sz w:val="27"/>
                <w:szCs w:val="27"/>
              </w:rPr>
              <w:lastRenderedPageBreak/>
              <w:t>lacks depth and clarity. Some examples are not thoroughly explained or connected to the essay’s main argument such as the creationism vs evolution argument.</w:t>
            </w:r>
          </w:p>
        </w:tc>
        <w:tc>
          <w:tcPr>
            <w:tcW w:w="1605" w:type="dxa"/>
            <w:tcBorders>
              <w:bottom w:val="single" w:sz="8" w:space="0" w:color="000000"/>
              <w:right w:val="single" w:sz="8" w:space="0" w:color="000000"/>
            </w:tcBorders>
            <w:tcMar>
              <w:top w:w="0" w:type="dxa"/>
              <w:left w:w="100" w:type="dxa"/>
              <w:bottom w:w="0" w:type="dxa"/>
              <w:right w:w="100" w:type="dxa"/>
            </w:tcMar>
          </w:tcPr>
          <w:p w14:paraId="5F5F0F97" w14:textId="77777777" w:rsidR="00E73701" w:rsidRDefault="00000000">
            <w:pPr>
              <w:spacing w:after="0" w:line="276" w:lineRule="auto"/>
            </w:pPr>
            <w:r>
              <w:lastRenderedPageBreak/>
              <w:t>3</w:t>
            </w:r>
          </w:p>
        </w:tc>
      </w:tr>
      <w:tr w:rsidR="00E73701" w14:paraId="079B972D"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7A84B6" w14:textId="77777777" w:rsidR="00E73701" w:rsidRDefault="00000000">
            <w:pPr>
              <w:spacing w:after="0" w:line="276" w:lineRule="auto"/>
            </w:pPr>
            <w:r>
              <w:t>Any implications, counterpoints of the arguments, and different points of views</w:t>
            </w:r>
          </w:p>
          <w:p w14:paraId="604227E3" w14:textId="77777777" w:rsidR="00E73701" w:rsidRDefault="00000000">
            <w:pPr>
              <w:spacing w:after="0" w:line="276" w:lineRule="auto"/>
            </w:pPr>
            <w:r>
              <w:t>are considered and evaluated</w:t>
            </w:r>
          </w:p>
          <w:p w14:paraId="65010D59" w14:textId="77777777" w:rsidR="00E73701" w:rsidRDefault="00000000">
            <w:pPr>
              <w:spacing w:after="0" w:line="276" w:lineRule="auto"/>
            </w:pPr>
            <w:r>
              <w:t>by the student</w:t>
            </w:r>
          </w:p>
        </w:tc>
        <w:tc>
          <w:tcPr>
            <w:tcW w:w="840" w:type="dxa"/>
            <w:tcBorders>
              <w:bottom w:val="single" w:sz="8" w:space="0" w:color="000000"/>
              <w:right w:val="single" w:sz="8" w:space="0" w:color="000000"/>
            </w:tcBorders>
            <w:tcMar>
              <w:top w:w="0" w:type="dxa"/>
              <w:left w:w="100" w:type="dxa"/>
              <w:bottom w:w="0" w:type="dxa"/>
              <w:right w:w="100" w:type="dxa"/>
            </w:tcMar>
          </w:tcPr>
          <w:p w14:paraId="746A0005" w14:textId="77777777" w:rsidR="00E73701"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218FC737" w14:textId="77777777" w:rsidR="00E73701" w:rsidRDefault="00000000">
            <w:pPr>
              <w:spacing w:after="240"/>
              <w:rPr>
                <w:sz w:val="23"/>
                <w:szCs w:val="23"/>
              </w:rPr>
            </w:pPr>
            <w:r>
              <w:rPr>
                <w:rFonts w:ascii="-webkit-standard" w:eastAsia="-webkit-standard" w:hAnsi="-webkit-standard" w:cs="-webkit-standard"/>
                <w:sz w:val="27"/>
                <w:szCs w:val="27"/>
              </w:rPr>
              <w:t>The essay touches on counterpoints, such as the conflict between creationism and evolution. However, these discussions are superficial and do not fully explore the implications of specialization versus generalization. It lacks a more critical evaluation of the issues and their implications.</w:t>
            </w:r>
          </w:p>
        </w:tc>
        <w:tc>
          <w:tcPr>
            <w:tcW w:w="1605" w:type="dxa"/>
            <w:tcBorders>
              <w:bottom w:val="single" w:sz="8" w:space="0" w:color="000000"/>
              <w:right w:val="single" w:sz="8" w:space="0" w:color="000000"/>
            </w:tcBorders>
            <w:tcMar>
              <w:top w:w="0" w:type="dxa"/>
              <w:left w:w="100" w:type="dxa"/>
              <w:bottom w:w="0" w:type="dxa"/>
              <w:right w:w="100" w:type="dxa"/>
            </w:tcMar>
          </w:tcPr>
          <w:p w14:paraId="23DA4526" w14:textId="77777777" w:rsidR="00E73701" w:rsidRDefault="00000000">
            <w:pPr>
              <w:spacing w:after="0" w:line="276" w:lineRule="auto"/>
            </w:pPr>
            <w:r>
              <w:t>3</w:t>
            </w:r>
          </w:p>
        </w:tc>
      </w:tr>
      <w:tr w:rsidR="00E73701" w14:paraId="75D2033F" w14:textId="77777777">
        <w:trPr>
          <w:trHeight w:val="97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03610D" w14:textId="77777777" w:rsidR="00E73701" w:rsidRDefault="00000000">
            <w:pPr>
              <w:spacing w:after="0" w:line="276" w:lineRule="auto"/>
            </w:pPr>
            <w:r>
              <w:t>The essay is predominately</w:t>
            </w:r>
          </w:p>
          <w:p w14:paraId="57AF2968" w14:textId="77777777" w:rsidR="00E73701" w:rsidRDefault="00000000">
            <w:pPr>
              <w:spacing w:after="0" w:line="276" w:lineRule="auto"/>
            </w:pPr>
            <w:r>
              <w:t>critical and argumentative rather</w:t>
            </w:r>
          </w:p>
          <w:p w14:paraId="75D45405" w14:textId="77777777" w:rsidR="00E73701" w:rsidRDefault="00000000">
            <w:pPr>
              <w:spacing w:after="0" w:line="276" w:lineRule="auto"/>
            </w:pPr>
            <w:r>
              <w:t>than descriptive</w:t>
            </w:r>
          </w:p>
        </w:tc>
        <w:tc>
          <w:tcPr>
            <w:tcW w:w="840" w:type="dxa"/>
            <w:tcBorders>
              <w:bottom w:val="single" w:sz="8" w:space="0" w:color="000000"/>
              <w:right w:val="single" w:sz="8" w:space="0" w:color="000000"/>
            </w:tcBorders>
            <w:tcMar>
              <w:top w:w="0" w:type="dxa"/>
              <w:left w:w="100" w:type="dxa"/>
              <w:bottom w:w="0" w:type="dxa"/>
              <w:right w:w="100" w:type="dxa"/>
            </w:tcMar>
          </w:tcPr>
          <w:p w14:paraId="6DA82A77" w14:textId="77777777" w:rsidR="00E73701" w:rsidRDefault="00000000">
            <w:pPr>
              <w:spacing w:after="0" w:line="276" w:lineRule="auto"/>
            </w:pPr>
            <w:r>
              <w:t>0-10</w:t>
            </w:r>
          </w:p>
        </w:tc>
        <w:tc>
          <w:tcPr>
            <w:tcW w:w="3555" w:type="dxa"/>
            <w:tcBorders>
              <w:bottom w:val="single" w:sz="8" w:space="0" w:color="000000"/>
              <w:right w:val="single" w:sz="8" w:space="0" w:color="000000"/>
            </w:tcBorders>
            <w:tcMar>
              <w:top w:w="0" w:type="dxa"/>
              <w:left w:w="100" w:type="dxa"/>
              <w:bottom w:w="0" w:type="dxa"/>
              <w:right w:w="100" w:type="dxa"/>
            </w:tcMar>
          </w:tcPr>
          <w:p w14:paraId="677211BC" w14:textId="77777777" w:rsidR="00E73701" w:rsidRDefault="00000000">
            <w:pPr>
              <w:spacing w:after="240"/>
            </w:pPr>
            <w:r>
              <w:rPr>
                <w:rFonts w:ascii="-webkit-standard" w:eastAsia="-webkit-standard" w:hAnsi="-webkit-standard" w:cs="-webkit-standard"/>
                <w:sz w:val="27"/>
                <w:szCs w:val="27"/>
              </w:rPr>
              <w:t>The essay has some critical elements but largely remains descriptive. The argument about reconciling specialization and generalization is not strongly developed. nonetheless there is an attempt for critical thinking as seen in the specialised research vs generalised policymaking.</w:t>
            </w:r>
          </w:p>
          <w:p w14:paraId="1E1F58E7" w14:textId="77777777" w:rsidR="00E73701" w:rsidRDefault="00E73701">
            <w:pPr>
              <w:spacing w:after="240"/>
              <w:rPr>
                <w:sz w:val="20"/>
                <w:szCs w:val="20"/>
              </w:rPr>
            </w:pPr>
          </w:p>
        </w:tc>
        <w:tc>
          <w:tcPr>
            <w:tcW w:w="1605" w:type="dxa"/>
            <w:tcBorders>
              <w:bottom w:val="single" w:sz="8" w:space="0" w:color="000000"/>
              <w:right w:val="single" w:sz="8" w:space="0" w:color="000000"/>
            </w:tcBorders>
            <w:tcMar>
              <w:top w:w="0" w:type="dxa"/>
              <w:left w:w="100" w:type="dxa"/>
              <w:bottom w:w="0" w:type="dxa"/>
              <w:right w:w="100" w:type="dxa"/>
            </w:tcMar>
          </w:tcPr>
          <w:p w14:paraId="33A25635" w14:textId="77777777" w:rsidR="00E73701" w:rsidRDefault="00000000">
            <w:pPr>
              <w:spacing w:after="0" w:line="276" w:lineRule="auto"/>
            </w:pPr>
            <w:r>
              <w:t>5</w:t>
            </w:r>
          </w:p>
        </w:tc>
      </w:tr>
      <w:tr w:rsidR="00E73701" w14:paraId="63D8B849" w14:textId="77777777">
        <w:trPr>
          <w:trHeight w:val="1695"/>
        </w:trPr>
        <w:tc>
          <w:tcPr>
            <w:tcW w:w="26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4D3797B" w14:textId="77777777" w:rsidR="00E73701" w:rsidRDefault="00000000">
            <w:pPr>
              <w:spacing w:after="0" w:line="276" w:lineRule="auto"/>
            </w:pPr>
            <w:r>
              <w:t>The work is well-organized with</w:t>
            </w:r>
          </w:p>
          <w:p w14:paraId="0FE82540" w14:textId="77777777" w:rsidR="00E73701" w:rsidRDefault="00000000">
            <w:pPr>
              <w:spacing w:after="0" w:line="276" w:lineRule="auto"/>
            </w:pPr>
            <w:r>
              <w:t>an introductory paragraph, main</w:t>
            </w:r>
          </w:p>
          <w:p w14:paraId="57E9B941" w14:textId="77777777" w:rsidR="00E73701" w:rsidRDefault="00000000">
            <w:pPr>
              <w:spacing w:after="0" w:line="276" w:lineRule="auto"/>
            </w:pPr>
            <w:r>
              <w:t>body sections, and a concluding</w:t>
            </w:r>
          </w:p>
          <w:p w14:paraId="3C74C483" w14:textId="77777777" w:rsidR="00E73701" w:rsidRDefault="00000000">
            <w:pPr>
              <w:spacing w:after="0" w:line="276" w:lineRule="auto"/>
            </w:pPr>
            <w:r>
              <w:t>paragraph</w:t>
            </w:r>
          </w:p>
        </w:tc>
        <w:tc>
          <w:tcPr>
            <w:tcW w:w="840" w:type="dxa"/>
            <w:tcBorders>
              <w:bottom w:val="single" w:sz="8" w:space="0" w:color="000000"/>
              <w:right w:val="single" w:sz="8" w:space="0" w:color="000000"/>
            </w:tcBorders>
            <w:tcMar>
              <w:top w:w="0" w:type="dxa"/>
              <w:left w:w="100" w:type="dxa"/>
              <w:bottom w:w="0" w:type="dxa"/>
              <w:right w:w="100" w:type="dxa"/>
            </w:tcMar>
          </w:tcPr>
          <w:p w14:paraId="66A39D85" w14:textId="77777777" w:rsidR="00E73701" w:rsidRDefault="00000000">
            <w:pPr>
              <w:spacing w:after="0" w:line="276" w:lineRule="auto"/>
            </w:pPr>
            <w:r>
              <w:t>0-5</w:t>
            </w:r>
          </w:p>
        </w:tc>
        <w:tc>
          <w:tcPr>
            <w:tcW w:w="3555" w:type="dxa"/>
            <w:tcBorders>
              <w:bottom w:val="single" w:sz="8" w:space="0" w:color="000000"/>
              <w:right w:val="single" w:sz="8" w:space="0" w:color="000000"/>
            </w:tcBorders>
            <w:tcMar>
              <w:top w:w="0" w:type="dxa"/>
              <w:left w:w="100" w:type="dxa"/>
              <w:bottom w:w="0" w:type="dxa"/>
              <w:right w:w="100" w:type="dxa"/>
            </w:tcMar>
          </w:tcPr>
          <w:p w14:paraId="2DDEDF8B" w14:textId="77777777" w:rsidR="00E73701" w:rsidRDefault="00000000">
            <w:pPr>
              <w:spacing w:after="0"/>
              <w:ind w:firstLine="720"/>
              <w:rPr>
                <w:sz w:val="16"/>
                <w:szCs w:val="16"/>
              </w:rPr>
            </w:pPr>
            <w:r>
              <w:rPr>
                <w:rFonts w:ascii="-webkit-standard" w:eastAsia="-webkit-standard" w:hAnsi="-webkit-standard" w:cs="-webkit-standard"/>
                <w:sz w:val="27"/>
                <w:szCs w:val="27"/>
              </w:rPr>
              <w:t xml:space="preserve">The essay is somewhat organized with sections dedicated to mathematics and natural sciences. However, the introduction and transitions between points could be clearer, there is a </w:t>
            </w:r>
            <w:r>
              <w:rPr>
                <w:rFonts w:ascii="-webkit-standard" w:eastAsia="-webkit-standard" w:hAnsi="-webkit-standard" w:cs="-webkit-standard"/>
                <w:sz w:val="27"/>
                <w:szCs w:val="27"/>
              </w:rPr>
              <w:lastRenderedPageBreak/>
              <w:t>lack of a clear structure.The references are listed but inconsistently cited within the text. The citations lack uniformity and some sources are not integrated effectively into the essay.</w:t>
            </w:r>
          </w:p>
        </w:tc>
        <w:tc>
          <w:tcPr>
            <w:tcW w:w="1605" w:type="dxa"/>
            <w:tcBorders>
              <w:bottom w:val="single" w:sz="8" w:space="0" w:color="000000"/>
              <w:right w:val="single" w:sz="8" w:space="0" w:color="000000"/>
            </w:tcBorders>
            <w:tcMar>
              <w:top w:w="0" w:type="dxa"/>
              <w:left w:w="100" w:type="dxa"/>
              <w:bottom w:w="0" w:type="dxa"/>
              <w:right w:w="100" w:type="dxa"/>
            </w:tcMar>
          </w:tcPr>
          <w:p w14:paraId="5A32A45F" w14:textId="77777777" w:rsidR="00E73701" w:rsidRDefault="00000000">
            <w:pPr>
              <w:spacing w:after="0" w:line="276" w:lineRule="auto"/>
            </w:pPr>
            <w:r>
              <w:lastRenderedPageBreak/>
              <w:t>2</w:t>
            </w:r>
          </w:p>
        </w:tc>
      </w:tr>
    </w:tbl>
    <w:p w14:paraId="0C22B851" w14:textId="77777777" w:rsidR="00E73701" w:rsidRDefault="00E73701">
      <w:pPr>
        <w:spacing w:after="240"/>
      </w:pPr>
    </w:p>
    <w:p w14:paraId="2B05AF34" w14:textId="77777777" w:rsidR="00E73701" w:rsidRDefault="00000000">
      <w:pPr>
        <w:spacing w:after="0"/>
      </w:pPr>
      <w:r>
        <w:rPr>
          <w:rFonts w:ascii="-webkit-standard" w:eastAsia="-webkit-standard" w:hAnsi="-webkit-standard" w:cs="-webkit-standard"/>
          <w:sz w:val="27"/>
          <w:szCs w:val="27"/>
        </w:rPr>
        <w:t>Total Points: 4</w:t>
      </w:r>
    </w:p>
    <w:p w14:paraId="141F2513" w14:textId="77777777" w:rsidR="00E73701" w:rsidRDefault="00E73701">
      <w:pPr>
        <w:spacing w:after="240"/>
        <w:ind w:left="357"/>
      </w:pPr>
    </w:p>
    <w:sectPr w:rsidR="00E73701">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37033155-1B72-48CB-9DFA-1630636987C4}"/>
  </w:font>
  <w:font w:name="Georgia">
    <w:panose1 w:val="02040502050405020303"/>
    <w:charset w:val="EE"/>
    <w:family w:val="roman"/>
    <w:pitch w:val="variable"/>
    <w:sig w:usb0="00000287" w:usb1="00000000" w:usb2="00000000" w:usb3="00000000" w:csb0="0000009F" w:csb1="00000000"/>
    <w:embedRegular r:id="rId2" w:fontKey="{A2610642-9667-4877-AB2E-E97BC7E0616F}"/>
    <w:embedBold r:id="rId3" w:fontKey="{34C404F5-BEEE-4A2B-AEA6-692B3D875366}"/>
    <w:embedItalic r:id="rId4" w:fontKey="{6D764E15-3E42-4C47-9DB7-F14928B67799}"/>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5" w:fontKey="{1BE0397C-36A4-4C6E-9215-569FE225D600}"/>
  </w:font>
  <w:font w:name="Cambria Math">
    <w:panose1 w:val="02040503050406030204"/>
    <w:charset w:val="EE"/>
    <w:family w:val="roman"/>
    <w:pitch w:val="variable"/>
    <w:sig w:usb0="E00006FF" w:usb1="420024FF" w:usb2="02000000" w:usb3="00000000" w:csb0="0000019F" w:csb1="00000000"/>
    <w:embedRegular r:id="rId6" w:fontKey="{1A9142B6-61A5-418F-887B-38F043DB51AD}"/>
    <w:embedItalic r:id="rId7" w:fontKey="{65396B64-607A-4EFA-808B-4FFE6DB13A4A}"/>
  </w:font>
  <w:font w:name="Arial">
    <w:panose1 w:val="020B0604020202020204"/>
    <w:charset w:val="EE"/>
    <w:family w:val="swiss"/>
    <w:pitch w:val="variable"/>
    <w:sig w:usb0="E0002EFF" w:usb1="C000785B" w:usb2="00000009" w:usb3="00000000" w:csb0="000001FF" w:csb1="00000000"/>
  </w:font>
  <w:font w:name="-webkit-standard">
    <w:altName w:val="Calibri"/>
    <w:charset w:val="00"/>
    <w:family w:val="auto"/>
    <w:pitch w:val="default"/>
  </w:font>
  <w:font w:name="Aptos Display">
    <w:charset w:val="00"/>
    <w:family w:val="swiss"/>
    <w:pitch w:val="variable"/>
    <w:sig w:usb0="20000287" w:usb1="00000003" w:usb2="00000000" w:usb3="00000000" w:csb0="0000019F" w:csb1="00000000"/>
    <w:embedRegular r:id="rId8" w:fontKey="{AB64C6AE-02E6-4F49-9100-48AA408D0D50}"/>
  </w:font>
  <w:font w:name="Aptos">
    <w:charset w:val="00"/>
    <w:family w:val="swiss"/>
    <w:pitch w:val="variable"/>
    <w:sig w:usb0="20000287" w:usb1="00000003" w:usb2="00000000" w:usb3="00000000" w:csb0="0000019F" w:csb1="00000000"/>
    <w:embedRegular r:id="rId9" w:fontKey="{A8EABD5C-2131-4936-A4E5-28B01566B6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1739A"/>
    <w:multiLevelType w:val="multilevel"/>
    <w:tmpl w:val="51F8E722"/>
    <w:lvl w:ilvl="0">
      <w:start w:val="1"/>
      <w:numFmt w:val="decimal"/>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1A638A7"/>
    <w:multiLevelType w:val="multilevel"/>
    <w:tmpl w:val="4C12B1E0"/>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070810491">
    <w:abstractNumId w:val="1"/>
  </w:num>
  <w:num w:numId="2" w16cid:durableId="410548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701"/>
    <w:rsid w:val="006548FF"/>
    <w:rsid w:val="00B54E20"/>
    <w:rsid w:val="00E73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907D"/>
  <w15:docId w15:val="{09121224-1667-4DA3-A55B-5C894293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Georgia" w:hAnsi="Georgia" w:cs="Georgia"/>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VerbatimChar">
    <w:name w:val="Verbatim Char"/>
    <w:rPr>
      <w:rFonts w:ascii="Consolas" w:hAnsi="Consolas"/>
      <w:sz w:val="22"/>
    </w:rPr>
  </w:style>
  <w:style w:type="table" w:styleId="TableGrid">
    <w:name w:val="Table Grid"/>
    <w:basedOn w:val="TableNormal"/>
    <w:uiPriority w:val="39"/>
    <w:rsid w:val="00A762F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62FD"/>
    <w:pPr>
      <w:spacing w:before="100" w:beforeAutospacing="1" w:after="100" w:afterAutospacing="1"/>
    </w:pPr>
    <w:rPr>
      <w:rFonts w:ascii="Times New Roman" w:eastAsia="Times New Roman" w:hAnsi="Times New Roman" w:cs="Times New Roman"/>
      <w:sz w:val="24"/>
      <w:szCs w:val="24"/>
      <w:lang w:eastAsia="en-GB"/>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diffen.com/difference/Creationism_vs_Evolution" TargetMode="External"/><Relationship Id="rId13" Type="http://schemas.openxmlformats.org/officeDocument/2006/relationships/hyperlink" Target="https://www.diffen.com/difference/Creationism_vs_Evolution" TargetMode="External"/><Relationship Id="rId3" Type="http://schemas.openxmlformats.org/officeDocument/2006/relationships/styles" Target="styles.xml"/><Relationship Id="rId7" Type="http://schemas.openxmlformats.org/officeDocument/2006/relationships/hyperlink" Target="http://diffen.com" TargetMode="External"/><Relationship Id="rId12" Type="http://schemas.openxmlformats.org/officeDocument/2006/relationships/hyperlink" Target="http://diffen.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98/rsta.2018.0045" TargetMode="External"/><Relationship Id="rId11" Type="http://schemas.openxmlformats.org/officeDocument/2006/relationships/hyperlink" Target="https://doi.org/10.1098/rsta.2018.0045" TargetMode="External"/><Relationship Id="rId5" Type="http://schemas.openxmlformats.org/officeDocument/2006/relationships/webSettings" Target="webSettings.xml"/><Relationship Id="rId15" Type="http://schemas.openxmlformats.org/officeDocument/2006/relationships/hyperlink" Target="http://www.frontiersofknowledgeawards-fbbva.es/galardonados/susan-solomon-2/" TargetMode="External"/><Relationship Id="rId10" Type="http://schemas.openxmlformats.org/officeDocument/2006/relationships/hyperlink" Target="http://www.frontiersofknowledgeawards-fbbva.es/galardonados/susan-solomon-2/" TargetMode="External"/><Relationship Id="rId4" Type="http://schemas.openxmlformats.org/officeDocument/2006/relationships/settings" Target="settings.xml"/><Relationship Id="rId9" Type="http://schemas.openxmlformats.org/officeDocument/2006/relationships/hyperlink" Target="http://www.geosc.psu.edu/directory/richard-alley" TargetMode="External"/><Relationship Id="rId14" Type="http://schemas.openxmlformats.org/officeDocument/2006/relationships/hyperlink" Target="http://www.geosc.psu.edu/directory/richard-alle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f0iXmx+u2fzOk2Q7t43+KN0A==">CgMxLjAyCWlkLmdqZGd4czIKaWQuMzBqMHpsbDIKaWQuMWZvYjl0ZTgAciExWlYwUGwtTl9IckR3Wl8xaXBzeVI0V1hOTU8wMkJkQ3c=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2272</Words>
  <Characters>12953</Characters>
  <Application>Microsoft Office Word</Application>
  <DocSecurity>0</DocSecurity>
  <Lines>107</Lines>
  <Paragraphs>30</Paragraphs>
  <ScaleCrop>false</ScaleCrop>
  <Company/>
  <LinksUpToDate>false</LinksUpToDate>
  <CharactersWithSpaces>15195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Jacek Cieślak</cp:lastModifiedBy>
  <cp:revision>2</cp:revision>
  <dcterms:created xsi:type="dcterms:W3CDTF">2024-08-02T08:13:00Z</dcterms:created>
  <dcterms:modified xsi:type="dcterms:W3CDTF">2024-08-28T08:44:00Z</dcterms:modified>
</cp:coreProperties>
</file>