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78441F" w14:textId="77777777" w:rsidR="006A2500"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Theory of Knowledge Essay</w:t>
      </w:r>
      <w:r>
        <w:rPr>
          <w:rFonts w:ascii="Times New Roman" w:eastAsia="Times New Roman" w:hAnsi="Times New Roman" w:cs="Times New Roman"/>
          <w:color w:val="000000"/>
        </w:rPr>
        <w:br/>
      </w:r>
      <w:r>
        <w:rPr>
          <w:rFonts w:ascii="Times New Roman" w:eastAsia="Times New Roman" w:hAnsi="Times New Roman" w:cs="Times New Roman"/>
          <w:b/>
          <w:color w:val="000000"/>
        </w:rPr>
        <w:t>Title</w:t>
      </w:r>
      <w:r>
        <w:rPr>
          <w:rFonts w:ascii="Times New Roman" w:eastAsia="Times New Roman" w:hAnsi="Times New Roman" w:cs="Times New Roman"/>
          <w:color w:val="000000"/>
        </w:rPr>
        <w:t>: Nothing is more exciting than fresh ideas, so why are areas of knowledge often so slow to adopt them?</w:t>
      </w:r>
      <w:r>
        <w:rPr>
          <w:rFonts w:ascii="Times New Roman" w:eastAsia="Times New Roman" w:hAnsi="Times New Roman" w:cs="Times New Roman"/>
          <w:color w:val="000000"/>
        </w:rPr>
        <w:br/>
      </w:r>
      <w:r>
        <w:rPr>
          <w:rFonts w:ascii="Times New Roman" w:eastAsia="Times New Roman" w:hAnsi="Times New Roman" w:cs="Times New Roman"/>
          <w:b/>
          <w:color w:val="000000"/>
        </w:rPr>
        <w:t>Word Count</w:t>
      </w:r>
      <w:r>
        <w:rPr>
          <w:rFonts w:ascii="Times New Roman" w:eastAsia="Times New Roman" w:hAnsi="Times New Roman" w:cs="Times New Roman"/>
          <w:color w:val="000000"/>
        </w:rPr>
        <w:t>: 1600</w:t>
      </w:r>
    </w:p>
    <w:p w14:paraId="03DA2684" w14:textId="77777777" w:rsidR="006A2500"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Fresh ideas have always been a catalyst for progress and innovation across different areas of knowledge. They have the potential to reshape perspectives, challenge traditional beliefs, and propel society forward. However, despite this inherent excitement, knowledge often exhibits slowness in adopting fresh ideas. The term "fresh ideas" refers to new and unconventional concepts that may differ from existing norms. These ideas are characterized by their potential to disrupt the status quo and introduce new possibilities. The human sciences encompass the study of human behavior, society, and individual experiences, while natural sciences are concerned with the study of the scientific and experimental lens of the world. By contrasting these two domains, a better understanding of factors that underpin the slow adoption of ideas can be gained.</w:t>
      </w:r>
    </w:p>
    <w:p w14:paraId="630453D8" w14:textId="77777777" w:rsidR="006A2500"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 the field of the human sciences, the path to embracing new ideas is often complex, primarily due to the inherent subjectivity and intricate complexity of human behavior and cognition. Disciplines such as psychology and sociology are dedicated to untangling the complexities of human phenomena. Yet, the very nature of their study of the human mind and society is prevalent with subjectivity and diverse perspectives, which makes the establishment of clear, direct causation challenging. This complexity is further embodied by the countless cultural, historical, and personal factors that influence human behavior, which as a result adds layers of variability and unpredictability to it. For instance, psychological studies often produce results that are heavily influenced by the specific cultural and social context in which they are carried out. This variability requires a cautious approach in the adoption of new theories or methods, as they must be strong enough to account for a wide range of human experiences and perspectives. Furthermore, the ethical considerations inherent in studying the field of human sciences add another layer of complexity to the adoption of new ideas. Ethical guidelines and the need for responsible research practices mean that any new method or theory must undergo careful analysis, not just for its scientific validity, but also for its ethical implications. Moreover, the influence of existing theoretical frameworks cannot be understated. New ideas often challenge these established frameworks, leading to resistance from within the academic community. This resistance is not only a matter of scientific rigor, but also a reflection of the deep-rooted nature of certain paradigms within these fields. For example, the introduction of cognitive psychology challenged the widespread behaviorist paradigm, leading to significant debate and gradual acceptance of it over time. Thus, in human sciences, the adoption of fresh ideas is a process that is carefully navigated, balancing the need for scientific rigor, ethical responsibility, and the accommodation of diverse human experiences.</w:t>
      </w:r>
    </w:p>
    <w:p w14:paraId="381160A8" w14:textId="77777777" w:rsidR="006A2500"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However, there are instances in the human sciences where fresh concepts have indeed been rapidly integrated, showcasing the capacity for swift adaptation to new ideas. Such example is the rapid acceptance of disciplines like digital anthropology and cyberpsychology. In the digital age, interdisciplinary fields emerged and gained widespread recognition relatively quickly. Digital anthropology focuses on the study of human behavior and culture in the context of digital technologies, while cyberpsychology investigates the psychological processes related to online behavior. The fast integration of these concepts can be attributed to several factors. Firstly, the increasingly pervasive influence of technology in our daily lives has created a demand for understanding its impact on human behavior and society. As a result, digital anthropology and cyberpsychology provided valuable insights and practical </w:t>
      </w:r>
      <w:r>
        <w:rPr>
          <w:rFonts w:ascii="Times New Roman" w:eastAsia="Times New Roman" w:hAnsi="Times New Roman" w:cs="Times New Roman"/>
          <w:color w:val="000000"/>
        </w:rPr>
        <w:lastRenderedPageBreak/>
        <w:t>applications that were readily embraced by scholars and practitioners. Moreover, these fields demonstrated an adaptable and flexible approach in keeping up with the rapidly evolving digital landscape. By leveraging interdisciplinary methods and tools, digital anthropology and cyberpsychology were able to address emerging phenomena and challenges associated with the digital realm. Additionally, the collaborative nature of these fields, involving cross-disciplinary collaboration between anthropologists, psychologists, and technologists, contributed to the rapid integration of fresh concepts. Overall, although the complexity of existing knowledge can slow the adoption of new ideas, it is not an impassable barrier. Factors such as the relevance of the idea to current societal issues, the clarity of the evidence, and the potential for significant impact can speed up the integration process.</w:t>
      </w:r>
    </w:p>
    <w:p w14:paraId="0DB5E90C" w14:textId="77777777" w:rsidR="006A2500"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On the other hand, natural sciences demonstrate a more straightforward adoption of fresh ideas, largely due to their reliance on the scientific method and empirical evidence. The scientific method, with its emphasis on hypothesis testing, experimentation, and observation, provides a methodical framework for the evaluation and validation of new ideas. This approach enables a more objective assessment, thereby facilitating the smoother integration of innovative concepts into an already existing knowledge. The groundbreaking Twin Study brought about a fundamental change in our understanding of heredity. By quantifying the influence of genetic versus environmental factors on human traits, this study provided evidence which rapidly shifted scientific consensus and led to the adoption of new ideas. The significance of this study lies not only in the fact that its findings were based on solid empirical evidence and the scientific method, but also in how quickly it was embraced by the scientific community. Through the analysis of genetic and environmental contributions to human traits, the Twin Study yielded concrete data and insights that swiftly altered our understanding of heredity. The scientific community accepted and integrated the findings of the Twin Study, which shows the power of empirical evidence to drive significant shifts in scientific understanding. Moreover, it serves as a clear example that when supported by rigorous methodology and embraced by consensus, empirical evidence can expedite the acceptance of fresh ideas in scientific fields. The experimental foundation of the natural sciences thus creates a beneficial environment for the adoption of new ideas, where verifiable and replicable evidence is the key factor. This contrasts with the subjective complexities of the human sciences, where the interpretation and integration of new ideas are often more nuanced and challenged. The rapid adoption of new concepts in the natural sciences, facilitated by experimental evidence, highlights the dynamic nature of these fields, where innovation and discovery are integral to their advancement.</w:t>
      </w:r>
    </w:p>
    <w:p w14:paraId="16BA26F0" w14:textId="77777777" w:rsidR="006A2500"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While the natural sciences are often perceived as swiftly adopting new ideas due to empirical evidence, there are notable instances where the acceptance of fresh concepts is more gradual. This slower pace can be attributed to various factors, including initial skepticism, theoretical complexities, and the time required to accumulate sufficient empirical support. In natural sciences, new ideas are subjected to rigorous analysis against a backdrop of well-established theories. For example, environmental science serves as an example when considering certain new concepts related to climate change and sustainability. The slow integration of these ideas in environmental science can be attributed to the complexity and interdependence of existing ecological theories. The field deals with frameworks explaining the interconnectedness of various ecological processes. When faced with new ideas, careful evaluation is required to ensure alignment with and enhancement of these established theories. This complexity contributes to a gradual and deliberative adoption process. Additionally, the interdependence of theories creates resistance to swift acceptance of fresh ideas, as thorough analysis is necessary to maintain coherence and continuity within the existing scientific framework. Moreover, the rigorous testing and validation procedures in the natural sciences further </w:t>
      </w:r>
      <w:r>
        <w:rPr>
          <w:rFonts w:ascii="Times New Roman" w:eastAsia="Times New Roman" w:hAnsi="Times New Roman" w:cs="Times New Roman"/>
          <w:color w:val="000000"/>
        </w:rPr>
        <w:lastRenderedPageBreak/>
        <w:t>contribute to the slow adoption process. New ideas in environmental science must withstand extensive testing against well-established theories and methodologies. This process, combined with the potential need for ideal shifts in thinking and practice, takes time and can face resistance due to the disruption it may cause. Hence, the example of environmental science highlights the challenges posed by the complexity and interdependence of existing theories, as well as the rigorous testing and potential paradigm shifts involved, which can lead to the slow integration of fresh ideas.</w:t>
      </w:r>
    </w:p>
    <w:p w14:paraId="7E7473CA" w14:textId="77777777" w:rsidR="006A2500"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prevailing claim that human and natural sciences are often slow to adopt fresh ideas warrants a more detailed consideration. It is essential to recognize that the pace of integrating new concepts is not a static trait of these disciplines but is influenced by a spectrum of factors, ranging from methodological constraints to the nature of the knowledge itself. The variability in the adoption of new ideas across different contexts challenges the notion of a consistent rate of acceptance within these fields. In the human sciences, while the complexity of human behavior and societal norms can indeed slow the adoption of new theories, this is not always the case. Rapid societal changes and technological advancements can necessitate and facilitate quicker integration of new concepts. Similarly, in the natural sciences, the stereotype of a slow, methodical process is often contradicted by instances of fast ideal shifts when confronted with groundbreaking practical evidence or urgent societal needs. This complexity suggests that the rate at which new ideas are adopted in these areas of knowledge is more a reflection of their evolving nature and less an inherent feature. It underscores the importance of considering the context and the specific dynamics at play in each field when assessing their openness to innovation and change.</w:t>
      </w:r>
    </w:p>
    <w:p w14:paraId="548B0BD6" w14:textId="77777777" w:rsidR="006A2500"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 conclusion, the adoption of fresh ideas in both the human and natural sciences is a multifaceted process influenced by numerous factors. While human sciences often proceed with caution due to the complexities of human behavior and the need for ethical considerations, they can also exhibit rapid adaptability when confronted with contemporary societal changes. Conversely, the natural sciences, known for their empirical foundation, generally accept new ideas swiftly when supported by strong evidence, yet they too face moments of resistance and skepticism. Ultimately, it becomes evident that the pace of acceptance is a reflection of the evolving nature of these disciplines, adapting to the challenges and opportunities presented by the ever-changing landscape of human understanding.</w:t>
      </w:r>
    </w:p>
    <w:p w14:paraId="7551E987" w14:textId="77777777" w:rsidR="006A2500" w:rsidRDefault="00000000">
      <w:pPr>
        <w:rPr>
          <w:rFonts w:ascii="Times New Roman" w:eastAsia="Times New Roman" w:hAnsi="Times New Roman" w:cs="Times New Roman"/>
          <w:b/>
          <w:color w:val="000000"/>
        </w:rPr>
      </w:pPr>
      <w:r>
        <w:br w:type="page"/>
      </w:r>
    </w:p>
    <w:p w14:paraId="6278E99C" w14:textId="77777777" w:rsidR="006A2500"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Bibliography</w:t>
      </w:r>
      <w:r>
        <w:rPr>
          <w:rFonts w:ascii="Times New Roman" w:eastAsia="Times New Roman" w:hAnsi="Times New Roman" w:cs="Times New Roman"/>
          <w:color w:val="000000"/>
        </w:rPr>
        <w:br/>
        <w:t>Bhattacherjee, Anol. </w:t>
      </w:r>
      <w:r>
        <w:rPr>
          <w:rFonts w:ascii="Times New Roman" w:eastAsia="Times New Roman" w:hAnsi="Times New Roman" w:cs="Times New Roman"/>
          <w:i/>
          <w:color w:val="000000"/>
        </w:rPr>
        <w:t>Social Science Research: Principles, Methods, and Practices</w:t>
      </w:r>
      <w:r>
        <w:rPr>
          <w:rFonts w:ascii="Times New Roman" w:eastAsia="Times New Roman" w:hAnsi="Times New Roman" w:cs="Times New Roman"/>
          <w:color w:val="000000"/>
        </w:rPr>
        <w:t>. 2nd ed., Anol Bhattacherjee, 2012. Accessed 29 Nov. 2023.</w:t>
      </w:r>
    </w:p>
    <w:p w14:paraId="53A6F264" w14:textId="77777777" w:rsidR="006A2500"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Carlin, John B., et al. "Regression Models for Twin Studies: A Critical Review." </w:t>
      </w:r>
      <w:r>
        <w:rPr>
          <w:rFonts w:ascii="Times New Roman" w:eastAsia="Times New Roman" w:hAnsi="Times New Roman" w:cs="Times New Roman"/>
          <w:i/>
          <w:color w:val="000000"/>
        </w:rPr>
        <w:t>International Journal of Epidemiology</w:t>
      </w:r>
      <w:r>
        <w:rPr>
          <w:rFonts w:ascii="Times New Roman" w:eastAsia="Times New Roman" w:hAnsi="Times New Roman" w:cs="Times New Roman"/>
          <w:color w:val="000000"/>
        </w:rPr>
        <w:t>, vol. 34, no. 5, Aug. 2005, pp. 1089-1099, </w:t>
      </w:r>
      <w:hyperlink r:id="rId5">
        <w:r>
          <w:rPr>
            <w:rFonts w:ascii="Times New Roman" w:eastAsia="Times New Roman" w:hAnsi="Times New Roman" w:cs="Times New Roman"/>
            <w:color w:val="0000FF"/>
            <w:u w:val="single"/>
          </w:rPr>
          <w:t>https://doi.org/10.1093/ije/dyi153</w:t>
        </w:r>
      </w:hyperlink>
      <w:r>
        <w:rPr>
          <w:rFonts w:ascii="Times New Roman" w:eastAsia="Times New Roman" w:hAnsi="Times New Roman" w:cs="Times New Roman"/>
          <w:color w:val="000000"/>
        </w:rPr>
        <w:t>. Accessed 29 Dec. 2023.</w:t>
      </w:r>
    </w:p>
    <w:p w14:paraId="46ADD5AC" w14:textId="77777777" w:rsidR="006A2500"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Corner, Adam, and Chris Shaw. </w:t>
      </w:r>
      <w:r>
        <w:rPr>
          <w:rFonts w:ascii="Times New Roman" w:eastAsia="Times New Roman" w:hAnsi="Times New Roman" w:cs="Times New Roman"/>
          <w:i/>
          <w:color w:val="000000"/>
        </w:rPr>
        <w:t>Communicating Environmental and Sustainability Science Challenges, Opportunities, and the Changing Political Context</w:t>
      </w:r>
      <w:r>
        <w:rPr>
          <w:rFonts w:ascii="Times New Roman" w:eastAsia="Times New Roman" w:hAnsi="Times New Roman" w:cs="Times New Roman"/>
          <w:color w:val="000000"/>
        </w:rPr>
        <w:t>. Outreach, July 2018. Accessed 5 Jan. 2024.</w:t>
      </w:r>
    </w:p>
    <w:p w14:paraId="15EAFE2E" w14:textId="77777777" w:rsidR="006A2500"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 Sreedevi, et al. "Behaviourism and Cognitive Psychology: A Review." </w:t>
      </w:r>
      <w:r>
        <w:rPr>
          <w:rFonts w:ascii="Times New Roman" w:eastAsia="Times New Roman" w:hAnsi="Times New Roman" w:cs="Times New Roman"/>
          <w:i/>
          <w:color w:val="000000"/>
        </w:rPr>
        <w:t>Research Journal of Pharmacy and Technology</w:t>
      </w:r>
      <w:r>
        <w:rPr>
          <w:rFonts w:ascii="Times New Roman" w:eastAsia="Times New Roman" w:hAnsi="Times New Roman" w:cs="Times New Roman"/>
          <w:color w:val="000000"/>
        </w:rPr>
        <w:t>, vol. 15, no. 2, Feb. 2022, https://doi.org/10.52711/0974-360X.2022.00058. Accessed 29 Nov. 2023.</w:t>
      </w:r>
    </w:p>
    <w:p w14:paraId="7325E441" w14:textId="77777777" w:rsidR="006A2500"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Hammersley, Martyn. "On Ethical Principles for Social Research." </w:t>
      </w:r>
      <w:r>
        <w:rPr>
          <w:rFonts w:ascii="Times New Roman" w:eastAsia="Times New Roman" w:hAnsi="Times New Roman" w:cs="Times New Roman"/>
          <w:i/>
          <w:color w:val="000000"/>
        </w:rPr>
        <w:t>International Journal of Social Research Methodology</w:t>
      </w:r>
      <w:r>
        <w:rPr>
          <w:rFonts w:ascii="Times New Roman" w:eastAsia="Times New Roman" w:hAnsi="Times New Roman" w:cs="Times New Roman"/>
          <w:color w:val="000000"/>
        </w:rPr>
        <w:t>, vol. 18, no. 4, July 2015, pp. 433-449, https://doi.org/10.1080/13645579.2014.924169. Accessed 5 Jan. 2024.</w:t>
      </w:r>
    </w:p>
    <w:p w14:paraId="0FB27EA3" w14:textId="77777777" w:rsidR="006A2500"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Jenkins, Simon. "What Anthropologists Have to Tell Us about the Modern World." </w:t>
      </w:r>
      <w:r>
        <w:rPr>
          <w:rFonts w:ascii="Times New Roman" w:eastAsia="Times New Roman" w:hAnsi="Times New Roman" w:cs="Times New Roman"/>
          <w:i/>
          <w:color w:val="000000"/>
        </w:rPr>
        <w:t>The Guardian</w:t>
      </w:r>
      <w:r>
        <w:rPr>
          <w:rFonts w:ascii="Times New Roman" w:eastAsia="Times New Roman" w:hAnsi="Times New Roman" w:cs="Times New Roman"/>
          <w:color w:val="000000"/>
        </w:rPr>
        <w:t>, 17 Apr. 2023, </w:t>
      </w:r>
      <w:hyperlink r:id="rId6">
        <w:r>
          <w:rPr>
            <w:rFonts w:ascii="Times New Roman" w:eastAsia="Times New Roman" w:hAnsi="Times New Roman" w:cs="Times New Roman"/>
            <w:color w:val="0000FF"/>
            <w:u w:val="single"/>
          </w:rPr>
          <w:t>https://www.theguardian.com/science/2023/apr/17/what-anthropologists-have-to-tell-us-about-the-modern-world</w:t>
        </w:r>
      </w:hyperlink>
      <w:r>
        <w:rPr>
          <w:rFonts w:ascii="Times New Roman" w:eastAsia="Times New Roman" w:hAnsi="Times New Roman" w:cs="Times New Roman"/>
          <w:color w:val="000000"/>
        </w:rPr>
        <w:t>. Accessed 3 Jan. 2024.</w:t>
      </w:r>
    </w:p>
    <w:p w14:paraId="4DB0F1C8" w14:textId="77777777" w:rsidR="006A2500"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Miller, Brian. "Environmental Science: A Brief History." </w:t>
      </w:r>
      <w:r>
        <w:rPr>
          <w:rFonts w:ascii="Times New Roman" w:eastAsia="Times New Roman" w:hAnsi="Times New Roman" w:cs="Times New Roman"/>
          <w:i/>
          <w:color w:val="000000"/>
        </w:rPr>
        <w:t>Environmental Science: Foundations and Applications</w:t>
      </w:r>
      <w:r>
        <w:rPr>
          <w:rFonts w:ascii="Times New Roman" w:eastAsia="Times New Roman" w:hAnsi="Times New Roman" w:cs="Times New Roman"/>
          <w:color w:val="000000"/>
        </w:rPr>
        <w:t>. Pearson Education, 2014. Accessed 29 Dec. 2023.</w:t>
      </w:r>
    </w:p>
    <w:p w14:paraId="183852D6" w14:textId="77777777" w:rsidR="006A2500"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Rip, Arie. "Scientific and Technological Research." </w:t>
      </w:r>
      <w:r>
        <w:rPr>
          <w:rFonts w:ascii="Times New Roman" w:eastAsia="Times New Roman" w:hAnsi="Times New Roman" w:cs="Times New Roman"/>
          <w:i/>
          <w:color w:val="000000"/>
        </w:rPr>
        <w:t>The Handbook of Science and Technology Studies</w:t>
      </w:r>
      <w:r>
        <w:rPr>
          <w:rFonts w:ascii="Times New Roman" w:eastAsia="Times New Roman" w:hAnsi="Times New Roman" w:cs="Times New Roman"/>
          <w:color w:val="000000"/>
        </w:rPr>
        <w:t>, edited by Sheila Jasanoff, Sage Publications, 1995, pp. 327-351. Accessed 2 Jan. 2024.</w:t>
      </w:r>
    </w:p>
    <w:p w14:paraId="43CE92AA" w14:textId="77777777" w:rsidR="006A2500"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Steger, Manfred B., et al. </w:t>
      </w:r>
      <w:r>
        <w:rPr>
          <w:rFonts w:ascii="Times New Roman" w:eastAsia="Times New Roman" w:hAnsi="Times New Roman" w:cs="Times New Roman"/>
          <w:i/>
          <w:color w:val="000000"/>
        </w:rPr>
        <w:t>The Rise of the Global Imaginary: Political Ideologies from the French Revolution to the Global War on Terror</w:t>
      </w:r>
      <w:r>
        <w:rPr>
          <w:rFonts w:ascii="Times New Roman" w:eastAsia="Times New Roman" w:hAnsi="Times New Roman" w:cs="Times New Roman"/>
          <w:color w:val="000000"/>
        </w:rPr>
        <w:t>. 3rd ed., Oxford University Press, 2019. Accessed 10 Dec. 2023.</w:t>
      </w:r>
    </w:p>
    <w:p w14:paraId="66DD6311" w14:textId="77777777" w:rsidR="006A2500" w:rsidRDefault="00000000">
      <w:r>
        <w:br w:type="page"/>
      </w:r>
    </w:p>
    <w:p w14:paraId="2C47B826" w14:textId="3EBE6DD3" w:rsidR="006A2500" w:rsidRDefault="00000000" w:rsidP="00C073F8">
      <w:pPr>
        <w:spacing w:before="360" w:line="420" w:lineRule="auto"/>
      </w:pPr>
      <w:r>
        <w:rPr>
          <w:b/>
          <w:sz w:val="42"/>
          <w:szCs w:val="42"/>
        </w:rPr>
        <w:lastRenderedPageBreak/>
        <w:t>Grading criteria:</w:t>
      </w:r>
    </w:p>
    <w:tbl>
      <w:tblPr>
        <w:tblStyle w:val="a2"/>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5"/>
        <w:gridCol w:w="1035"/>
        <w:gridCol w:w="3630"/>
        <w:gridCol w:w="1695"/>
      </w:tblGrid>
      <w:tr w:rsidR="006A2500" w14:paraId="062446CA" w14:textId="77777777">
        <w:tc>
          <w:tcPr>
            <w:tcW w:w="2655" w:type="dxa"/>
          </w:tcPr>
          <w:p w14:paraId="567060DF" w14:textId="77777777" w:rsidR="006A2500" w:rsidRDefault="00000000">
            <w:r>
              <w:t>The essay’s title is clearly stated and the essay's focus is sustained</w:t>
            </w:r>
          </w:p>
          <w:p w14:paraId="30412766" w14:textId="77777777" w:rsidR="006A2500" w:rsidRDefault="00000000">
            <w:r>
              <w:t>on the title chosen and does not</w:t>
            </w:r>
          </w:p>
          <w:p w14:paraId="4E914C78" w14:textId="77777777" w:rsidR="006A2500" w:rsidRDefault="00000000">
            <w:r>
              <w:t>include digression or irrelevant</w:t>
            </w:r>
          </w:p>
          <w:p w14:paraId="372F7E52" w14:textId="77777777" w:rsidR="006A2500" w:rsidRDefault="00000000">
            <w:r>
              <w:t>information</w:t>
            </w:r>
          </w:p>
        </w:tc>
        <w:tc>
          <w:tcPr>
            <w:tcW w:w="1035" w:type="dxa"/>
          </w:tcPr>
          <w:p w14:paraId="340DEAC1" w14:textId="77777777" w:rsidR="006A2500" w:rsidRDefault="00000000">
            <w:r>
              <w:t>0-5</w:t>
            </w:r>
          </w:p>
        </w:tc>
        <w:tc>
          <w:tcPr>
            <w:tcW w:w="3630" w:type="dxa"/>
          </w:tcPr>
          <w:p w14:paraId="14F3B539" w14:textId="77777777" w:rsidR="006A2500" w:rsidRDefault="00000000">
            <w:pPr>
              <w:rPr>
                <w:rFonts w:ascii="Times New Roman" w:eastAsia="Times New Roman" w:hAnsi="Times New Roman" w:cs="Times New Roman"/>
              </w:rPr>
            </w:pPr>
            <w:r>
              <w:rPr>
                <w:rFonts w:ascii="Times New Roman" w:eastAsia="Times New Roman" w:hAnsi="Times New Roman" w:cs="Times New Roman"/>
              </w:rPr>
              <w:t xml:space="preserve">The title is clearly seen at the beginning of the work and is made evident in the introduction. The essay mostly maintains focus on the rate of acceptance of new ideas and all arguments and examples are directly relevant to the question including. However, the essay could be more concise in how it prevents points, which are at times repetitive and waffle on about a point without adding real value to the paragraph. </w:t>
            </w:r>
          </w:p>
        </w:tc>
        <w:tc>
          <w:tcPr>
            <w:tcW w:w="1695" w:type="dxa"/>
          </w:tcPr>
          <w:p w14:paraId="647C0DA4" w14:textId="77777777" w:rsidR="006A2500" w:rsidRDefault="00000000">
            <w:r>
              <w:t>4</w:t>
            </w:r>
          </w:p>
        </w:tc>
      </w:tr>
      <w:tr w:rsidR="006A2500" w14:paraId="112FDB4B" w14:textId="77777777">
        <w:tc>
          <w:tcPr>
            <w:tcW w:w="2655" w:type="dxa"/>
          </w:tcPr>
          <w:p w14:paraId="38BC70AD" w14:textId="77777777" w:rsidR="006A2500" w:rsidRDefault="00000000">
            <w:r>
              <w:t>The work is effectively linked with</w:t>
            </w:r>
          </w:p>
          <w:p w14:paraId="303B66A7" w14:textId="77777777" w:rsidR="006A2500" w:rsidRDefault="00000000">
            <w:r>
              <w:t>different Areas of Knowledge</w:t>
            </w:r>
          </w:p>
        </w:tc>
        <w:tc>
          <w:tcPr>
            <w:tcW w:w="1035" w:type="dxa"/>
          </w:tcPr>
          <w:p w14:paraId="71DDEB48" w14:textId="77777777" w:rsidR="006A2500" w:rsidRDefault="00000000">
            <w:r>
              <w:t>0-10</w:t>
            </w:r>
          </w:p>
        </w:tc>
        <w:tc>
          <w:tcPr>
            <w:tcW w:w="3630" w:type="dxa"/>
          </w:tcPr>
          <w:p w14:paraId="69982875" w14:textId="77777777" w:rsidR="006A2500" w:rsidRDefault="00000000">
            <w:pPr>
              <w:spacing w:after="160" w:line="278" w:lineRule="auto"/>
              <w:rPr>
                <w:rFonts w:ascii="Times New Roman" w:eastAsia="Times New Roman" w:hAnsi="Times New Roman" w:cs="Times New Roman"/>
                <w:sz w:val="20"/>
                <w:szCs w:val="20"/>
              </w:rPr>
            </w:pPr>
            <w:r>
              <w:rPr>
                <w:rFonts w:ascii="Times New Roman" w:eastAsia="Times New Roman" w:hAnsi="Times New Roman" w:cs="Times New Roman"/>
              </w:rPr>
              <w:t>The Human Sciences and Natural Sciences were effectively linked to the rate of adoption of new ideas, using examples of when they were promptly adopted, such as cyberpsychology and its causes, as well as when not, such as cognitive psychology. With regards to NS, it explored how discoveries that advanced scientific knowledge were promptly adopted.</w:t>
            </w:r>
          </w:p>
        </w:tc>
        <w:tc>
          <w:tcPr>
            <w:tcW w:w="1695" w:type="dxa"/>
          </w:tcPr>
          <w:p w14:paraId="0D5501B9" w14:textId="77777777" w:rsidR="006A2500" w:rsidRDefault="00000000">
            <w:r>
              <w:t>10</w:t>
            </w:r>
          </w:p>
        </w:tc>
      </w:tr>
      <w:tr w:rsidR="006A2500" w14:paraId="248C2A58" w14:textId="77777777">
        <w:trPr>
          <w:trHeight w:val="7263"/>
        </w:trPr>
        <w:tc>
          <w:tcPr>
            <w:tcW w:w="2655" w:type="dxa"/>
          </w:tcPr>
          <w:p w14:paraId="73FC91DA" w14:textId="77777777" w:rsidR="006A2500" w:rsidRDefault="00000000">
            <w:r>
              <w:lastRenderedPageBreak/>
              <w:t>The students provides examples which are convincing and support</w:t>
            </w:r>
          </w:p>
          <w:p w14:paraId="3B744E95" w14:textId="77777777" w:rsidR="006A2500" w:rsidRDefault="00000000">
            <w:r>
              <w:t>the argument being made</w:t>
            </w:r>
          </w:p>
          <w:p w14:paraId="77F783AA" w14:textId="77777777" w:rsidR="006A2500" w:rsidRDefault="00000000">
            <w:r>
              <w:t>efficiently</w:t>
            </w:r>
          </w:p>
        </w:tc>
        <w:tc>
          <w:tcPr>
            <w:tcW w:w="1035" w:type="dxa"/>
          </w:tcPr>
          <w:p w14:paraId="6D831348" w14:textId="77777777" w:rsidR="006A2500" w:rsidRDefault="00000000">
            <w:r>
              <w:t>0-10</w:t>
            </w:r>
          </w:p>
        </w:tc>
        <w:tc>
          <w:tcPr>
            <w:tcW w:w="3630" w:type="dxa"/>
          </w:tcPr>
          <w:p w14:paraId="58879B2E" w14:textId="77777777" w:rsidR="006A2500" w:rsidRDefault="00000000">
            <w:pPr>
              <w:spacing w:after="160" w:line="278" w:lineRule="auto"/>
              <w:rPr>
                <w:rFonts w:ascii="Times New Roman" w:eastAsia="Times New Roman" w:hAnsi="Times New Roman" w:cs="Times New Roman"/>
                <w:sz w:val="20"/>
                <w:szCs w:val="20"/>
              </w:rPr>
            </w:pPr>
            <w:r>
              <w:rPr>
                <w:rFonts w:ascii="Times New Roman" w:eastAsia="Times New Roman" w:hAnsi="Times New Roman" w:cs="Times New Roman"/>
              </w:rPr>
              <w:t>The student provides sufficient real life examples including cyberpsychology, Twin Studies’ effect on hereditary knowledge, and cognitive psychology. The examples are largely convincing in discussing why some ideas are adopted slowly, such as the inherent ethical and regulatory concerns in verifying knowledge in the human sciences as well as the previously established paradigms which may make it difficult. However, at times explanations and links to the essay title are convoluted, as seen in the arguments brought forward by ecological sciences which did not bring in specific examples and is somewhat repetitive.</w:t>
            </w:r>
          </w:p>
        </w:tc>
        <w:tc>
          <w:tcPr>
            <w:tcW w:w="1695" w:type="dxa"/>
          </w:tcPr>
          <w:p w14:paraId="65590E72" w14:textId="77777777" w:rsidR="006A2500" w:rsidRDefault="00000000">
            <w:r>
              <w:t>7</w:t>
            </w:r>
          </w:p>
        </w:tc>
      </w:tr>
      <w:tr w:rsidR="006A2500" w14:paraId="4B08AA1E" w14:textId="77777777">
        <w:tc>
          <w:tcPr>
            <w:tcW w:w="2655" w:type="dxa"/>
          </w:tcPr>
          <w:p w14:paraId="30414045" w14:textId="77777777" w:rsidR="006A2500" w:rsidRDefault="00000000">
            <w:r>
              <w:t>Any implications, counterpoints of the arguments, and different points of views</w:t>
            </w:r>
          </w:p>
          <w:p w14:paraId="524B69C9" w14:textId="77777777" w:rsidR="006A2500" w:rsidRDefault="00000000">
            <w:r>
              <w:t>are considered and evaluated</w:t>
            </w:r>
          </w:p>
          <w:p w14:paraId="3226323D" w14:textId="77777777" w:rsidR="006A2500" w:rsidRDefault="00000000">
            <w:r>
              <w:t>by the student</w:t>
            </w:r>
          </w:p>
        </w:tc>
        <w:tc>
          <w:tcPr>
            <w:tcW w:w="1035" w:type="dxa"/>
          </w:tcPr>
          <w:p w14:paraId="7E622F6A" w14:textId="77777777" w:rsidR="006A2500" w:rsidRDefault="00000000">
            <w:r>
              <w:t>0-10</w:t>
            </w:r>
          </w:p>
        </w:tc>
        <w:tc>
          <w:tcPr>
            <w:tcW w:w="3630" w:type="dxa"/>
          </w:tcPr>
          <w:p w14:paraId="17C1ECDF" w14:textId="77777777" w:rsidR="006A2500" w:rsidRDefault="00000000">
            <w:pPr>
              <w:spacing w:after="160" w:line="278" w:lineRule="auto"/>
              <w:rPr>
                <w:rFonts w:ascii="Times New Roman" w:eastAsia="Times New Roman" w:hAnsi="Times New Roman" w:cs="Times New Roman"/>
              </w:rPr>
            </w:pPr>
            <w:r>
              <w:rPr>
                <w:rFonts w:ascii="Times New Roman" w:eastAsia="Times New Roman" w:hAnsi="Times New Roman" w:cs="Times New Roman"/>
              </w:rPr>
              <w:t xml:space="preserve">Counterpoints of when knowledge is </w:t>
            </w:r>
            <w:r>
              <w:rPr>
                <w:rFonts w:ascii="Times New Roman" w:eastAsia="Times New Roman" w:hAnsi="Times New Roman" w:cs="Times New Roman"/>
                <w:i/>
              </w:rPr>
              <w:t xml:space="preserve">not </w:t>
            </w:r>
            <w:r>
              <w:rPr>
                <w:rFonts w:ascii="Times New Roman" w:eastAsia="Times New Roman" w:hAnsi="Times New Roman" w:cs="Times New Roman"/>
              </w:rPr>
              <w:t>adopted slowly is seen throughout the essay as it explores instances where the AOK’s have been willing to accept change quickly.  There is the example of cyberpsychology and the Twin Studies effect of hereditary knowledge. However, the latter is less convincing as Natural Science is indeed regarded as being the slowest in accepting new ideas that challenge the norm, with the example only being proof that it is accepted once there is no contradicting evidence and it is irrebuttable proof of some knowledge largely requiring many different studies that consolidate results.</w:t>
            </w:r>
          </w:p>
          <w:p w14:paraId="05A8E821" w14:textId="77777777" w:rsidR="006A2500" w:rsidRDefault="00000000">
            <w:pPr>
              <w:spacing w:after="160" w:line="278" w:lineRule="auto"/>
              <w:rPr>
                <w:rFonts w:ascii="Times New Roman" w:eastAsia="Times New Roman" w:hAnsi="Times New Roman" w:cs="Times New Roman"/>
              </w:rPr>
            </w:pPr>
            <w:r>
              <w:rPr>
                <w:rFonts w:ascii="Times New Roman" w:eastAsia="Times New Roman" w:hAnsi="Times New Roman" w:cs="Times New Roman"/>
              </w:rPr>
              <w:t xml:space="preserve">Different points of views are explored, seeing both AOKs as nuanced spheres where the fast or slow adopting of new ideas is sensitive to the contextual factors, nature of the </w:t>
            </w:r>
            <w:r>
              <w:rPr>
                <w:rFonts w:ascii="Times New Roman" w:eastAsia="Times New Roman" w:hAnsi="Times New Roman" w:cs="Times New Roman"/>
              </w:rPr>
              <w:lastRenderedPageBreak/>
              <w:t>knowledge and evidence available, thus offering a more nuanced point of view to the research question.</w:t>
            </w:r>
          </w:p>
        </w:tc>
        <w:tc>
          <w:tcPr>
            <w:tcW w:w="1695" w:type="dxa"/>
          </w:tcPr>
          <w:p w14:paraId="3BDDE78C" w14:textId="77777777" w:rsidR="006A2500" w:rsidRDefault="00000000">
            <w:r>
              <w:lastRenderedPageBreak/>
              <w:t>8</w:t>
            </w:r>
          </w:p>
        </w:tc>
      </w:tr>
      <w:tr w:rsidR="006A2500" w14:paraId="47AD9A3C" w14:textId="77777777">
        <w:tc>
          <w:tcPr>
            <w:tcW w:w="2655" w:type="dxa"/>
          </w:tcPr>
          <w:p w14:paraId="26732CF2" w14:textId="77777777" w:rsidR="006A2500" w:rsidRDefault="00000000">
            <w:r>
              <w:t>The essay is predominately</w:t>
            </w:r>
          </w:p>
          <w:p w14:paraId="2B9016E8" w14:textId="77777777" w:rsidR="006A2500" w:rsidRDefault="00000000">
            <w:r>
              <w:t>critical and argumentative rather</w:t>
            </w:r>
          </w:p>
          <w:p w14:paraId="51CB97B3" w14:textId="77777777" w:rsidR="006A2500" w:rsidRDefault="00000000">
            <w:r>
              <w:t>than descriptive</w:t>
            </w:r>
          </w:p>
        </w:tc>
        <w:tc>
          <w:tcPr>
            <w:tcW w:w="1035" w:type="dxa"/>
          </w:tcPr>
          <w:p w14:paraId="0A878A91" w14:textId="77777777" w:rsidR="006A2500" w:rsidRDefault="00000000">
            <w:r>
              <w:t>0-10</w:t>
            </w:r>
          </w:p>
        </w:tc>
        <w:tc>
          <w:tcPr>
            <w:tcW w:w="3630" w:type="dxa"/>
          </w:tcPr>
          <w:p w14:paraId="0CDB9CAB" w14:textId="77777777" w:rsidR="006A2500" w:rsidRDefault="00000000">
            <w:pPr>
              <w:spacing w:after="160" w:line="278" w:lineRule="auto"/>
              <w:rPr>
                <w:rFonts w:ascii="Times New Roman" w:eastAsia="Times New Roman" w:hAnsi="Times New Roman" w:cs="Times New Roman"/>
                <w:sz w:val="20"/>
                <w:szCs w:val="20"/>
              </w:rPr>
            </w:pPr>
            <w:r>
              <w:rPr>
                <w:rFonts w:ascii="Times New Roman" w:eastAsia="Times New Roman" w:hAnsi="Times New Roman" w:cs="Times New Roman"/>
              </w:rPr>
              <w:t>The essay provides plenty of critical arguments, using examples as an anchor to engage in real discussion rather than allowing them to become the crux of the points being made. Similarly, the second to last paragraph offers a very critical comparison between the two AOK’s reflecting upon the points made above and what they tell us about the rate of acceptance of knowledge.However, it could have benefitted from stronger evaluation to the examples presented, exploring how some examples can themselves be evidence of the contrary points to which they seek to support, as seen above with the Twins Studies.</w:t>
            </w:r>
          </w:p>
        </w:tc>
        <w:tc>
          <w:tcPr>
            <w:tcW w:w="1695" w:type="dxa"/>
          </w:tcPr>
          <w:p w14:paraId="6016043E" w14:textId="77777777" w:rsidR="006A2500" w:rsidRDefault="00000000">
            <w:r>
              <w:t>8</w:t>
            </w:r>
          </w:p>
        </w:tc>
      </w:tr>
      <w:tr w:rsidR="006A2500" w14:paraId="17333F9B" w14:textId="77777777">
        <w:tc>
          <w:tcPr>
            <w:tcW w:w="2655" w:type="dxa"/>
          </w:tcPr>
          <w:p w14:paraId="6A02D639" w14:textId="77777777" w:rsidR="006A2500" w:rsidRDefault="00000000">
            <w:r>
              <w:t>The work is well-organized with</w:t>
            </w:r>
          </w:p>
          <w:p w14:paraId="09E12E2A" w14:textId="77777777" w:rsidR="006A2500" w:rsidRDefault="00000000">
            <w:r>
              <w:t>an introductory paragraph, main</w:t>
            </w:r>
          </w:p>
          <w:p w14:paraId="1EB4B27D" w14:textId="77777777" w:rsidR="006A2500" w:rsidRDefault="00000000">
            <w:r>
              <w:t>body sections, and a concluding</w:t>
            </w:r>
          </w:p>
          <w:p w14:paraId="153025DA" w14:textId="77777777" w:rsidR="006A2500" w:rsidRDefault="00000000">
            <w:r>
              <w:t>paragraph</w:t>
            </w:r>
          </w:p>
        </w:tc>
        <w:tc>
          <w:tcPr>
            <w:tcW w:w="1035" w:type="dxa"/>
          </w:tcPr>
          <w:p w14:paraId="7328D7C3" w14:textId="77777777" w:rsidR="006A2500" w:rsidRDefault="00000000">
            <w:r>
              <w:t>0-5</w:t>
            </w:r>
          </w:p>
        </w:tc>
        <w:tc>
          <w:tcPr>
            <w:tcW w:w="3630" w:type="dxa"/>
          </w:tcPr>
          <w:p w14:paraId="00EA3D31" w14:textId="77777777" w:rsidR="006A2500" w:rsidRDefault="00000000">
            <w:pPr>
              <w:spacing w:after="160" w:line="278" w:lineRule="auto"/>
              <w:rPr>
                <w:rFonts w:ascii="Times New Roman" w:eastAsia="Times New Roman" w:hAnsi="Times New Roman" w:cs="Times New Roman"/>
                <w:sz w:val="20"/>
                <w:szCs w:val="20"/>
              </w:rPr>
            </w:pPr>
            <w:r>
              <w:rPr>
                <w:rFonts w:ascii="Times New Roman" w:eastAsia="Times New Roman" w:hAnsi="Times New Roman" w:cs="Times New Roman"/>
              </w:rPr>
              <w:t>The work is well-structured. The brief introductory paragraph defines the key concepts and introduces the two AOKs which the reader can expect to find in the body. Each paragraph is cohesive and, for some part, concise, focusing on the point and specific example made which links back to the question. The conclusion offers a good reflection of the points discussed and compares both AOKs whilst directly responding the research question.</w:t>
            </w:r>
          </w:p>
        </w:tc>
        <w:tc>
          <w:tcPr>
            <w:tcW w:w="1695" w:type="dxa"/>
          </w:tcPr>
          <w:p w14:paraId="353A4343" w14:textId="77777777" w:rsidR="006A2500" w:rsidRDefault="00000000">
            <w:r>
              <w:t>5</w:t>
            </w:r>
          </w:p>
        </w:tc>
      </w:tr>
    </w:tbl>
    <w:p w14:paraId="241BC942" w14:textId="77777777" w:rsidR="006A2500" w:rsidRDefault="006A2500"/>
    <w:p w14:paraId="59049DB0" w14:textId="77777777" w:rsidR="006A2500" w:rsidRDefault="006A2500"/>
    <w:p w14:paraId="21224DAE" w14:textId="77777777" w:rsidR="006A2500" w:rsidRDefault="00000000">
      <w:r>
        <w:t>Grade: 7-8/10</w:t>
      </w:r>
    </w:p>
    <w:p w14:paraId="3C0ADB30" w14:textId="77777777" w:rsidR="006A2500" w:rsidRDefault="006A2500"/>
    <w:sectPr w:rsidR="006A250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embedRegular r:id="rId1" w:fontKey="{7AFFA9AD-15D8-4FD0-A8F7-59C8E617AC06}"/>
    <w:embedBold r:id="rId2" w:fontKey="{627AA4D7-271F-402F-895A-821C28CB4EFD}"/>
    <w:embedItalic r:id="rId3" w:fontKey="{C123CC3C-4CDE-4788-B508-B4F0F7DF2931}"/>
  </w:font>
  <w:font w:name="Aptos Display">
    <w:charset w:val="00"/>
    <w:family w:val="swiss"/>
    <w:pitch w:val="variable"/>
    <w:sig w:usb0="20000287" w:usb1="00000003" w:usb2="00000000" w:usb3="00000000" w:csb0="0000019F" w:csb1="00000000"/>
    <w:embedRegular r:id="rId4" w:fontKey="{F0E1E60D-D3F9-4DE2-ABF8-B5722E2CF6C1}"/>
  </w:font>
  <w:font w:name="Times New Roman">
    <w:panose1 w:val="02020603050405020304"/>
    <w:charset w:val="EE"/>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embedRegular r:id="rId5" w:fontKey="{FAB481AF-F118-40A0-BA90-D4A082A48DE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500"/>
    <w:rsid w:val="002066BD"/>
    <w:rsid w:val="006A2500"/>
    <w:rsid w:val="00C07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B7474"/>
  <w15:docId w15:val="{44B8EE58-A4A1-4633-A1BF-974BC0045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34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348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8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8E4"/>
    <w:rPr>
      <w:rFonts w:eastAsiaTheme="majorEastAsia" w:cstheme="majorBidi"/>
      <w:color w:val="272727" w:themeColor="text1" w:themeTint="D8"/>
    </w:rPr>
  </w:style>
  <w:style w:type="character" w:customStyle="1" w:styleId="TitleChar">
    <w:name w:val="Title Char"/>
    <w:basedOn w:val="DefaultParagraphFont"/>
    <w:link w:val="Title"/>
    <w:uiPriority w:val="10"/>
    <w:rsid w:val="00234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234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8E4"/>
    <w:pPr>
      <w:spacing w:before="160"/>
      <w:jc w:val="center"/>
    </w:pPr>
    <w:rPr>
      <w:i/>
      <w:iCs/>
      <w:color w:val="404040" w:themeColor="text1" w:themeTint="BF"/>
    </w:rPr>
  </w:style>
  <w:style w:type="character" w:customStyle="1" w:styleId="QuoteChar">
    <w:name w:val="Quote Char"/>
    <w:basedOn w:val="DefaultParagraphFont"/>
    <w:link w:val="Quote"/>
    <w:uiPriority w:val="29"/>
    <w:rsid w:val="002348E4"/>
    <w:rPr>
      <w:i/>
      <w:iCs/>
      <w:color w:val="404040" w:themeColor="text1" w:themeTint="BF"/>
    </w:rPr>
  </w:style>
  <w:style w:type="paragraph" w:styleId="ListParagraph">
    <w:name w:val="List Paragraph"/>
    <w:basedOn w:val="Normal"/>
    <w:uiPriority w:val="34"/>
    <w:qFormat/>
    <w:rsid w:val="002348E4"/>
    <w:pPr>
      <w:ind w:left="720"/>
      <w:contextualSpacing/>
    </w:pPr>
  </w:style>
  <w:style w:type="character" w:styleId="IntenseEmphasis">
    <w:name w:val="Intense Emphasis"/>
    <w:basedOn w:val="DefaultParagraphFont"/>
    <w:uiPriority w:val="21"/>
    <w:qFormat/>
    <w:rsid w:val="002348E4"/>
    <w:rPr>
      <w:i/>
      <w:iCs/>
      <w:color w:val="0F4761" w:themeColor="accent1" w:themeShade="BF"/>
    </w:rPr>
  </w:style>
  <w:style w:type="paragraph" w:styleId="IntenseQuote">
    <w:name w:val="Intense Quote"/>
    <w:basedOn w:val="Normal"/>
    <w:next w:val="Normal"/>
    <w:link w:val="IntenseQuoteChar"/>
    <w:uiPriority w:val="30"/>
    <w:qFormat/>
    <w:rsid w:val="00234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8E4"/>
    <w:rPr>
      <w:i/>
      <w:iCs/>
      <w:color w:val="0F4761" w:themeColor="accent1" w:themeShade="BF"/>
    </w:rPr>
  </w:style>
  <w:style w:type="character" w:styleId="IntenseReference">
    <w:name w:val="Intense Reference"/>
    <w:basedOn w:val="DefaultParagraphFont"/>
    <w:uiPriority w:val="32"/>
    <w:qFormat/>
    <w:rsid w:val="002348E4"/>
    <w:rPr>
      <w:b/>
      <w:bCs/>
      <w:smallCaps/>
      <w:color w:val="0F4761" w:themeColor="accent1" w:themeShade="BF"/>
      <w:spacing w:val="5"/>
    </w:rPr>
  </w:style>
  <w:style w:type="paragraph" w:styleId="NormalWeb">
    <w:name w:val="Normal (Web)"/>
    <w:basedOn w:val="Normal"/>
    <w:uiPriority w:val="99"/>
    <w:semiHidden/>
    <w:unhideWhenUsed/>
    <w:rsid w:val="002348E4"/>
    <w:pPr>
      <w:spacing w:before="100" w:beforeAutospacing="1" w:after="100" w:afterAutospacing="1" w:line="240" w:lineRule="auto"/>
    </w:pPr>
    <w:rPr>
      <w:rFonts w:ascii="Times New Roman" w:eastAsia="Times New Roman" w:hAnsi="Times New Roman" w:cs="Times New Roman"/>
      <w:lang w:eastAsia="en-GB"/>
    </w:rPr>
  </w:style>
  <w:style w:type="character" w:styleId="Strong">
    <w:name w:val="Strong"/>
    <w:basedOn w:val="DefaultParagraphFont"/>
    <w:uiPriority w:val="22"/>
    <w:qFormat/>
    <w:rsid w:val="002348E4"/>
    <w:rPr>
      <w:b/>
      <w:bCs/>
    </w:rPr>
  </w:style>
  <w:style w:type="character" w:customStyle="1" w:styleId="apple-converted-space">
    <w:name w:val="apple-converted-space"/>
    <w:basedOn w:val="DefaultParagraphFont"/>
    <w:rsid w:val="002348E4"/>
  </w:style>
  <w:style w:type="character" w:styleId="Emphasis">
    <w:name w:val="Emphasis"/>
    <w:basedOn w:val="DefaultParagraphFont"/>
    <w:uiPriority w:val="20"/>
    <w:qFormat/>
    <w:rsid w:val="002348E4"/>
    <w:rPr>
      <w:i/>
      <w:iCs/>
    </w:rPr>
  </w:style>
  <w:style w:type="character" w:styleId="Hyperlink">
    <w:name w:val="Hyperlink"/>
    <w:basedOn w:val="DefaultParagraphFont"/>
    <w:uiPriority w:val="99"/>
    <w:semiHidden/>
    <w:unhideWhenUsed/>
    <w:rsid w:val="002348E4"/>
    <w:rPr>
      <w:color w:val="0000FF"/>
      <w:u w:val="single"/>
    </w:rPr>
  </w:style>
  <w:style w:type="table" w:styleId="TableGrid">
    <w:name w:val="Table Grid"/>
    <w:basedOn w:val="TableNormal"/>
    <w:uiPriority w:val="39"/>
    <w:rsid w:val="002348E4"/>
    <w:pPr>
      <w:spacing w:after="0" w:line="240" w:lineRule="auto"/>
    </w:pPr>
    <w:rPr>
      <w:rFonts w:ascii="Georgia"/>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top w:w="80" w:type="dxa"/>
        <w:left w:w="160" w:type="dxa"/>
        <w:bottom w:w="80" w:type="dxa"/>
        <w:right w:w="160" w:type="dxa"/>
      </w:tblCellMar>
    </w:tblPr>
  </w:style>
  <w:style w:type="table" w:customStyle="1" w:styleId="a0">
    <w:basedOn w:val="TableNormal"/>
    <w:tblPr>
      <w:tblStyleRowBandSize w:val="1"/>
      <w:tblStyleColBandSize w:val="1"/>
      <w:tblCellMar>
        <w:top w:w="80" w:type="dxa"/>
        <w:left w:w="160" w:type="dxa"/>
        <w:bottom w:w="80" w:type="dxa"/>
        <w:right w:w="160" w:type="dxa"/>
      </w:tblCellMar>
    </w:tblPr>
  </w:style>
  <w:style w:type="table" w:customStyle="1" w:styleId="a1">
    <w:basedOn w:val="TableNormal"/>
    <w:tblPr>
      <w:tblStyleRowBandSize w:val="1"/>
      <w:tblStyleColBandSize w:val="1"/>
      <w:tblCellMar>
        <w:top w:w="80" w:type="dxa"/>
        <w:left w:w="160" w:type="dxa"/>
        <w:bottom w:w="80" w:type="dxa"/>
        <w:right w:w="160" w:type="dxa"/>
      </w:tblCellMar>
    </w:tblPr>
  </w:style>
  <w:style w:type="table" w:customStyle="1" w:styleId="a2">
    <w:basedOn w:val="TableNormal"/>
    <w:pPr>
      <w:spacing w:after="0" w:line="240" w:lineRule="auto"/>
    </w:pPr>
    <w:rPr>
      <w:rFonts w:ascii="Georgia" w:eastAsia="Georgia" w:hAnsi="Georgia" w:cs="Georgia"/>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theguardian.com/science/2023/apr/17/what-anthropologists-have-to-tell-us-about-the-modern-world" TargetMode="External"/><Relationship Id="rId5" Type="http://schemas.openxmlformats.org/officeDocument/2006/relationships/hyperlink" Target="https://doi.org/10.1093/ije/dyi153"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WdFDwS0S/XcH1mLtMDlEO1FvYg==">CgMxLjA4AHIhMVdLZVJkb1NMS1B2ZmhWR3Z3bEhfRWF2Zmo4OWdna2Vy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2562</Words>
  <Characters>14610</Characters>
  <Application>Microsoft Office Word</Application>
  <DocSecurity>0</DocSecurity>
  <Lines>121</Lines>
  <Paragraphs>34</Paragraphs>
  <ScaleCrop>false</ScaleCrop>
  <Company/>
  <LinksUpToDate>false</LinksUpToDate>
  <CharactersWithSpaces>17138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Kostrz</dc:creator>
  <cp:lastModifiedBy>Jacek Cieślak</cp:lastModifiedBy>
  <cp:revision>2</cp:revision>
  <dcterms:created xsi:type="dcterms:W3CDTF">2024-08-14T09:18:00Z</dcterms:created>
  <dcterms:modified xsi:type="dcterms:W3CDTF">2024-08-28T08:46:00Z</dcterms:modified>
</cp:coreProperties>
</file>