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6D1E5AF" w14:textId="77777777" w:rsidR="000A3D4D" w:rsidRDefault="00000000">
      <w:pPr>
        <w:jc w:val="center"/>
      </w:pPr>
      <w:r>
        <w:t>5. "How can we distinguish between good and bad</w:t>
      </w:r>
    </w:p>
    <w:p w14:paraId="3D651F53" w14:textId="77777777" w:rsidR="000A3D4D" w:rsidRDefault="00000000">
      <w:pPr>
        <w:jc w:val="center"/>
      </w:pPr>
      <w:r>
        <w:t>interpretations? Discuss with reference to the arts and one other</w:t>
      </w:r>
    </w:p>
    <w:p w14:paraId="6B6F8832" w14:textId="77777777" w:rsidR="000A3D4D" w:rsidRDefault="00000000">
      <w:pPr>
        <w:jc w:val="center"/>
      </w:pPr>
      <w:r>
        <w:t>area of knowledge"</w:t>
      </w:r>
    </w:p>
    <w:p w14:paraId="30C8C639" w14:textId="77777777" w:rsidR="000A3D4D" w:rsidRDefault="00000000">
      <w:pPr>
        <w:jc w:val="center"/>
      </w:pPr>
      <w:r>
        <w:t>Theory of Knowledge</w:t>
      </w:r>
    </w:p>
    <w:p w14:paraId="21694D74" w14:textId="77777777" w:rsidR="000A3D4D" w:rsidRDefault="00000000">
      <w:pPr>
        <w:jc w:val="center"/>
      </w:pPr>
      <w:r>
        <w:t>Exam Session: May 2022</w:t>
      </w:r>
    </w:p>
    <w:p w14:paraId="5FCD1F53" w14:textId="77777777" w:rsidR="000A3D4D" w:rsidRDefault="00000000">
      <w:pPr>
        <w:jc w:val="center"/>
      </w:pPr>
      <w:r>
        <w:t>Candidate Code: jrx075</w:t>
      </w:r>
    </w:p>
    <w:p w14:paraId="5B37983B" w14:textId="77777777" w:rsidR="000A3D4D" w:rsidRDefault="00000000">
      <w:pPr>
        <w:jc w:val="center"/>
      </w:pPr>
      <w:r>
        <w:t>Date of Submission: February 15th, 2022</w:t>
      </w:r>
    </w:p>
    <w:p w14:paraId="7ED7EA8B" w14:textId="77777777" w:rsidR="000A3D4D" w:rsidRDefault="00000000">
      <w:pPr>
        <w:spacing w:after="240"/>
      </w:pPr>
      <w:r>
        <w:t>Word Count: 1599</w:t>
      </w:r>
    </w:p>
    <w:p w14:paraId="3C4DD1E7" w14:textId="77777777" w:rsidR="000A3D4D" w:rsidRDefault="00000000">
      <w:pPr>
        <w:spacing w:after="240"/>
      </w:pPr>
      <w:r>
        <w:t>Leonardo Da Vinci once said that "The greatest deception men suffer is from their own opinions". Interpretations are claims of knowledge based on personal opinion and view. It could be argued that there is no accurate interpretation for anything, and defining them as correct can be impossible and unnecessary. Different perspectives can positively affect the Art AOK, as they are part of what makes Art. For the Human Sciences AOK they help expand research and knowledge. The freedom to have different interpretations allows artists to convey meanings and critiques from personal opinions and ideas. Considering that there is only one correct interpretation for each piece takes away what makes art a form of expression for the artist and the audience. Also, distinguishing good and bad interpretations of scientific research implies there is a concrete correct answer. In the human sciences AOK, evidence in investigations may point to specific interpretations correct for focused evidence but not the complete explanation of a phenomenon. There is no right or wrong interpretation for research as the science behind can be complicated to explain and require multiple perspectives and evaluation to come up with a conclusion. There are no good or bad interpretations; therefore, there is no way to identify them.</w:t>
      </w:r>
    </w:p>
    <w:p w14:paraId="107A6B0E" w14:textId="77777777" w:rsidR="000A3D4D" w:rsidRDefault="00000000">
      <w:pPr>
        <w:spacing w:after="240"/>
      </w:pPr>
      <w:r>
        <w:t>Defining the correct interpretation in the Art AOK takes away the purpose and knowledge that an artist intends to spread. Art creates messages that come from the artist's context, and the interpretation of this comes from personal experience. The writer Anaïs Nin once said, "We don't see things as they are, we see them as we are". As an artist herself, she wanted to express that part of what makes us humans and what makes art is the way we see things inevitably with our perspectives. We cannot take the freedom of interpretation away from art, as it brings context to the artist's message and how it impacts the audience. The unique experience that is appreciating art, makes interpreting a message from an artist something valuable. "The platform" is a movie</w:t>
      </w:r>
      <w:r>
        <w:br/>
        <w:t>about a man in a dystopic prison. The ending is left to interpretation, and we find out that there is no correct answer for it, not even from the writers. For some, it feels the last parts never happened, and the protagonist died before rescuing the child, a metaphor for the unreachable upper social classes. Contrastingly, the ending can be interpreted as a sign of hope for the child to reach the top and survive. These different interpretations come from our ways of thinking, and discussing how to find meaning in art is part of its purpose. That is probably why the writers did not define the correct interpretation. Art is supposed to be open to interpretation, regardless of what that might be. The discussions created around social topics and the ones trying to understand the message is the purpose of the AOK, as distinguishing the wrong and right interpretation avoids discussion and the spread of knowledge.</w:t>
      </w:r>
    </w:p>
    <w:p w14:paraId="4369AD49" w14:textId="77777777" w:rsidR="000A3D4D" w:rsidRDefault="00000000">
      <w:pPr>
        <w:spacing w:after="240"/>
      </w:pPr>
      <w:r>
        <w:lastRenderedPageBreak/>
        <w:t xml:space="preserve">Many different mediums allow artists to present their opinions. However, sometimes those opinions can be shown in an uncommon medium, causing the viewer to misunderstand the artist's purpose and avoid art, losing the chance to obtain knowledge. Different mediums like street art have been </w:t>
      </w:r>
      <w:proofErr w:type="spellStart"/>
      <w:r>
        <w:t>criticised</w:t>
      </w:r>
      <w:proofErr w:type="spellEnd"/>
      <w:r>
        <w:t xml:space="preserve"> and hated due to negative connotations and their relation to graffiti. The street artist Banksy said that "All artists are willing to suffer for their work. But why are so few prepared to learn to draw?" to discredit unhelpful critiques from wrong interpretations of his messages and medium. Some types of art are often treated as less than due to biased connotations of vandalism, signs of gang movements, or defiance. As an experience, art can be sensed in many different ways depending on one's context leading to negative interpretations that are incorrect. One can define interpretations as wrong when they disregard the meaning the artist intends to express. If one person is a modern art muralist themselves, they will likely interpret street art in the way the artist intended. However, viewers raised to see anything in a wall as</w:t>
      </w:r>
      <w:r>
        <w:br/>
        <w:t>vandalism often have an interpretation where the message the artist intended to spread is lost in translation as the art is seen as destruction. This is what happened in June 2018 after three graffiti artists died while trying to paint in a South London station. People started using street art as memorial pieces. A debate emerged, and many people seemed to see the memorial as vandalism and a form of destruction. Art's rejection is often due to the incorrect interpretations coming from ignorant perspectives. These perspectives put art in positions of crimes, meaning that the correct message and significance that comes with a memorial mural never reaches the minds of those who approach art with prejudice.</w:t>
      </w:r>
    </w:p>
    <w:p w14:paraId="4829A202" w14:textId="77777777" w:rsidR="000A3D4D" w:rsidRDefault="00000000">
      <w:pPr>
        <w:spacing w:after="240"/>
      </w:pPr>
      <w:r>
        <w:t>Interpretations depend on perspective and values. Therefore there is no natural way to define whose opinion is correct. Art requires an artist's work to display their views and therefore evoke interpretations in a similar way that research in human sciences analyses results that suggest interpretation. Human sciences explore human interaction with the world, and art is subjective to interacting and conveying our perspectives.</w:t>
      </w:r>
    </w:p>
    <w:p w14:paraId="0039146D" w14:textId="77777777" w:rsidR="000A3D4D" w:rsidRDefault="00000000">
      <w:pPr>
        <w:spacing w:after="240"/>
      </w:pPr>
      <w:r>
        <w:t xml:space="preserve">Research in human sciences requires accuracy to gain reliable conclusions. The researchers will inevitably obstruct their interpretations with some form of expectation, which can dictate if an interpretation is correct or corrupted with bias. Dan Ariely, </w:t>
      </w:r>
      <w:proofErr w:type="spellStart"/>
      <w:r>
        <w:t>recognised</w:t>
      </w:r>
      <w:proofErr w:type="spellEnd"/>
      <w:r>
        <w:t xml:space="preserve"> psychologist, talks about how frequently "The most difficult thing, of course, is to recognize that sometimes we too are blinded by our own incentives.". Results in many psychological studies are vulnerable to incorrect interpretations as investigators test their own hypotheses and reach conclusions that coincide with their expectations. Petrova et al. (2007) explored the effects of a cultural dimension, individualism vs collectivism, on compliance rates. The study showed compliance</w:t>
      </w:r>
      <w:r>
        <w:br/>
        <w:t>patterns coming from US and Asian students, but interpretations seemed questionable. Researchers looked for something that a cultural dimension could influence. However, the individualism vs collectivism dimension does not seem to have a direct correlation with compliance. Researchers concluded that the foot in the door technique, which consists of getting a person to agree to a large request after agreeing to a small request, seemed to work better with individualistic participants, something not necessarily related. Human sciences need to research the way humans view and perceive the world. However, interpretations of results are blurred by expectations, and the knowledge conveyed is incorrect. The knowledge we gain from human sciences' experiments can lose validity, and interpretation can be declared wrong if its source is biased.</w:t>
      </w:r>
    </w:p>
    <w:p w14:paraId="28D14A14" w14:textId="77777777" w:rsidR="000A3D4D" w:rsidRDefault="00000000">
      <w:pPr>
        <w:spacing w:after="240"/>
      </w:pPr>
      <w:r>
        <w:lastRenderedPageBreak/>
        <w:t xml:space="preserve">Alternatively, personal interpretations caused by biases create an opening for new and improved research to be explored without defining if a claim is indeed correct. These interpretations cannot be entirely good as they ignore and accentuate specific results in studies that is why having interpretations not be completely good allows other researchers to explore the biased parts. Margaret Heffernan, entrepreneur, writer and professor, suggests that the best form of collaboration is with "thinking partners who aren't echo chambers"-having distinct research interpretations in the Human Sciences AOK allows more accurate results with different expectations when producing them. The Social Cognitive Theory is a theory that dictates that other members of the same group can model </w:t>
      </w:r>
      <w:proofErr w:type="spellStart"/>
      <w:r>
        <w:t>behaviour</w:t>
      </w:r>
      <w:proofErr w:type="spellEnd"/>
      <w:r>
        <w:t>. Bandura (1961) created a study in which kids were paired with either aggressive or non-aggressive adults in a room with toys. The adult would treat the toys with a violent or neutral attitude. Almost all acted the same way as their adult model when left alone. The study's interpretation seemed to be influenced by the</w:t>
      </w:r>
      <w:r>
        <w:br/>
        <w:t>researchers' desire to confirm the Social Cognitive Theory that aggressive models could be dangerous to children. The bias from fear of new technology could, in a way, have affected the interpretation of the results as the popularity of tv increased. Years later, the Kojin et al. (2007) study investigated the effects of aggressive video games on kids similarly, exploring further the Social Cognitive Theory from other perspectives. An interpretation in human sciences is hard to prove correct from one investigation, so it is not easy to define if claims are right, allowing further exploration of concepts. Similar studies can easily be replicated with different participants or expectations that create new results. Clearer conclusions of research questions can come from interpretations that may have been considered incorrect at one point.</w:t>
      </w:r>
    </w:p>
    <w:p w14:paraId="0013A8C1" w14:textId="77777777" w:rsidR="000A3D4D" w:rsidRDefault="00000000">
      <w:pPr>
        <w:spacing w:after="240"/>
      </w:pPr>
      <w:r>
        <w:t xml:space="preserve">Perspective brings distinct interpretations in the search for messages and conclusions, both in human sciences and art. It is almost impossible to define what is a correct and incorrect interpretation. In the Human sciences AOK, biased interpretations affect investigations by presenting opinions and direct conclusions that confirm the researchers' expectations. At the same time, we have to </w:t>
      </w:r>
      <w:proofErr w:type="spellStart"/>
      <w:r>
        <w:t>realise</w:t>
      </w:r>
      <w:proofErr w:type="spellEnd"/>
      <w:r>
        <w:t xml:space="preserve"> that knowing that interpretations have some incongruencies allows other researchers to have the opportunity to defy results, which might lead to more research from different perspectives. Art is sometimes judged through negative stereotypes before the correct interpretation of the artist's message is produced in the Art AOK. If people let their negative opinions guide their interpretations, one might not even take the chance to try to find the correct interpretation. Contrastingly, looking for meaning and </w:t>
      </w:r>
      <w:proofErr w:type="spellStart"/>
      <w:r>
        <w:t>analysing</w:t>
      </w:r>
      <w:proofErr w:type="spellEnd"/>
      <w:r>
        <w:t xml:space="preserve"> art is part of experiencing art. Interpretations from different perspectives, including the artist's, are created when one experiences art as part of its purpose. Defining a correct and wrong interpretation is not always commendable, but it also limits our understanding of meaning and results in the AOKs. A variety</w:t>
      </w:r>
      <w:r>
        <w:br/>
        <w:t>of interpretations can stimulate the search for more knowledge in research or expand the message an artist can express even if they are not defined as correct or incorrect.</w:t>
      </w:r>
    </w:p>
    <w:p w14:paraId="0D3D9A8E" w14:textId="77777777" w:rsidR="000A3D4D" w:rsidRDefault="00000000">
      <w:pPr>
        <w:spacing w:before="360" w:line="420" w:lineRule="auto"/>
      </w:pPr>
      <w:r>
        <w:rPr>
          <w:b/>
          <w:sz w:val="42"/>
          <w:szCs w:val="42"/>
        </w:rPr>
        <w:t>Reference list</w:t>
      </w:r>
    </w:p>
    <w:p w14:paraId="0F5EF409" w14:textId="77777777" w:rsidR="000A3D4D" w:rsidRDefault="00000000">
      <w:pPr>
        <w:spacing w:after="240"/>
      </w:pPr>
      <w:r>
        <w:t xml:space="preserve">Ariely, D. (2011). Transcript of "Beware conflicts of interest." [online] </w:t>
      </w:r>
      <w:hyperlink r:id="rId5">
        <w:r>
          <w:rPr>
            <w:color w:val="4472C4"/>
          </w:rPr>
          <w:t>www.ted.com</w:t>
        </w:r>
      </w:hyperlink>
      <w:r>
        <w:t xml:space="preserve">. Available at: </w:t>
      </w:r>
      <w:hyperlink r:id="rId6" w:anchor="t-248561">
        <w:r>
          <w:rPr>
            <w:color w:val="4472C4"/>
          </w:rPr>
          <w:t>https://www.ted.com/talks/dan_ariely_beware_conflicts_of_interest/transcript#t-248561</w:t>
        </w:r>
      </w:hyperlink>
      <w:r>
        <w:t xml:space="preserve"> [Accessed 13 Jun. 2021].</w:t>
      </w:r>
    </w:p>
    <w:p w14:paraId="48C4B21D" w14:textId="77777777" w:rsidR="000A3D4D" w:rsidRDefault="00000000">
      <w:pPr>
        <w:spacing w:after="240"/>
      </w:pPr>
      <w:r>
        <w:lastRenderedPageBreak/>
        <w:t xml:space="preserve">Bandura, A., Ross, D. and Ross, S.A. (1961). Transmission of </w:t>
      </w:r>
      <w:proofErr w:type="spellStart"/>
      <w:r>
        <w:t>Agression</w:t>
      </w:r>
      <w:proofErr w:type="spellEnd"/>
      <w:r>
        <w:t xml:space="preserve"> Through Imitation of </w:t>
      </w:r>
      <w:proofErr w:type="spellStart"/>
      <w:r>
        <w:t>Agressive</w:t>
      </w:r>
      <w:proofErr w:type="spellEnd"/>
      <w:r>
        <w:t xml:space="preserve"> Models 1. Journal of Abnormal and Social </w:t>
      </w:r>
      <w:proofErr w:type="spellStart"/>
      <w:r>
        <w:t>P&amp;ychoh</w:t>
      </w:r>
      <w:proofErr w:type="spellEnd"/>
      <w:r>
        <w:t>, [online] 63(3), pp.575-582. Available at:</w:t>
      </w:r>
    </w:p>
    <w:p w14:paraId="3CF1D6B3" w14:textId="77777777" w:rsidR="000A3D4D" w:rsidRDefault="00000000">
      <w:pPr>
        <w:spacing w:after="240"/>
      </w:pPr>
      <w:hyperlink r:id="rId7">
        <w:r>
          <w:rPr>
            <w:color w:val="4472C4"/>
          </w:rPr>
          <w:t>http://library.nhsggc.org.uk/mediaAssets/Mental Health Partnership/Transmission of</w:t>
        </w:r>
      </w:hyperlink>
      <w:r>
        <w:t xml:space="preserve"> %20Aggression%20through%20Imitation%20of%20Aggressive%20Models.pdf.</w:t>
      </w:r>
    </w:p>
    <w:p w14:paraId="24C66254" w14:textId="77777777" w:rsidR="000A3D4D" w:rsidRDefault="00000000">
      <w:pPr>
        <w:spacing w:after="240"/>
      </w:pPr>
      <w:r>
        <w:t xml:space="preserve">BBC News (2019). Loughborough Junction graffiti artists died hiding from train. BBC News. [online] 28 Feb. Available at: </w:t>
      </w:r>
      <w:hyperlink r:id="rId8">
        <w:r>
          <w:rPr>
            <w:color w:val="4472C4"/>
          </w:rPr>
          <w:t>https://www.bbc.com/news/uk-england-london-47404529</w:t>
        </w:r>
      </w:hyperlink>
    </w:p>
    <w:p w14:paraId="69B6E710" w14:textId="77777777" w:rsidR="000A3D4D" w:rsidRDefault="00000000">
      <w:pPr>
        <w:spacing w:after="240"/>
      </w:pPr>
      <w:r>
        <w:t>[Accessed 1 Jan. 2022].</w:t>
      </w:r>
    </w:p>
    <w:p w14:paraId="28CB33A5" w14:textId="77777777" w:rsidR="000A3D4D" w:rsidRDefault="00000000">
      <w:pPr>
        <w:spacing w:after="240"/>
      </w:pPr>
      <w:r>
        <w:t>Gayle, D. (2018). Vandalism or art? Graffiti artists' deaths reignite debate. The Guardian. [online] 23 Jun. Available at:</w:t>
      </w:r>
    </w:p>
    <w:p w14:paraId="16890AD3" w14:textId="77777777" w:rsidR="000A3D4D" w:rsidRDefault="00000000">
      <w:pPr>
        <w:spacing w:after="240"/>
      </w:pPr>
      <w:hyperlink r:id="rId9">
        <w:r>
          <w:rPr>
            <w:color w:val="4472C4"/>
          </w:rPr>
          <w:t>https://www.theguardian.com/artanddesign/2018/jun/23/vandalism-or-art-graffiti-artists-deaths-r</w:t>
        </w:r>
      </w:hyperlink>
      <w:r>
        <w:t xml:space="preserve"> </w:t>
      </w:r>
      <w:proofErr w:type="spellStart"/>
      <w:r>
        <w:t>eignite</w:t>
      </w:r>
      <w:proofErr w:type="spellEnd"/>
      <w:r>
        <w:t>-debate-</w:t>
      </w:r>
      <w:proofErr w:type="spellStart"/>
      <w:r>
        <w:t>london</w:t>
      </w:r>
      <w:proofErr w:type="spellEnd"/>
      <w:r>
        <w:t>.</w:t>
      </w:r>
    </w:p>
    <w:p w14:paraId="2270F7E0" w14:textId="77777777" w:rsidR="000A3D4D" w:rsidRDefault="00000000">
      <w:pPr>
        <w:spacing w:after="240"/>
      </w:pPr>
      <w:r>
        <w:t xml:space="preserve">Heffernan, M. (2012). Transcript of "Dare to disagree." [online] </w:t>
      </w:r>
      <w:hyperlink r:id="rId10">
        <w:r>
          <w:rPr>
            <w:color w:val="4472C4"/>
          </w:rPr>
          <w:t>www.ted.com</w:t>
        </w:r>
      </w:hyperlink>
      <w:r>
        <w:t xml:space="preserve">. Available at: </w:t>
      </w:r>
      <w:hyperlink r:id="rId11" w:anchor="t-301283">
        <w:r>
          <w:rPr>
            <w:color w:val="4472C4"/>
          </w:rPr>
          <w:t>https://www.ted.com/talks/margaret_heffernan_dare_to_disagree/transcript#t-301283</w:t>
        </w:r>
      </w:hyperlink>
      <w:r>
        <w:t xml:space="preserve"> [Accessed 13 Jun. 2021].</w:t>
      </w:r>
    </w:p>
    <w:p w14:paraId="62E22131" w14:textId="77777777" w:rsidR="000A3D4D" w:rsidRDefault="00000000">
      <w:pPr>
        <w:spacing w:after="240"/>
      </w:pPr>
      <w:proofErr w:type="spellStart"/>
      <w:r>
        <w:t>Konijn</w:t>
      </w:r>
      <w:proofErr w:type="spellEnd"/>
      <w:r>
        <w:t xml:space="preserve">, E.A., </w:t>
      </w:r>
      <w:proofErr w:type="spellStart"/>
      <w:r>
        <w:t>Nije</w:t>
      </w:r>
      <w:proofErr w:type="spellEnd"/>
      <w:r>
        <w:t xml:space="preserve"> </w:t>
      </w:r>
      <w:proofErr w:type="spellStart"/>
      <w:r>
        <w:t>Bijvank</w:t>
      </w:r>
      <w:proofErr w:type="spellEnd"/>
      <w:r>
        <w:t>, M. and Bushman, B.J. (2007). I wish I were a warrior: The role of wishful identification in the effects of violent video games on aggression in adolescent boys. Developmental Psychology, 43(4), pp.1038-1044.</w:t>
      </w:r>
    </w:p>
    <w:p w14:paraId="18204652" w14:textId="77777777" w:rsidR="000A3D4D" w:rsidRDefault="00000000">
      <w:pPr>
        <w:spacing w:after="240"/>
      </w:pPr>
      <w:r>
        <w:t xml:space="preserve">Seed (2015). Transcript of "Street art with a message of hope and peace." [online] </w:t>
      </w:r>
      <w:hyperlink r:id="rId12">
        <w:r>
          <w:rPr>
            <w:color w:val="4472C4"/>
          </w:rPr>
          <w:t>www.ted.com</w:t>
        </w:r>
      </w:hyperlink>
      <w:r>
        <w:t>. Available at:</w:t>
      </w:r>
    </w:p>
    <w:p w14:paraId="29367262" w14:textId="77777777" w:rsidR="000A3D4D" w:rsidRDefault="00000000">
      <w:pPr>
        <w:spacing w:after="240"/>
      </w:pPr>
      <w:hyperlink r:id="rId13">
        <w:r>
          <w:rPr>
            <w:color w:val="4472C4"/>
          </w:rPr>
          <w:t>https://www.ted.com/talks/el_seed_street_art_with_a_message_of_hope_and_peace/transcript?re</w:t>
        </w:r>
      </w:hyperlink>
      <w:r>
        <w:t xml:space="preserve"> </w:t>
      </w:r>
      <w:proofErr w:type="spellStart"/>
      <w:r>
        <w:t>ferrer</w:t>
      </w:r>
      <w:proofErr w:type="spellEnd"/>
      <w:r>
        <w:t>=playlist-</w:t>
      </w:r>
      <w:proofErr w:type="spellStart"/>
      <w:r>
        <w:t>powerful_art_activism</w:t>
      </w:r>
      <w:proofErr w:type="spellEnd"/>
      <w:r>
        <w:t xml:space="preserve"> [Accessed 13 Jun. 2021].</w:t>
      </w:r>
    </w:p>
    <w:p w14:paraId="28CEF517" w14:textId="77777777" w:rsidR="000A3D4D" w:rsidRDefault="00000000">
      <w:pPr>
        <w:spacing w:after="240"/>
      </w:pPr>
      <w:r>
        <w:t xml:space="preserve">Tran, J. (2016). Why Do People Hate Street Art? [online] The Odyssey Online. Available at: </w:t>
      </w:r>
      <w:hyperlink r:id="rId14">
        <w:r>
          <w:rPr>
            <w:color w:val="4472C4"/>
          </w:rPr>
          <w:t>https://www.theodysseyonline.com/street-art-hate</w:t>
        </w:r>
      </w:hyperlink>
      <w:r>
        <w:t>.</w:t>
      </w:r>
    </w:p>
    <w:p w14:paraId="269D44E1" w14:textId="77777777" w:rsidR="000A3D4D" w:rsidRDefault="00000000">
      <w:pPr>
        <w:spacing w:after="240"/>
      </w:pPr>
      <w:r>
        <w:t xml:space="preserve">Vans (n.d.). Is graffiti art or vandalism? | Vans. [online] </w:t>
      </w:r>
      <w:hyperlink r:id="rId15">
        <w:r>
          <w:rPr>
            <w:color w:val="4472C4"/>
          </w:rPr>
          <w:t>www.vans.co.uk</w:t>
        </w:r>
      </w:hyperlink>
      <w:r>
        <w:t xml:space="preserve">. Available at: </w:t>
      </w:r>
      <w:hyperlink r:id="rId16">
        <w:r>
          <w:rPr>
            <w:color w:val="4472C4"/>
          </w:rPr>
          <w:t>https://www.vans.co.uk/thewall/art/is-graffiti-art-or-vandalism.html</w:t>
        </w:r>
      </w:hyperlink>
      <w:r>
        <w:t>.</w:t>
      </w:r>
    </w:p>
    <w:p w14:paraId="7A683730" w14:textId="77777777" w:rsidR="000A3D4D" w:rsidRDefault="00000000">
      <w:pPr>
        <w:spacing w:after="240"/>
      </w:pPr>
      <w:r>
        <w:t>Vinney, C. (2019). Social Cognitive Theory: How We Learn From the Behavior of Others.</w:t>
      </w:r>
    </w:p>
    <w:p w14:paraId="0B1A2946" w14:textId="77777777" w:rsidR="000A3D4D" w:rsidRDefault="00000000">
      <w:pPr>
        <w:spacing w:after="240"/>
      </w:pPr>
      <w:r>
        <w:t xml:space="preserve">[online] ThoughtCo. Available at: </w:t>
      </w:r>
      <w:hyperlink r:id="rId17">
        <w:r>
          <w:rPr>
            <w:color w:val="4472C4"/>
          </w:rPr>
          <w:t>https://www.thoughtco.com/social-cognitive-theory-4174567</w:t>
        </w:r>
      </w:hyperlink>
      <w:r>
        <w:t>.</w:t>
      </w:r>
    </w:p>
    <w:p w14:paraId="05AE0739" w14:textId="77777777" w:rsidR="000A3D4D" w:rsidRDefault="00000000">
      <w:pPr>
        <w:spacing w:after="240"/>
      </w:pPr>
      <w:proofErr w:type="spellStart"/>
      <w:r>
        <w:t>Waude</w:t>
      </w:r>
      <w:proofErr w:type="spellEnd"/>
      <w:r>
        <w:t>, A. (2017). Foot-in-the-Door As A Persuasive Technique. [online]</w:t>
      </w:r>
    </w:p>
    <w:p w14:paraId="0057D04E" w14:textId="77777777" w:rsidR="000A3D4D" w:rsidRDefault="00000000">
      <w:pPr>
        <w:spacing w:after="240"/>
      </w:pPr>
      <w:hyperlink r:id="rId18">
        <w:r>
          <w:rPr>
            <w:color w:val="4472C4"/>
          </w:rPr>
          <w:t>Psychologistworld.com</w:t>
        </w:r>
      </w:hyperlink>
      <w:r>
        <w:t>. Available at:</w:t>
      </w:r>
    </w:p>
    <w:p w14:paraId="43DEF576" w14:textId="77777777" w:rsidR="000A3D4D" w:rsidRDefault="00000000">
      <w:pPr>
        <w:spacing w:after="240"/>
      </w:pPr>
      <w:hyperlink r:id="rId19">
        <w:r>
          <w:rPr>
            <w:color w:val="4472C4"/>
          </w:rPr>
          <w:t>https://www.psychologistworld.com/behavior/compliance/strategies/foot-in-door-technique</w:t>
        </w:r>
      </w:hyperlink>
      <w:r>
        <w:t>.</w:t>
      </w:r>
    </w:p>
    <w:p w14:paraId="5B7B8164" w14:textId="77777777" w:rsidR="000A3D4D" w:rsidRDefault="00000000">
      <w:r>
        <w:br w:type="page"/>
      </w:r>
    </w:p>
    <w:p w14:paraId="2C1FB32B" w14:textId="77777777" w:rsidR="000A3D4D" w:rsidRDefault="00000000">
      <w:pPr>
        <w:spacing w:after="240"/>
      </w:pPr>
      <w:r>
        <w:lastRenderedPageBreak/>
        <w:t>Grading criteria:</w:t>
      </w:r>
    </w:p>
    <w:p w14:paraId="14B453AD" w14:textId="0D33D33C" w:rsidR="000A3D4D" w:rsidRDefault="000A3D4D">
      <w:pPr>
        <w:spacing w:after="240"/>
      </w:pPr>
    </w:p>
    <w:sdt>
      <w:sdtPr>
        <w:tag w:val="goog_rdk_0"/>
        <w:id w:val="1720790663"/>
        <w:lock w:val="contentLocked"/>
      </w:sdtPr>
      <w:sdtContent>
        <w:tbl>
          <w:tblPr>
            <w:tblStyle w:val="a0"/>
            <w:tblW w:w="9450" w:type="dxa"/>
            <w:tblBorders>
              <w:top w:val="nil"/>
              <w:left w:val="nil"/>
              <w:bottom w:val="nil"/>
              <w:right w:val="nil"/>
              <w:insideH w:val="nil"/>
              <w:insideV w:val="nil"/>
            </w:tblBorders>
            <w:tblLayout w:type="fixed"/>
            <w:tblLook w:val="0600" w:firstRow="0" w:lastRow="0" w:firstColumn="0" w:lastColumn="0" w:noHBand="1" w:noVBand="1"/>
          </w:tblPr>
          <w:tblGrid>
            <w:gridCol w:w="3705"/>
            <w:gridCol w:w="960"/>
            <w:gridCol w:w="3750"/>
            <w:gridCol w:w="1035"/>
          </w:tblGrid>
          <w:tr w:rsidR="000A3D4D" w14:paraId="6DF94D73" w14:textId="77777777">
            <w:trPr>
              <w:trHeight w:val="1695"/>
            </w:trPr>
            <w:tc>
              <w:tcPr>
                <w:tcW w:w="3705" w:type="dxa"/>
                <w:tcBorders>
                  <w:top w:val="single" w:sz="8" w:space="0" w:color="000000"/>
                  <w:left w:val="single" w:sz="8" w:space="0" w:color="000000"/>
                  <w:bottom w:val="single" w:sz="8" w:space="0" w:color="000000"/>
                  <w:right w:val="single" w:sz="8" w:space="0" w:color="000000"/>
                </w:tcBorders>
                <w:tcMar>
                  <w:top w:w="0" w:type="dxa"/>
                  <w:bottom w:w="0" w:type="dxa"/>
                </w:tcMar>
              </w:tcPr>
              <w:p w14:paraId="64FAD94E" w14:textId="77777777" w:rsidR="000A3D4D" w:rsidRDefault="00000000">
                <w:pPr>
                  <w:ind w:left="140" w:right="140"/>
                </w:pPr>
                <w:r>
                  <w:t>The essay’s title is clearly stated and the essay's focus is sustained</w:t>
                </w:r>
              </w:p>
              <w:p w14:paraId="066F6DCA" w14:textId="77777777" w:rsidR="000A3D4D" w:rsidRDefault="00000000">
                <w:pPr>
                  <w:ind w:left="140" w:right="140"/>
                </w:pPr>
                <w:r>
                  <w:t>on the title chosen and does not</w:t>
                </w:r>
              </w:p>
              <w:p w14:paraId="7BD399CC" w14:textId="77777777" w:rsidR="000A3D4D" w:rsidRDefault="00000000">
                <w:pPr>
                  <w:ind w:left="140" w:right="140"/>
                </w:pPr>
                <w:r>
                  <w:t>include digression or irrelevant</w:t>
                </w:r>
              </w:p>
              <w:p w14:paraId="7FC028E2" w14:textId="77777777" w:rsidR="000A3D4D" w:rsidRDefault="00000000">
                <w:pPr>
                  <w:ind w:left="140" w:right="140"/>
                </w:pPr>
                <w:r>
                  <w:t>information</w:t>
                </w:r>
              </w:p>
            </w:tc>
            <w:tc>
              <w:tcPr>
                <w:tcW w:w="960" w:type="dxa"/>
                <w:tcBorders>
                  <w:top w:val="single" w:sz="8" w:space="0" w:color="000000"/>
                  <w:left w:val="single" w:sz="8" w:space="0" w:color="000000"/>
                  <w:bottom w:val="single" w:sz="8" w:space="0" w:color="000000"/>
                  <w:right w:val="single" w:sz="8" w:space="0" w:color="000000"/>
                </w:tcBorders>
                <w:tcMar>
                  <w:top w:w="0" w:type="dxa"/>
                  <w:bottom w:w="0" w:type="dxa"/>
                </w:tcMar>
              </w:tcPr>
              <w:p w14:paraId="09ED5706" w14:textId="77777777" w:rsidR="000A3D4D" w:rsidRDefault="00000000">
                <w:pPr>
                  <w:ind w:left="140" w:right="140"/>
                </w:pPr>
                <w:r>
                  <w:t>0-5</w:t>
                </w:r>
              </w:p>
            </w:tc>
            <w:tc>
              <w:tcPr>
                <w:tcW w:w="3750" w:type="dxa"/>
                <w:tcBorders>
                  <w:top w:val="single" w:sz="8" w:space="0" w:color="000000"/>
                  <w:left w:val="single" w:sz="8" w:space="0" w:color="000000"/>
                  <w:bottom w:val="single" w:sz="8" w:space="0" w:color="000000"/>
                  <w:right w:val="single" w:sz="8" w:space="0" w:color="000000"/>
                </w:tcBorders>
                <w:tcMar>
                  <w:top w:w="0" w:type="dxa"/>
                  <w:bottom w:w="0" w:type="dxa"/>
                </w:tcMar>
              </w:tcPr>
              <w:p w14:paraId="71302A76" w14:textId="77777777" w:rsidR="000A3D4D" w:rsidRDefault="00000000">
                <w:pPr>
                  <w:jc w:val="center"/>
                  <w:rPr>
                    <w:rFonts w:ascii="Arial" w:eastAsia="Arial" w:hAnsi="Arial" w:cs="Arial"/>
                    <w:sz w:val="20"/>
                    <w:szCs w:val="20"/>
                  </w:rPr>
                </w:pPr>
                <w:r>
                  <w:rPr>
                    <w:rFonts w:ascii="Arial" w:eastAsia="Arial" w:hAnsi="Arial" w:cs="Arial"/>
                    <w:sz w:val="20"/>
                    <w:szCs w:val="20"/>
                  </w:rPr>
                  <w:t>The chosen title "How can we distinguish between good and bad interpretations? Discuss with reference to the arts and one other area of knowledge." can be clearly seen at the beginning of the student's work.The essay maintains focus on discussing how we can distinguish between good and bad interpretations all throughout the essay from start to finish. All examples, and arguments in the essay are also relevant to distinguishing between good and bad interpretations.</w:t>
                </w:r>
              </w:p>
              <w:p w14:paraId="5FD9F44A" w14:textId="77777777" w:rsidR="000A3D4D" w:rsidRDefault="000A3D4D">
                <w:pPr>
                  <w:jc w:val="center"/>
                  <w:rPr>
                    <w:rFonts w:ascii="Arial" w:eastAsia="Arial" w:hAnsi="Arial" w:cs="Arial"/>
                    <w:sz w:val="20"/>
                    <w:szCs w:val="20"/>
                  </w:rPr>
                </w:pPr>
              </w:p>
              <w:p w14:paraId="477DABCD" w14:textId="77777777" w:rsidR="000A3D4D" w:rsidRDefault="000A3D4D">
                <w:pPr>
                  <w:ind w:left="140" w:right="140"/>
                </w:pPr>
              </w:p>
            </w:tc>
            <w:tc>
              <w:tcPr>
                <w:tcW w:w="1035" w:type="dxa"/>
                <w:tcBorders>
                  <w:top w:val="single" w:sz="8" w:space="0" w:color="000000"/>
                  <w:left w:val="single" w:sz="8" w:space="0" w:color="000000"/>
                  <w:bottom w:val="single" w:sz="8" w:space="0" w:color="000000"/>
                  <w:right w:val="single" w:sz="8" w:space="0" w:color="000000"/>
                </w:tcBorders>
                <w:tcMar>
                  <w:top w:w="0" w:type="dxa"/>
                  <w:bottom w:w="0" w:type="dxa"/>
                </w:tcMar>
              </w:tcPr>
              <w:p w14:paraId="3B34A70C" w14:textId="77777777" w:rsidR="000A3D4D" w:rsidRDefault="00000000">
                <w:pPr>
                  <w:ind w:left="140" w:right="140"/>
                </w:pPr>
                <w:r>
                  <w:t>5</w:t>
                </w:r>
              </w:p>
            </w:tc>
          </w:tr>
          <w:tr w:rsidR="000A3D4D" w14:paraId="4499BE73" w14:textId="77777777">
            <w:trPr>
              <w:trHeight w:val="735"/>
            </w:trPr>
            <w:tc>
              <w:tcPr>
                <w:tcW w:w="3705" w:type="dxa"/>
                <w:tcBorders>
                  <w:top w:val="single" w:sz="8" w:space="0" w:color="000000"/>
                  <w:left w:val="single" w:sz="8" w:space="0" w:color="000000"/>
                  <w:bottom w:val="single" w:sz="8" w:space="0" w:color="000000"/>
                  <w:right w:val="single" w:sz="8" w:space="0" w:color="000000"/>
                </w:tcBorders>
                <w:tcMar>
                  <w:top w:w="0" w:type="dxa"/>
                  <w:bottom w:w="0" w:type="dxa"/>
                </w:tcMar>
              </w:tcPr>
              <w:p w14:paraId="101D29AB" w14:textId="77777777" w:rsidR="000A3D4D" w:rsidRDefault="00000000">
                <w:pPr>
                  <w:ind w:left="140" w:right="140"/>
                </w:pPr>
                <w:r>
                  <w:t>The work is effectively linked with</w:t>
                </w:r>
              </w:p>
              <w:p w14:paraId="49D44662" w14:textId="77777777" w:rsidR="000A3D4D" w:rsidRDefault="00000000">
                <w:pPr>
                  <w:ind w:left="140" w:right="140"/>
                </w:pPr>
                <w:r>
                  <w:t>different Areas of Knowledge</w:t>
                </w:r>
              </w:p>
            </w:tc>
            <w:tc>
              <w:tcPr>
                <w:tcW w:w="960" w:type="dxa"/>
                <w:tcBorders>
                  <w:top w:val="single" w:sz="8" w:space="0" w:color="000000"/>
                  <w:left w:val="single" w:sz="8" w:space="0" w:color="000000"/>
                  <w:bottom w:val="single" w:sz="8" w:space="0" w:color="000000"/>
                  <w:right w:val="single" w:sz="8" w:space="0" w:color="000000"/>
                </w:tcBorders>
                <w:tcMar>
                  <w:top w:w="0" w:type="dxa"/>
                  <w:bottom w:w="0" w:type="dxa"/>
                </w:tcMar>
              </w:tcPr>
              <w:p w14:paraId="6F9CFF75" w14:textId="77777777" w:rsidR="000A3D4D" w:rsidRDefault="00000000">
                <w:pPr>
                  <w:ind w:left="140" w:right="140"/>
                </w:pPr>
                <w:r>
                  <w:t>0-10</w:t>
                </w:r>
              </w:p>
            </w:tc>
            <w:tc>
              <w:tcPr>
                <w:tcW w:w="3750" w:type="dxa"/>
                <w:tcBorders>
                  <w:top w:val="single" w:sz="8" w:space="0" w:color="000000"/>
                  <w:left w:val="single" w:sz="8" w:space="0" w:color="000000"/>
                  <w:bottom w:val="single" w:sz="8" w:space="0" w:color="000000"/>
                  <w:right w:val="single" w:sz="8" w:space="0" w:color="000000"/>
                </w:tcBorders>
                <w:tcMar>
                  <w:top w:w="0" w:type="dxa"/>
                  <w:bottom w:w="0" w:type="dxa"/>
                </w:tcMar>
              </w:tcPr>
              <w:p w14:paraId="75010DE2" w14:textId="77777777" w:rsidR="000A3D4D" w:rsidRDefault="00000000">
                <w:pPr>
                  <w:spacing w:before="140" w:after="380"/>
                  <w:ind w:left="140" w:right="140"/>
                </w:pPr>
                <w:r>
                  <w:rPr>
                    <w:rFonts w:ascii="Arial" w:eastAsia="Arial" w:hAnsi="Arial" w:cs="Arial"/>
                    <w:sz w:val="20"/>
                    <w:szCs w:val="20"/>
                  </w:rPr>
                  <w:t xml:space="preserve">Both arts and human sciences are used in this essay and are effectively linked to distinguishing between good and bad interpretations using arguments for the areas of knowledge in general and specific examples. </w:t>
                </w:r>
              </w:p>
            </w:tc>
            <w:tc>
              <w:tcPr>
                <w:tcW w:w="1035" w:type="dxa"/>
                <w:tcBorders>
                  <w:top w:val="single" w:sz="8" w:space="0" w:color="000000"/>
                  <w:left w:val="single" w:sz="8" w:space="0" w:color="000000"/>
                  <w:bottom w:val="single" w:sz="8" w:space="0" w:color="000000"/>
                  <w:right w:val="single" w:sz="8" w:space="0" w:color="000000"/>
                </w:tcBorders>
                <w:tcMar>
                  <w:top w:w="0" w:type="dxa"/>
                  <w:bottom w:w="0" w:type="dxa"/>
                </w:tcMar>
              </w:tcPr>
              <w:p w14:paraId="447E83F9" w14:textId="77777777" w:rsidR="000A3D4D" w:rsidRDefault="00000000">
                <w:pPr>
                  <w:ind w:left="140" w:right="140"/>
                </w:pPr>
                <w:r>
                  <w:t>10</w:t>
                </w:r>
              </w:p>
            </w:tc>
          </w:tr>
          <w:tr w:rsidR="000A3D4D" w14:paraId="3821C9EC" w14:textId="77777777">
            <w:trPr>
              <w:trHeight w:val="855"/>
            </w:trPr>
            <w:tc>
              <w:tcPr>
                <w:tcW w:w="3705" w:type="dxa"/>
                <w:tcBorders>
                  <w:top w:val="single" w:sz="8" w:space="0" w:color="000000"/>
                  <w:left w:val="single" w:sz="8" w:space="0" w:color="000000"/>
                  <w:bottom w:val="single" w:sz="8" w:space="0" w:color="000000"/>
                  <w:right w:val="single" w:sz="8" w:space="0" w:color="000000"/>
                </w:tcBorders>
                <w:tcMar>
                  <w:top w:w="0" w:type="dxa"/>
                  <w:bottom w:w="0" w:type="dxa"/>
                </w:tcMar>
              </w:tcPr>
              <w:p w14:paraId="592C1732" w14:textId="77777777" w:rsidR="000A3D4D" w:rsidRDefault="00000000">
                <w:pPr>
                  <w:ind w:left="140" w:right="140"/>
                </w:pPr>
                <w:r>
                  <w:t>The students provides examples which are convincing and support the argument being made efficiently</w:t>
                </w:r>
              </w:p>
            </w:tc>
            <w:tc>
              <w:tcPr>
                <w:tcW w:w="960" w:type="dxa"/>
                <w:tcBorders>
                  <w:top w:val="single" w:sz="8" w:space="0" w:color="000000"/>
                  <w:left w:val="single" w:sz="8" w:space="0" w:color="000000"/>
                  <w:bottom w:val="single" w:sz="8" w:space="0" w:color="000000"/>
                  <w:right w:val="single" w:sz="8" w:space="0" w:color="000000"/>
                </w:tcBorders>
                <w:tcMar>
                  <w:top w:w="0" w:type="dxa"/>
                  <w:bottom w:w="0" w:type="dxa"/>
                </w:tcMar>
              </w:tcPr>
              <w:p w14:paraId="0B82B5B4" w14:textId="77777777" w:rsidR="000A3D4D" w:rsidRDefault="00000000">
                <w:pPr>
                  <w:ind w:left="140" w:right="140"/>
                </w:pPr>
                <w:r>
                  <w:t>0-10</w:t>
                </w:r>
              </w:p>
            </w:tc>
            <w:tc>
              <w:tcPr>
                <w:tcW w:w="3750" w:type="dxa"/>
                <w:tcBorders>
                  <w:top w:val="single" w:sz="8" w:space="0" w:color="000000"/>
                  <w:left w:val="single" w:sz="8" w:space="0" w:color="000000"/>
                  <w:bottom w:val="single" w:sz="8" w:space="0" w:color="000000"/>
                  <w:right w:val="single" w:sz="8" w:space="0" w:color="000000"/>
                </w:tcBorders>
                <w:tcMar>
                  <w:top w:w="0" w:type="dxa"/>
                  <w:bottom w:w="0" w:type="dxa"/>
                </w:tcMar>
              </w:tcPr>
              <w:p w14:paraId="30817A61" w14:textId="77777777" w:rsidR="000A3D4D" w:rsidRDefault="00000000">
                <w:pPr>
                  <w:spacing w:before="140" w:after="380"/>
                  <w:ind w:left="140" w:right="140"/>
                </w:pPr>
                <w:r>
                  <w:rPr>
                    <w:rFonts w:ascii="Arial" w:eastAsia="Arial" w:hAnsi="Arial" w:cs="Arial"/>
                    <w:sz w:val="20"/>
                    <w:szCs w:val="20"/>
                  </w:rPr>
                  <w:t>Relevant examples are used consistently such as the movie "The Platform", a 2018 incident in London where 3 graffiti artists died, the 2007 Petrova study on cultural dimensions and compliance, and Bandura's 1961 study. These examples are appropriate for the corresponding area of knowledge and act as evidence for the arguments on how to distinguish between good and bad interpretations</w:t>
                </w:r>
                <w:r>
                  <w:rPr>
                    <w:rFonts w:ascii="Arial" w:eastAsia="Arial" w:hAnsi="Arial" w:cs="Arial"/>
                    <w:color w:val="212B36"/>
                    <w:sz w:val="20"/>
                    <w:szCs w:val="20"/>
                    <w:highlight w:val="white"/>
                  </w:rPr>
                  <w:t xml:space="preserve">. However, </w:t>
                </w:r>
                <w:r>
                  <w:rPr>
                    <w:rFonts w:ascii="Arial" w:eastAsia="Arial" w:hAnsi="Arial" w:cs="Arial"/>
                    <w:sz w:val="20"/>
                    <w:szCs w:val="20"/>
                  </w:rPr>
                  <w:t>inconsistencies can prevent this from scoring in the upper marks.</w:t>
                </w:r>
              </w:p>
            </w:tc>
            <w:tc>
              <w:tcPr>
                <w:tcW w:w="1035" w:type="dxa"/>
                <w:tcBorders>
                  <w:top w:val="single" w:sz="8" w:space="0" w:color="000000"/>
                  <w:left w:val="single" w:sz="8" w:space="0" w:color="000000"/>
                  <w:bottom w:val="single" w:sz="8" w:space="0" w:color="000000"/>
                  <w:right w:val="single" w:sz="8" w:space="0" w:color="000000"/>
                </w:tcBorders>
                <w:tcMar>
                  <w:top w:w="0" w:type="dxa"/>
                  <w:bottom w:w="0" w:type="dxa"/>
                </w:tcMar>
              </w:tcPr>
              <w:p w14:paraId="7240B9B8" w14:textId="77777777" w:rsidR="000A3D4D" w:rsidRDefault="00000000">
                <w:pPr>
                  <w:ind w:left="140" w:right="140"/>
                  <w:rPr>
                    <w:rFonts w:ascii="Times New Roman" w:eastAsia="Times New Roman" w:hAnsi="Times New Roman" w:cs="Times New Roman"/>
                  </w:rPr>
                </w:pPr>
                <w:r>
                  <w:rPr>
                    <w:rFonts w:ascii="Times New Roman" w:eastAsia="Times New Roman" w:hAnsi="Times New Roman" w:cs="Times New Roman"/>
                  </w:rPr>
                  <w:t>8</w:t>
                </w:r>
              </w:p>
            </w:tc>
          </w:tr>
          <w:tr w:rsidR="000A3D4D" w14:paraId="3C67DC55" w14:textId="77777777">
            <w:trPr>
              <w:trHeight w:val="1335"/>
            </w:trPr>
            <w:tc>
              <w:tcPr>
                <w:tcW w:w="3705" w:type="dxa"/>
                <w:tcBorders>
                  <w:top w:val="single" w:sz="8" w:space="0" w:color="000000"/>
                  <w:left w:val="single" w:sz="8" w:space="0" w:color="000000"/>
                  <w:bottom w:val="single" w:sz="8" w:space="0" w:color="000000"/>
                  <w:right w:val="single" w:sz="8" w:space="0" w:color="000000"/>
                </w:tcBorders>
                <w:tcMar>
                  <w:top w:w="0" w:type="dxa"/>
                  <w:bottom w:w="0" w:type="dxa"/>
                </w:tcMar>
              </w:tcPr>
              <w:p w14:paraId="034C22CD" w14:textId="77777777" w:rsidR="000A3D4D" w:rsidRDefault="00000000">
                <w:pPr>
                  <w:ind w:left="140" w:right="140"/>
                </w:pPr>
                <w:r>
                  <w:t>Any implications, counterpoints of the arguments, and different points of views</w:t>
                </w:r>
              </w:p>
              <w:p w14:paraId="1ADFD191" w14:textId="77777777" w:rsidR="000A3D4D" w:rsidRDefault="00000000">
                <w:pPr>
                  <w:ind w:left="140" w:right="140"/>
                </w:pPr>
                <w:r>
                  <w:t>are considered and evaluated</w:t>
                </w:r>
              </w:p>
              <w:p w14:paraId="177758E9" w14:textId="77777777" w:rsidR="000A3D4D" w:rsidRDefault="00000000">
                <w:pPr>
                  <w:ind w:left="140" w:right="140"/>
                </w:pPr>
                <w:r>
                  <w:t>by the student</w:t>
                </w:r>
              </w:p>
            </w:tc>
            <w:tc>
              <w:tcPr>
                <w:tcW w:w="960" w:type="dxa"/>
                <w:tcBorders>
                  <w:top w:val="single" w:sz="8" w:space="0" w:color="000000"/>
                  <w:left w:val="single" w:sz="8" w:space="0" w:color="000000"/>
                  <w:bottom w:val="single" w:sz="8" w:space="0" w:color="000000"/>
                  <w:right w:val="single" w:sz="8" w:space="0" w:color="000000"/>
                </w:tcBorders>
                <w:tcMar>
                  <w:top w:w="0" w:type="dxa"/>
                  <w:bottom w:w="0" w:type="dxa"/>
                </w:tcMar>
              </w:tcPr>
              <w:p w14:paraId="589A93B9" w14:textId="77777777" w:rsidR="000A3D4D" w:rsidRDefault="00000000">
                <w:pPr>
                  <w:ind w:left="140" w:right="140"/>
                </w:pPr>
                <w:r>
                  <w:t>0-10</w:t>
                </w:r>
              </w:p>
            </w:tc>
            <w:tc>
              <w:tcPr>
                <w:tcW w:w="3750" w:type="dxa"/>
                <w:tcBorders>
                  <w:top w:val="single" w:sz="8" w:space="0" w:color="000000"/>
                  <w:left w:val="single" w:sz="8" w:space="0" w:color="000000"/>
                  <w:bottom w:val="single" w:sz="8" w:space="0" w:color="000000"/>
                  <w:right w:val="single" w:sz="8" w:space="0" w:color="000000"/>
                </w:tcBorders>
                <w:tcMar>
                  <w:top w:w="0" w:type="dxa"/>
                  <w:bottom w:w="0" w:type="dxa"/>
                </w:tcMar>
              </w:tcPr>
              <w:p w14:paraId="3D21F913" w14:textId="77777777" w:rsidR="000A3D4D" w:rsidRDefault="00000000">
                <w:pPr>
                  <w:jc w:val="center"/>
                  <w:rPr>
                    <w:rFonts w:ascii="Arial" w:eastAsia="Arial" w:hAnsi="Arial" w:cs="Arial"/>
                    <w:sz w:val="20"/>
                    <w:szCs w:val="20"/>
                  </w:rPr>
                </w:pPr>
                <w:r>
                  <w:rPr>
                    <w:rFonts w:ascii="Arial" w:eastAsia="Arial" w:hAnsi="Arial" w:cs="Arial"/>
                    <w:sz w:val="20"/>
                    <w:szCs w:val="20"/>
                  </w:rPr>
                  <w:t xml:space="preserve">Implications are considered such as the importance of being knowledgeable before jumping to rash interpretations of art and to surround ourselves with people do think differently than us so that we can see things from a different perspective. Counterpoints are made within areas of knowledge as seen in the diversity of examples making different arguments.The student shows awareness of different points of view </w:t>
                </w:r>
                <w:r>
                  <w:rPr>
                    <w:rFonts w:ascii="Arial" w:eastAsia="Arial" w:hAnsi="Arial" w:cs="Arial"/>
                    <w:sz w:val="20"/>
                    <w:szCs w:val="20"/>
                  </w:rPr>
                  <w:lastRenderedPageBreak/>
                  <w:t>such as in the example of the 2018 incident in London where 3 graffiti artists died. Street art can be viewed from different perspectives and appreciated by many who can see it from the artist's perspective. This can also be seen in the contrast between Bandura's 1961 study and Kojin's 2007 study. The different points of view have also been evaluated such as in the example of "The Platform" where some may interpret it as a metaphor for the unreachable upper social class or as a sign of hope for the child to reach the top and survive. These points of view are both valid and are interpreted by people based on their own unique perspectives.</w:t>
                </w:r>
              </w:p>
              <w:p w14:paraId="5B5D11B6" w14:textId="77777777" w:rsidR="000A3D4D" w:rsidRDefault="000A3D4D">
                <w:pPr>
                  <w:jc w:val="center"/>
                  <w:rPr>
                    <w:rFonts w:ascii="Arial" w:eastAsia="Arial" w:hAnsi="Arial" w:cs="Arial"/>
                    <w:sz w:val="20"/>
                    <w:szCs w:val="20"/>
                  </w:rPr>
                </w:pPr>
              </w:p>
              <w:p w14:paraId="1C7D5BB8" w14:textId="77777777" w:rsidR="000A3D4D" w:rsidRDefault="000A3D4D">
                <w:pPr>
                  <w:jc w:val="center"/>
                  <w:rPr>
                    <w:rFonts w:ascii="Arial" w:eastAsia="Arial" w:hAnsi="Arial" w:cs="Arial"/>
                    <w:sz w:val="20"/>
                    <w:szCs w:val="20"/>
                  </w:rPr>
                </w:pPr>
              </w:p>
              <w:p w14:paraId="10346B34" w14:textId="77777777" w:rsidR="000A3D4D" w:rsidRDefault="00000000">
                <w:pPr>
                  <w:spacing w:before="140" w:after="380"/>
                  <w:ind w:left="140" w:right="140"/>
                </w:pPr>
                <w:r>
                  <w:rPr>
                    <w:rFonts w:ascii="Arial" w:eastAsia="Arial" w:hAnsi="Arial" w:cs="Arial"/>
                    <w:sz w:val="20"/>
                    <w:szCs w:val="20"/>
                  </w:rPr>
                  <w:t xml:space="preserve"> </w:t>
                </w:r>
              </w:p>
            </w:tc>
            <w:tc>
              <w:tcPr>
                <w:tcW w:w="1035" w:type="dxa"/>
                <w:tcBorders>
                  <w:top w:val="single" w:sz="8" w:space="0" w:color="000000"/>
                  <w:left w:val="single" w:sz="8" w:space="0" w:color="000000"/>
                  <w:bottom w:val="single" w:sz="8" w:space="0" w:color="000000"/>
                  <w:right w:val="single" w:sz="8" w:space="0" w:color="000000"/>
                </w:tcBorders>
                <w:tcMar>
                  <w:top w:w="0" w:type="dxa"/>
                  <w:bottom w:w="0" w:type="dxa"/>
                </w:tcMar>
              </w:tcPr>
              <w:p w14:paraId="460156B3" w14:textId="77777777" w:rsidR="000A3D4D" w:rsidRDefault="00000000">
                <w:pPr>
                  <w:ind w:left="140" w:right="140"/>
                  <w:rPr>
                    <w:rFonts w:ascii="Times New Roman" w:eastAsia="Times New Roman" w:hAnsi="Times New Roman" w:cs="Times New Roman"/>
                  </w:rPr>
                </w:pPr>
                <w:r>
                  <w:rPr>
                    <w:rFonts w:ascii="Times New Roman" w:eastAsia="Times New Roman" w:hAnsi="Times New Roman" w:cs="Times New Roman"/>
                  </w:rPr>
                  <w:lastRenderedPageBreak/>
                  <w:t>10</w:t>
                </w:r>
              </w:p>
            </w:tc>
          </w:tr>
          <w:tr w:rsidR="000A3D4D" w14:paraId="04FD101C" w14:textId="77777777">
            <w:trPr>
              <w:trHeight w:val="1095"/>
            </w:trPr>
            <w:tc>
              <w:tcPr>
                <w:tcW w:w="3705" w:type="dxa"/>
                <w:tcBorders>
                  <w:top w:val="single" w:sz="8" w:space="0" w:color="000000"/>
                  <w:left w:val="single" w:sz="8" w:space="0" w:color="000000"/>
                  <w:bottom w:val="single" w:sz="8" w:space="0" w:color="000000"/>
                  <w:right w:val="single" w:sz="8" w:space="0" w:color="000000"/>
                </w:tcBorders>
                <w:tcMar>
                  <w:top w:w="0" w:type="dxa"/>
                  <w:bottom w:w="0" w:type="dxa"/>
                </w:tcMar>
              </w:tcPr>
              <w:p w14:paraId="777C7168" w14:textId="77777777" w:rsidR="000A3D4D" w:rsidRDefault="00000000">
                <w:pPr>
                  <w:ind w:left="140" w:right="140"/>
                </w:pPr>
                <w:r>
                  <w:t>The essay is predominately</w:t>
                </w:r>
              </w:p>
              <w:p w14:paraId="7C179C63" w14:textId="77777777" w:rsidR="000A3D4D" w:rsidRDefault="00000000">
                <w:pPr>
                  <w:ind w:left="140" w:right="140"/>
                </w:pPr>
                <w:r>
                  <w:t>critical and argumentative rather</w:t>
                </w:r>
              </w:p>
              <w:p w14:paraId="30D77AAD" w14:textId="77777777" w:rsidR="000A3D4D" w:rsidRDefault="00000000">
                <w:pPr>
                  <w:ind w:left="140" w:right="140"/>
                </w:pPr>
                <w:r>
                  <w:t>than descriptive</w:t>
                </w:r>
              </w:p>
            </w:tc>
            <w:tc>
              <w:tcPr>
                <w:tcW w:w="960" w:type="dxa"/>
                <w:tcBorders>
                  <w:top w:val="single" w:sz="8" w:space="0" w:color="000000"/>
                  <w:left w:val="single" w:sz="8" w:space="0" w:color="000000"/>
                  <w:bottom w:val="single" w:sz="8" w:space="0" w:color="000000"/>
                  <w:right w:val="single" w:sz="8" w:space="0" w:color="000000"/>
                </w:tcBorders>
                <w:tcMar>
                  <w:top w:w="0" w:type="dxa"/>
                  <w:bottom w:w="0" w:type="dxa"/>
                </w:tcMar>
              </w:tcPr>
              <w:p w14:paraId="558A0A4D" w14:textId="77777777" w:rsidR="000A3D4D" w:rsidRDefault="00000000">
                <w:pPr>
                  <w:ind w:left="140" w:right="140"/>
                </w:pPr>
                <w:r>
                  <w:t>0-10</w:t>
                </w:r>
              </w:p>
            </w:tc>
            <w:tc>
              <w:tcPr>
                <w:tcW w:w="3750" w:type="dxa"/>
                <w:tcBorders>
                  <w:top w:val="single" w:sz="8" w:space="0" w:color="000000"/>
                  <w:left w:val="single" w:sz="8" w:space="0" w:color="000000"/>
                  <w:bottom w:val="single" w:sz="8" w:space="0" w:color="000000"/>
                  <w:right w:val="single" w:sz="8" w:space="0" w:color="000000"/>
                </w:tcBorders>
                <w:tcMar>
                  <w:top w:w="0" w:type="dxa"/>
                  <w:bottom w:w="0" w:type="dxa"/>
                </w:tcMar>
              </w:tcPr>
              <w:p w14:paraId="2BBA0271" w14:textId="77777777" w:rsidR="000A3D4D" w:rsidRDefault="00000000">
                <w:pPr>
                  <w:jc w:val="center"/>
                </w:pPr>
                <w:r>
                  <w:rPr>
                    <w:rFonts w:ascii="Arial" w:eastAsia="Arial" w:hAnsi="Arial" w:cs="Arial"/>
                    <w:sz w:val="20"/>
                    <w:szCs w:val="20"/>
                  </w:rPr>
                  <w:t>The essay provides plenty of critical arguments such as the need for independent researchers to verify results in the human sciences and the value of being open-minded in the arts</w:t>
                </w:r>
              </w:p>
            </w:tc>
            <w:tc>
              <w:tcPr>
                <w:tcW w:w="1035" w:type="dxa"/>
                <w:tcBorders>
                  <w:top w:val="single" w:sz="8" w:space="0" w:color="000000"/>
                  <w:left w:val="single" w:sz="8" w:space="0" w:color="000000"/>
                  <w:bottom w:val="single" w:sz="8" w:space="0" w:color="000000"/>
                  <w:right w:val="single" w:sz="8" w:space="0" w:color="000000"/>
                </w:tcBorders>
                <w:tcMar>
                  <w:top w:w="0" w:type="dxa"/>
                  <w:bottom w:w="0" w:type="dxa"/>
                </w:tcMar>
              </w:tcPr>
              <w:p w14:paraId="19FC740F" w14:textId="77777777" w:rsidR="000A3D4D" w:rsidRDefault="00000000">
                <w:pPr>
                  <w:ind w:left="140" w:right="140"/>
                </w:pPr>
                <w:r>
                  <w:t>10</w:t>
                </w:r>
              </w:p>
            </w:tc>
          </w:tr>
          <w:tr w:rsidR="000A3D4D" w14:paraId="36529E18" w14:textId="77777777">
            <w:trPr>
              <w:trHeight w:val="1455"/>
            </w:trPr>
            <w:tc>
              <w:tcPr>
                <w:tcW w:w="3705" w:type="dxa"/>
                <w:tcBorders>
                  <w:top w:val="single" w:sz="8" w:space="0" w:color="000000"/>
                  <w:left w:val="single" w:sz="8" w:space="0" w:color="000000"/>
                  <w:bottom w:val="single" w:sz="8" w:space="0" w:color="000000"/>
                  <w:right w:val="single" w:sz="8" w:space="0" w:color="000000"/>
                </w:tcBorders>
                <w:tcMar>
                  <w:top w:w="0" w:type="dxa"/>
                  <w:bottom w:w="0" w:type="dxa"/>
                </w:tcMar>
              </w:tcPr>
              <w:p w14:paraId="7B5FBF89" w14:textId="77777777" w:rsidR="000A3D4D" w:rsidRDefault="00000000">
                <w:pPr>
                  <w:ind w:left="140" w:right="140"/>
                </w:pPr>
                <w:r>
                  <w:t>The work is well-organized with</w:t>
                </w:r>
              </w:p>
              <w:p w14:paraId="2343E1E8" w14:textId="77777777" w:rsidR="000A3D4D" w:rsidRDefault="00000000">
                <w:pPr>
                  <w:ind w:left="140" w:right="140"/>
                </w:pPr>
                <w:r>
                  <w:t>an introductory paragraph, main</w:t>
                </w:r>
              </w:p>
              <w:p w14:paraId="7E3E53EC" w14:textId="77777777" w:rsidR="000A3D4D" w:rsidRDefault="00000000">
                <w:pPr>
                  <w:ind w:left="140" w:right="140"/>
                </w:pPr>
                <w:r>
                  <w:t>body sections, and a concluding</w:t>
                </w:r>
              </w:p>
              <w:p w14:paraId="3826925A" w14:textId="77777777" w:rsidR="000A3D4D" w:rsidRDefault="00000000">
                <w:pPr>
                  <w:ind w:left="140" w:right="140"/>
                </w:pPr>
                <w:r>
                  <w:t>paragraph</w:t>
                </w:r>
              </w:p>
            </w:tc>
            <w:tc>
              <w:tcPr>
                <w:tcW w:w="960" w:type="dxa"/>
                <w:tcBorders>
                  <w:top w:val="single" w:sz="8" w:space="0" w:color="000000"/>
                  <w:left w:val="single" w:sz="8" w:space="0" w:color="000000"/>
                  <w:bottom w:val="single" w:sz="8" w:space="0" w:color="000000"/>
                  <w:right w:val="single" w:sz="8" w:space="0" w:color="000000"/>
                </w:tcBorders>
                <w:tcMar>
                  <w:top w:w="0" w:type="dxa"/>
                  <w:bottom w:w="0" w:type="dxa"/>
                </w:tcMar>
              </w:tcPr>
              <w:p w14:paraId="3AC945DC" w14:textId="77777777" w:rsidR="000A3D4D" w:rsidRDefault="00000000">
                <w:pPr>
                  <w:ind w:left="140" w:right="140"/>
                </w:pPr>
                <w:r>
                  <w:t>0-5</w:t>
                </w:r>
              </w:p>
            </w:tc>
            <w:tc>
              <w:tcPr>
                <w:tcW w:w="3750" w:type="dxa"/>
                <w:tcBorders>
                  <w:top w:val="single" w:sz="8" w:space="0" w:color="000000"/>
                  <w:left w:val="single" w:sz="8" w:space="0" w:color="000000"/>
                  <w:bottom w:val="single" w:sz="8" w:space="0" w:color="000000"/>
                  <w:right w:val="single" w:sz="8" w:space="0" w:color="000000"/>
                </w:tcBorders>
                <w:tcMar>
                  <w:top w:w="0" w:type="dxa"/>
                  <w:bottom w:w="0" w:type="dxa"/>
                </w:tcMar>
              </w:tcPr>
              <w:p w14:paraId="5689E77B" w14:textId="77777777" w:rsidR="000A3D4D" w:rsidRDefault="00000000">
                <w:pPr>
                  <w:jc w:val="center"/>
                </w:pPr>
                <w:r>
                  <w:rPr>
                    <w:rFonts w:ascii="Arial" w:eastAsia="Arial" w:hAnsi="Arial" w:cs="Arial"/>
                    <w:sz w:val="20"/>
                    <w:szCs w:val="20"/>
                  </w:rPr>
                  <w:t>The work is structured well with an introductory paragraph talking about the good and bad interpretations. After the introductory paragraph, the essay introduces the two areas of knowledge which are the arts and human sciences giving examples and arguments for both. The work is then concluded with a final paragraph that argues that perspectives bring distinct interpretations in the search for conclusions for both areas of knowledge used in this essay.The work contains a bibliography section but does not cite the source at the point of use (i.e. in-text citations).</w:t>
                </w:r>
              </w:p>
            </w:tc>
            <w:tc>
              <w:tcPr>
                <w:tcW w:w="1035" w:type="dxa"/>
                <w:tcBorders>
                  <w:top w:val="single" w:sz="8" w:space="0" w:color="000000"/>
                  <w:left w:val="single" w:sz="8" w:space="0" w:color="000000"/>
                  <w:bottom w:val="single" w:sz="8" w:space="0" w:color="000000"/>
                  <w:right w:val="single" w:sz="8" w:space="0" w:color="000000"/>
                </w:tcBorders>
                <w:tcMar>
                  <w:top w:w="0" w:type="dxa"/>
                  <w:bottom w:w="0" w:type="dxa"/>
                </w:tcMar>
              </w:tcPr>
              <w:p w14:paraId="03823C5E" w14:textId="77777777" w:rsidR="000A3D4D" w:rsidRDefault="00000000">
                <w:pPr>
                  <w:ind w:left="140" w:right="140"/>
                </w:pPr>
                <w:r>
                  <w:t>3</w:t>
                </w:r>
              </w:p>
            </w:tc>
          </w:tr>
        </w:tbl>
      </w:sdtContent>
    </w:sdt>
    <w:p w14:paraId="1A87BE30" w14:textId="77777777" w:rsidR="000A3D4D" w:rsidRDefault="000A3D4D">
      <w:pPr>
        <w:spacing w:after="240"/>
      </w:pPr>
    </w:p>
    <w:p w14:paraId="6497E524" w14:textId="77777777" w:rsidR="000A3D4D" w:rsidRDefault="00000000">
      <w:pPr>
        <w:spacing w:after="240"/>
      </w:pPr>
      <w:r>
        <w:t>Total points: 8 / 10</w:t>
      </w:r>
    </w:p>
    <w:p w14:paraId="323E8EA4" w14:textId="77777777" w:rsidR="000A3D4D" w:rsidRDefault="000A3D4D">
      <w:pPr>
        <w:spacing w:after="240"/>
      </w:pPr>
    </w:p>
    <w:sectPr w:rsidR="000A3D4D">
      <w:pgSz w:w="12240" w:h="15840"/>
      <w:pgMar w:top="1440" w:right="1800" w:bottom="1440" w:left="18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Georgia">
    <w:panose1 w:val="02040502050405020303"/>
    <w:charset w:val="EE"/>
    <w:family w:val="roman"/>
    <w:pitch w:val="variable"/>
    <w:sig w:usb0="00000287" w:usb1="00000000" w:usb2="00000000" w:usb3="00000000" w:csb0="0000009F" w:csb1="00000000"/>
  </w:font>
  <w:font w:name="Times New Roman">
    <w:panose1 w:val="02020603050405020304"/>
    <w:charset w:val="EE"/>
    <w:family w:val="roman"/>
    <w:pitch w:val="variable"/>
    <w:sig w:usb0="E0002EFF" w:usb1="C000785B" w:usb2="00000009" w:usb3="00000000" w:csb0="000001FF" w:csb1="00000000"/>
  </w:font>
  <w:font w:name="Consolas">
    <w:panose1 w:val="020B0609020204030204"/>
    <w:charset w:val="EE"/>
    <w:family w:val="modern"/>
    <w:pitch w:val="fixed"/>
    <w:sig w:usb0="E00006FF" w:usb1="0000FCFF" w:usb2="00000001" w:usb3="00000000" w:csb0="0000019F" w:csb1="00000000"/>
  </w:font>
  <w:font w:name="Arial">
    <w:panose1 w:val="020B0604020202020204"/>
    <w:charset w:val="EE"/>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3D4D"/>
    <w:rsid w:val="000A3D4D"/>
    <w:rsid w:val="00E368DF"/>
    <w:rsid w:val="00EB2C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BE7654"/>
  <w15:docId w15:val="{97466B0C-E557-4ABA-9D2E-CFF46C8075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Georgia" w:eastAsia="Georgia" w:hAnsi="Georgia" w:cs="Georgia"/>
        <w:sz w:val="22"/>
        <w:szCs w:val="22"/>
        <w:lang w:val="en-US" w:eastAsia="en-US" w:bidi="ar-SA"/>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pPr>
    <w:rPr>
      <w:b/>
      <w:sz w:val="72"/>
      <w:szCs w:val="72"/>
    </w:rPr>
  </w:style>
  <w:style w:type="character" w:customStyle="1" w:styleId="VerbatimChar">
    <w:name w:val="Verbatim Char"/>
    <w:rPr>
      <w:rFonts w:ascii="Consolas" w:hAnsi="Consolas"/>
      <w:sz w:val="22"/>
    </w:rPr>
  </w:style>
  <w:style w:type="table" w:styleId="TableGrid">
    <w:name w:val="Table Grid"/>
    <w:basedOn w:val="TableNormal"/>
    <w:uiPriority w:val="39"/>
    <w:rsid w:val="00DC7683"/>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DC7683"/>
    <w:pPr>
      <w:spacing w:before="100" w:beforeAutospacing="1" w:after="100" w:afterAutospacing="1"/>
    </w:pPr>
    <w:rPr>
      <w:rFonts w:ascii="Times New Roman" w:eastAsia="Times New Roman" w:hAnsi="Times New Roman" w:cs="Times New Roman"/>
      <w:sz w:val="24"/>
      <w:szCs w:val="24"/>
      <w:lang w:eastAsia="en-GB"/>
    </w:rPr>
  </w:style>
  <w:style w:type="paragraph" w:customStyle="1" w:styleId="muitypography-root">
    <w:name w:val="muitypography-root"/>
    <w:basedOn w:val="Normal"/>
    <w:rsid w:val="00DC7683"/>
    <w:pPr>
      <w:spacing w:before="100" w:beforeAutospacing="1" w:after="100" w:afterAutospacing="1"/>
    </w:pPr>
    <w:rPr>
      <w:rFonts w:ascii="Times New Roman" w:eastAsia="Times New Roman" w:hAnsi="Times New Roman" w:cs="Times New Roman"/>
      <w:sz w:val="24"/>
      <w:szCs w:val="24"/>
      <w:lang w:eastAsia="en-GB"/>
    </w:rPr>
  </w:style>
  <w:style w:type="character" w:customStyle="1" w:styleId="apple-converted-space">
    <w:name w:val="apple-converted-space"/>
    <w:basedOn w:val="DefaultParagraphFont"/>
    <w:rsid w:val="00DC7683"/>
  </w:style>
  <w:style w:type="paragraph" w:styleId="Subtitle">
    <w:name w:val="Subtitle"/>
    <w:basedOn w:val="Normal"/>
    <w:next w:val="Normal"/>
    <w:uiPriority w:val="11"/>
    <w:qFormat/>
    <w:pPr>
      <w:keepNext/>
      <w:keepLines/>
      <w:spacing w:before="360" w:after="80"/>
    </w:pPr>
    <w:rPr>
      <w:i/>
      <w:color w:val="666666"/>
      <w:sz w:val="48"/>
      <w:szCs w:val="48"/>
    </w:rPr>
  </w:style>
  <w:style w:type="table" w:customStyle="1" w:styleId="a">
    <w:basedOn w:val="TableNormal"/>
    <w:pPr>
      <w:spacing w:after="0"/>
    </w:pPr>
    <w:tblPr>
      <w:tblStyleRowBandSize w:val="1"/>
      <w:tblStyleColBandSize w:val="1"/>
    </w:tblPr>
  </w:style>
  <w:style w:type="table" w:customStyle="1" w:styleId="a0">
    <w:basedOn w:val="TableNormal"/>
    <w:pPr>
      <w:spacing w:after="0"/>
    </w:pPr>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yperlink" Target="https://www.bbc.com/news/uk-england-london-47404529" TargetMode="External"/><Relationship Id="rId13" Type="http://schemas.openxmlformats.org/officeDocument/2006/relationships/hyperlink" Target="https://www.ted.com/talks/el_seed_street_art_with_a_message_of_hope_and_peace/transcript?re" TargetMode="External"/><Relationship Id="rId18" Type="http://schemas.openxmlformats.org/officeDocument/2006/relationships/hyperlink" Target="http://psychologistworld.com"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library.nhsggc.org.uk/mediaAssets/Mental%20Health%20Partnership/Transmission%20of" TargetMode="External"/><Relationship Id="rId12" Type="http://schemas.openxmlformats.org/officeDocument/2006/relationships/hyperlink" Target="http://www.ted.com" TargetMode="External"/><Relationship Id="rId17" Type="http://schemas.openxmlformats.org/officeDocument/2006/relationships/hyperlink" Target="https://www.thoughtco.com/social-cognitive-theory-4174567" TargetMode="External"/><Relationship Id="rId2" Type="http://schemas.openxmlformats.org/officeDocument/2006/relationships/styles" Target="styles.xml"/><Relationship Id="rId16" Type="http://schemas.openxmlformats.org/officeDocument/2006/relationships/hyperlink" Target="https://www.vans.co.uk/thewall/art/is-graffiti-art-or-vandalism.html"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www.ted.com/talks/dan_ariely_beware_conflicts_of_interest/transcript" TargetMode="External"/><Relationship Id="rId11" Type="http://schemas.openxmlformats.org/officeDocument/2006/relationships/hyperlink" Target="https://www.ted.com/talks/margaret_heffernan_dare_to_disagree/transcript" TargetMode="External"/><Relationship Id="rId5" Type="http://schemas.openxmlformats.org/officeDocument/2006/relationships/hyperlink" Target="http://www.ted.com" TargetMode="External"/><Relationship Id="rId15" Type="http://schemas.openxmlformats.org/officeDocument/2006/relationships/hyperlink" Target="http://www.vans.co.uk" TargetMode="External"/><Relationship Id="rId10" Type="http://schemas.openxmlformats.org/officeDocument/2006/relationships/hyperlink" Target="http://www.ted.com" TargetMode="External"/><Relationship Id="rId19" Type="http://schemas.openxmlformats.org/officeDocument/2006/relationships/hyperlink" Target="https://www.psychologistworld.com/behavior/compliance/strategies/foot-in-door-technique" TargetMode="External"/><Relationship Id="rId4" Type="http://schemas.openxmlformats.org/officeDocument/2006/relationships/webSettings" Target="webSettings.xml"/><Relationship Id="rId9" Type="http://schemas.openxmlformats.org/officeDocument/2006/relationships/hyperlink" Target="https://www.theguardian.com/artanddesign/2018/jun/23/vandalism-or-art-graffiti-artists-deaths-r" TargetMode="External"/><Relationship Id="rId14" Type="http://schemas.openxmlformats.org/officeDocument/2006/relationships/hyperlink" Target="https://www.theodysseyonline.com/street-art-ha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1rqYvKkKU3Om157xik28W8grdmg==">CgMxLjAaHgoBMBIZChcICVITChF0YWJsZS51MnpjczRqbGd5ajgAciExWTNTMUpRUC1QR2p2eUlzSERXVVJ5enFBTlhEUGZwSmc=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2645</Words>
  <Characters>15078</Characters>
  <Application>Microsoft Office Word</Application>
  <DocSecurity>0</DocSecurity>
  <Lines>125</Lines>
  <Paragraphs>35</Paragraphs>
  <ScaleCrop>false</ScaleCrop>
  <Company/>
  <LinksUpToDate>false</LinksUpToDate>
  <CharactersWithSpaces>17688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html-to-docx</dc:creator>
  <cp:lastModifiedBy>Jacek Cieślak</cp:lastModifiedBy>
  <cp:revision>2</cp:revision>
  <dcterms:created xsi:type="dcterms:W3CDTF">2024-08-06T07:04:00Z</dcterms:created>
  <dcterms:modified xsi:type="dcterms:W3CDTF">2024-08-28T08:48:00Z</dcterms:modified>
</cp:coreProperties>
</file>