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300B4" w14:textId="77777777" w:rsidR="005028A8" w:rsidRDefault="000B757D">
      <w:pPr>
        <w:pStyle w:val="BodyText"/>
        <w:spacing w:before="9"/>
        <w:rPr>
          <w:rFonts w:ascii="Times New Roman"/>
          <w:b w:val="0"/>
          <w:sz w:val="18"/>
          <w:u w:val="none"/>
        </w:rPr>
      </w:pPr>
      <w:r>
        <w:rPr>
          <w:rFonts w:ascii="Times New Roman"/>
          <w:b w:val="0"/>
          <w:sz w:val="18"/>
          <w:u w:val="none"/>
        </w:rPr>
        <w:t>Update</w:t>
      </w:r>
      <w:r w:rsidR="00840491">
        <w:rPr>
          <w:rFonts w:ascii="Times New Roman"/>
          <w:b w:val="0"/>
          <w:sz w:val="18"/>
          <w:u w:val="none"/>
        </w:rPr>
        <w:t>d</w:t>
      </w:r>
      <w:r>
        <w:rPr>
          <w:rFonts w:ascii="Times New Roman"/>
          <w:b w:val="0"/>
          <w:sz w:val="18"/>
          <w:u w:val="none"/>
        </w:rPr>
        <w:t xml:space="preserve"> 4.30.2019</w:t>
      </w:r>
    </w:p>
    <w:p w14:paraId="5E6ECD9C" w14:textId="77777777" w:rsidR="005028A8" w:rsidRDefault="00280A7B">
      <w:pPr>
        <w:pStyle w:val="BodyText"/>
        <w:spacing w:before="57"/>
        <w:ind w:left="4168" w:right="4287" w:hanging="3"/>
        <w:jc w:val="center"/>
        <w:rPr>
          <w:u w:val="none"/>
        </w:rPr>
      </w:pPr>
      <w:r>
        <w:t xml:space="preserve">Therapeutic Efficacy Survey </w:t>
      </w:r>
      <w:r>
        <w:rPr>
          <w:u w:val="none"/>
        </w:rPr>
        <w:t>QA/QC Checklist (participant)</w:t>
      </w:r>
    </w:p>
    <w:p w14:paraId="5BD2B9CE" w14:textId="77777777" w:rsidR="005028A8" w:rsidRDefault="005028A8">
      <w:pPr>
        <w:spacing w:before="10"/>
        <w:rPr>
          <w:b/>
          <w:sz w:val="21"/>
        </w:rPr>
      </w:pPr>
    </w:p>
    <w:p w14:paraId="3E2EEF66" w14:textId="104F4145" w:rsidR="005028A8" w:rsidRDefault="00280A7B">
      <w:pPr>
        <w:pStyle w:val="BodyText"/>
        <w:ind w:left="120" w:right="276"/>
        <w:rPr>
          <w:u w:val="none"/>
        </w:rPr>
      </w:pPr>
      <w:r>
        <w:rPr>
          <w:u w:val="none"/>
        </w:rPr>
        <w:t>Instructions</w:t>
      </w:r>
      <w:r w:rsidR="0027504E">
        <w:rPr>
          <w:u w:val="none"/>
        </w:rPr>
        <w:t>a</w:t>
      </w:r>
      <w:bookmarkStart w:id="0" w:name="_GoBack"/>
      <w:bookmarkEnd w:id="0"/>
    </w:p>
    <w:p w14:paraId="29A2F48C" w14:textId="77777777" w:rsidR="005028A8" w:rsidRDefault="005028A8">
      <w:pPr>
        <w:rPr>
          <w:b/>
        </w:rPr>
      </w:pPr>
    </w:p>
    <w:p w14:paraId="6B8C6630" w14:textId="77777777" w:rsidR="005028A8" w:rsidRDefault="00280A7B">
      <w:pPr>
        <w:pStyle w:val="BodyText"/>
        <w:tabs>
          <w:tab w:val="left" w:pos="4003"/>
        </w:tabs>
        <w:ind w:left="120"/>
        <w:rPr>
          <w:u w:val="none"/>
        </w:rPr>
      </w:pPr>
      <w:r>
        <w:rPr>
          <w:u w:val="none"/>
        </w:rPr>
        <w:t>Participant</w:t>
      </w:r>
      <w:r>
        <w:rPr>
          <w:spacing w:val="-1"/>
          <w:u w:val="none"/>
        </w:rPr>
        <w:t xml:space="preserve"> </w:t>
      </w:r>
      <w:r>
        <w:rPr>
          <w:u w:val="none"/>
        </w:rPr>
        <w:t>ID#:</w:t>
      </w:r>
      <w:r>
        <w:rPr>
          <w:spacing w:val="-1"/>
          <w:u w:val="none"/>
        </w:rPr>
        <w:t xml:space="preserve"> </w:t>
      </w:r>
      <w:r>
        <w:rPr>
          <w:u w:val="thick"/>
        </w:rPr>
        <w:t xml:space="preserve"> </w:t>
      </w:r>
      <w:r>
        <w:rPr>
          <w:u w:val="thick"/>
        </w:rPr>
        <w:tab/>
      </w:r>
    </w:p>
    <w:p w14:paraId="04393CA6" w14:textId="77777777" w:rsidR="005028A8" w:rsidRDefault="005028A8">
      <w:pPr>
        <w:spacing w:before="5"/>
        <w:rPr>
          <w:b/>
          <w:sz w:val="17"/>
        </w:rPr>
      </w:pPr>
    </w:p>
    <w:p w14:paraId="22D84D80" w14:textId="77777777" w:rsidR="005028A8" w:rsidRDefault="00280A7B">
      <w:pPr>
        <w:pStyle w:val="BodyText"/>
        <w:tabs>
          <w:tab w:val="left" w:pos="4396"/>
          <w:tab w:val="left" w:pos="4847"/>
          <w:tab w:val="left" w:pos="9810"/>
        </w:tabs>
        <w:spacing w:before="56"/>
        <w:ind w:left="120"/>
        <w:rPr>
          <w:u w:val="none"/>
        </w:rPr>
      </w:pPr>
      <w:r>
        <w:rPr>
          <w:u w:val="none"/>
        </w:rPr>
        <w:t>Name</w:t>
      </w:r>
      <w:r>
        <w:rPr>
          <w:spacing w:val="-2"/>
          <w:u w:val="none"/>
        </w:rPr>
        <w:t xml:space="preserve"> </w:t>
      </w:r>
      <w:r>
        <w:rPr>
          <w:u w:val="none"/>
        </w:rPr>
        <w:t>of</w:t>
      </w:r>
      <w:r>
        <w:rPr>
          <w:spacing w:val="-1"/>
          <w:u w:val="none"/>
        </w:rPr>
        <w:t xml:space="preserve"> </w:t>
      </w:r>
      <w:r>
        <w:rPr>
          <w:u w:val="none"/>
        </w:rPr>
        <w:t>site:</w:t>
      </w:r>
      <w:r>
        <w:rPr>
          <w:u w:val="thick"/>
        </w:rPr>
        <w:t xml:space="preserve"> </w:t>
      </w:r>
      <w:r>
        <w:rPr>
          <w:u w:val="thick"/>
        </w:rPr>
        <w:tab/>
      </w:r>
      <w:r>
        <w:rPr>
          <w:u w:val="none"/>
        </w:rPr>
        <w:tab/>
        <w:t>Principal investigator of</w:t>
      </w:r>
      <w:r>
        <w:rPr>
          <w:spacing w:val="-14"/>
          <w:u w:val="none"/>
        </w:rPr>
        <w:t xml:space="preserve"> </w:t>
      </w:r>
      <w:r>
        <w:rPr>
          <w:u w:val="none"/>
        </w:rPr>
        <w:t>site:</w:t>
      </w:r>
      <w:r>
        <w:rPr>
          <w:spacing w:val="-1"/>
          <w:u w:val="none"/>
        </w:rPr>
        <w:t xml:space="preserve"> </w:t>
      </w:r>
      <w:r>
        <w:rPr>
          <w:u w:val="thick"/>
        </w:rPr>
        <w:t xml:space="preserve"> </w:t>
      </w:r>
      <w:r>
        <w:rPr>
          <w:u w:val="thick"/>
        </w:rPr>
        <w:tab/>
      </w:r>
    </w:p>
    <w:p w14:paraId="5F21ECE2" w14:textId="77777777" w:rsidR="005028A8" w:rsidRDefault="005028A8">
      <w:pPr>
        <w:spacing w:before="2"/>
        <w:rPr>
          <w:b/>
          <w:sz w:val="17"/>
        </w:rPr>
      </w:pPr>
    </w:p>
    <w:p w14:paraId="33897B96" w14:textId="77777777" w:rsidR="005028A8" w:rsidRDefault="00280A7B">
      <w:pPr>
        <w:pStyle w:val="BodyText"/>
        <w:tabs>
          <w:tab w:val="left" w:pos="4413"/>
          <w:tab w:val="left" w:pos="4812"/>
          <w:tab w:val="left" w:pos="7948"/>
          <w:tab w:val="left" w:pos="8591"/>
          <w:tab w:val="left" w:pos="9235"/>
        </w:tabs>
        <w:spacing w:before="57"/>
        <w:ind w:left="120"/>
        <w:rPr>
          <w:u w:val="none"/>
        </w:rPr>
      </w:pPr>
      <w:r>
        <w:rPr>
          <w:u w:val="none"/>
        </w:rPr>
        <w:t>Checklist</w:t>
      </w:r>
      <w:r>
        <w:rPr>
          <w:spacing w:val="-3"/>
          <w:u w:val="none"/>
        </w:rPr>
        <w:t xml:space="preserve"> </w:t>
      </w:r>
      <w:r>
        <w:rPr>
          <w:u w:val="none"/>
        </w:rPr>
        <w:t>conducted</w:t>
      </w:r>
      <w:r>
        <w:rPr>
          <w:spacing w:val="-2"/>
          <w:u w:val="none"/>
        </w:rPr>
        <w:t xml:space="preserve"> </w:t>
      </w:r>
      <w:r>
        <w:rPr>
          <w:u w:val="none"/>
        </w:rPr>
        <w:t>by:</w:t>
      </w:r>
      <w:r>
        <w:rPr>
          <w:u w:val="thick"/>
        </w:rPr>
        <w:t xml:space="preserve"> </w:t>
      </w:r>
      <w:r>
        <w:rPr>
          <w:u w:val="thick"/>
        </w:rPr>
        <w:tab/>
      </w:r>
      <w:r>
        <w:rPr>
          <w:u w:val="none"/>
        </w:rPr>
        <w:tab/>
        <w:t>Date(s) of</w:t>
      </w:r>
      <w:r>
        <w:rPr>
          <w:spacing w:val="-6"/>
          <w:u w:val="none"/>
        </w:rPr>
        <w:t xml:space="preserve"> </w:t>
      </w:r>
      <w:r>
        <w:rPr>
          <w:u w:val="none"/>
        </w:rPr>
        <w:t>visit</w:t>
      </w:r>
      <w:r>
        <w:rPr>
          <w:spacing w:val="-2"/>
          <w:u w:val="none"/>
        </w:rPr>
        <w:t xml:space="preserve"> </w:t>
      </w:r>
      <w:r>
        <w:rPr>
          <w:u w:val="none"/>
        </w:rPr>
        <w:t>(MM/DD/YY):</w:t>
      </w:r>
      <w:r>
        <w:rPr>
          <w:u w:val="thick"/>
        </w:rPr>
        <w:t xml:space="preserve"> </w:t>
      </w:r>
      <w:r>
        <w:rPr>
          <w:u w:val="thick"/>
        </w:rPr>
        <w:tab/>
      </w:r>
      <w:r>
        <w:rPr>
          <w:u w:val="none"/>
        </w:rPr>
        <w:t>/</w:t>
      </w:r>
      <w:r>
        <w:rPr>
          <w:u w:val="thick"/>
        </w:rPr>
        <w:t xml:space="preserve"> </w:t>
      </w:r>
      <w:r>
        <w:rPr>
          <w:u w:val="thick"/>
        </w:rPr>
        <w:tab/>
      </w:r>
      <w:r>
        <w:rPr>
          <w:u w:val="none"/>
        </w:rPr>
        <w:t>/</w:t>
      </w:r>
      <w:r>
        <w:rPr>
          <w:u w:val="thick"/>
        </w:rPr>
        <w:t xml:space="preserve"> </w:t>
      </w:r>
      <w:r>
        <w:rPr>
          <w:u w:val="thick"/>
        </w:rPr>
        <w:tab/>
      </w:r>
    </w:p>
    <w:p w14:paraId="3C56E908" w14:textId="77777777" w:rsidR="005028A8" w:rsidRDefault="005028A8">
      <w:pPr>
        <w:rPr>
          <w:b/>
          <w:sz w:val="20"/>
        </w:rPr>
      </w:pPr>
    </w:p>
    <w:p w14:paraId="6D36B2F1" w14:textId="77777777" w:rsidR="005028A8" w:rsidRDefault="005028A8">
      <w:pPr>
        <w:spacing w:before="1"/>
        <w:rPr>
          <w:b/>
          <w:sz w:val="17"/>
        </w:rPr>
      </w:pPr>
    </w:p>
    <w:p w14:paraId="667BBBFD" w14:textId="77777777" w:rsidR="005028A8" w:rsidRDefault="00280A7B">
      <w:pPr>
        <w:pStyle w:val="ListParagraph"/>
        <w:numPr>
          <w:ilvl w:val="0"/>
          <w:numId w:val="2"/>
        </w:numPr>
        <w:tabs>
          <w:tab w:val="left" w:pos="480"/>
        </w:tabs>
        <w:ind w:hanging="359"/>
        <w:rPr>
          <w:b/>
        </w:rPr>
      </w:pPr>
      <w:r>
        <w:rPr>
          <w:b/>
        </w:rPr>
        <w:t>Study</w:t>
      </w:r>
      <w:r>
        <w:rPr>
          <w:b/>
          <w:spacing w:val="-2"/>
        </w:rPr>
        <w:t xml:space="preserve"> </w:t>
      </w:r>
      <w:r>
        <w:rPr>
          <w:b/>
        </w:rPr>
        <w:t>Forms</w: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4"/>
        <w:gridCol w:w="559"/>
        <w:gridCol w:w="542"/>
        <w:gridCol w:w="4735"/>
      </w:tblGrid>
      <w:tr w:rsidR="005028A8" w14:paraId="115E451C" w14:textId="77777777">
        <w:trPr>
          <w:trHeight w:hRule="exact" w:val="365"/>
        </w:trPr>
        <w:tc>
          <w:tcPr>
            <w:tcW w:w="5064" w:type="dxa"/>
            <w:tcBorders>
              <w:bottom w:val="nil"/>
            </w:tcBorders>
            <w:shd w:val="clear" w:color="auto" w:fill="4F81BD"/>
          </w:tcPr>
          <w:p w14:paraId="33E7BD3D" w14:textId="77777777" w:rsidR="005028A8" w:rsidRDefault="005028A8"/>
        </w:tc>
        <w:tc>
          <w:tcPr>
            <w:tcW w:w="559" w:type="dxa"/>
            <w:tcBorders>
              <w:bottom w:val="nil"/>
            </w:tcBorders>
            <w:shd w:val="clear" w:color="auto" w:fill="4F81BD"/>
          </w:tcPr>
          <w:p w14:paraId="5C53AF51" w14:textId="77777777" w:rsidR="005028A8" w:rsidRDefault="00280A7B">
            <w:pPr>
              <w:pStyle w:val="TableParagraph"/>
              <w:spacing w:before="40"/>
              <w:ind w:left="117"/>
              <w:rPr>
                <w:b/>
              </w:rPr>
            </w:pPr>
            <w:r>
              <w:rPr>
                <w:b/>
                <w:color w:val="FFFFFF"/>
              </w:rPr>
              <w:t>Yes</w:t>
            </w:r>
          </w:p>
        </w:tc>
        <w:tc>
          <w:tcPr>
            <w:tcW w:w="542" w:type="dxa"/>
            <w:tcBorders>
              <w:bottom w:val="nil"/>
            </w:tcBorders>
            <w:shd w:val="clear" w:color="auto" w:fill="4F81BD"/>
          </w:tcPr>
          <w:p w14:paraId="11798E52" w14:textId="77777777" w:rsidR="005028A8" w:rsidRDefault="00280A7B">
            <w:pPr>
              <w:pStyle w:val="TableParagraph"/>
              <w:spacing w:before="40"/>
              <w:ind w:left="134"/>
              <w:rPr>
                <w:b/>
              </w:rPr>
            </w:pPr>
            <w:r>
              <w:rPr>
                <w:b/>
                <w:color w:val="FFFFFF"/>
              </w:rPr>
              <w:t>No</w:t>
            </w:r>
          </w:p>
        </w:tc>
        <w:tc>
          <w:tcPr>
            <w:tcW w:w="4735" w:type="dxa"/>
            <w:tcBorders>
              <w:bottom w:val="nil"/>
            </w:tcBorders>
            <w:shd w:val="clear" w:color="auto" w:fill="4F81BD"/>
          </w:tcPr>
          <w:p w14:paraId="7F5595BC" w14:textId="77777777" w:rsidR="005028A8" w:rsidRDefault="00280A7B">
            <w:pPr>
              <w:pStyle w:val="TableParagraph"/>
              <w:spacing w:before="40"/>
              <w:ind w:left="1850" w:right="1849"/>
              <w:jc w:val="center"/>
              <w:rPr>
                <w:b/>
              </w:rPr>
            </w:pPr>
            <w:r>
              <w:rPr>
                <w:b/>
                <w:color w:val="FFFFFF"/>
              </w:rPr>
              <w:t>Comments</w:t>
            </w:r>
          </w:p>
        </w:tc>
      </w:tr>
      <w:tr w:rsidR="005028A8" w14:paraId="2FD2CB5B" w14:textId="77777777" w:rsidTr="00E65035">
        <w:trPr>
          <w:trHeight w:hRule="exact" w:val="1330"/>
        </w:trPr>
        <w:tc>
          <w:tcPr>
            <w:tcW w:w="506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688E07BB" w14:textId="77777777" w:rsidR="005028A8" w:rsidRDefault="00280A7B">
            <w:pPr>
              <w:pStyle w:val="TableParagraph"/>
              <w:spacing w:before="169"/>
              <w:ind w:left="98" w:right="264"/>
              <w:rPr>
                <w:i/>
                <w:sz w:val="20"/>
              </w:rPr>
            </w:pPr>
            <w:r>
              <w:rPr>
                <w:sz w:val="20"/>
              </w:rPr>
              <w:t xml:space="preserve">1) All study forms are present in the participant’s folder. </w:t>
            </w:r>
            <w:r>
              <w:rPr>
                <w:i/>
                <w:sz w:val="20"/>
              </w:rPr>
              <w:t>See protocol for specified required forms including consent/assent forms, screening forms, Day 0 enrollment, days of follow-up, and final classification form.</w:t>
            </w:r>
            <w:r w:rsidR="0054248B">
              <w:rPr>
                <w:i/>
                <w:sz w:val="20"/>
              </w:rPr>
              <w:t xml:space="preserve"> </w:t>
            </w:r>
          </w:p>
          <w:p w14:paraId="2BCB727E" w14:textId="77777777" w:rsidR="0054248B" w:rsidRDefault="0054248B">
            <w:pPr>
              <w:pStyle w:val="TableParagraph"/>
              <w:spacing w:before="169"/>
              <w:ind w:left="98" w:right="264"/>
              <w:rPr>
                <w:i/>
                <w:sz w:val="20"/>
              </w:rPr>
            </w:pPr>
          </w:p>
        </w:tc>
        <w:tc>
          <w:tcPr>
            <w:tcW w:w="559" w:type="dxa"/>
            <w:tcBorders>
              <w:top w:val="single" w:sz="8" w:space="0" w:color="4F81BD"/>
              <w:bottom w:val="single" w:sz="8" w:space="0" w:color="4F81BD"/>
            </w:tcBorders>
          </w:tcPr>
          <w:p w14:paraId="36F41248" w14:textId="77777777" w:rsidR="005028A8" w:rsidRDefault="005028A8"/>
        </w:tc>
        <w:tc>
          <w:tcPr>
            <w:tcW w:w="542" w:type="dxa"/>
            <w:tcBorders>
              <w:top w:val="single" w:sz="8" w:space="0" w:color="4F81BD"/>
              <w:bottom w:val="single" w:sz="8" w:space="0" w:color="4F81BD"/>
            </w:tcBorders>
          </w:tcPr>
          <w:p w14:paraId="4C6E2B13" w14:textId="77777777" w:rsidR="005028A8" w:rsidRDefault="005028A8"/>
        </w:tc>
        <w:tc>
          <w:tcPr>
            <w:tcW w:w="473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3977465A" w14:textId="77777777" w:rsidR="005028A8" w:rsidRDefault="005028A8"/>
        </w:tc>
      </w:tr>
      <w:tr w:rsidR="005028A8" w14:paraId="064B2C33" w14:textId="77777777">
        <w:trPr>
          <w:trHeight w:hRule="exact" w:val="991"/>
        </w:trPr>
        <w:tc>
          <w:tcPr>
            <w:tcW w:w="5064" w:type="dxa"/>
            <w:tcBorders>
              <w:top w:val="single" w:sz="8" w:space="0" w:color="4F81BD"/>
              <w:bottom w:val="single" w:sz="8" w:space="0" w:color="4F81BD"/>
            </w:tcBorders>
          </w:tcPr>
          <w:p w14:paraId="44D021AC" w14:textId="77777777" w:rsidR="005028A8" w:rsidRDefault="00280A7B">
            <w:pPr>
              <w:pStyle w:val="TableParagraph"/>
              <w:spacing w:before="121"/>
              <w:ind w:right="203"/>
              <w:rPr>
                <w:sz w:val="20"/>
              </w:rPr>
            </w:pPr>
            <w:r>
              <w:rPr>
                <w:sz w:val="20"/>
              </w:rPr>
              <w:t>2) The screening form indicates that the participant meets all study entry criteria according to the study protocol for inclusion and exclusion.</w:t>
            </w:r>
          </w:p>
        </w:tc>
        <w:tc>
          <w:tcPr>
            <w:tcW w:w="559" w:type="dxa"/>
            <w:tcBorders>
              <w:top w:val="single" w:sz="8" w:space="0" w:color="4F81BD"/>
              <w:bottom w:val="single" w:sz="8" w:space="0" w:color="4F81BD"/>
            </w:tcBorders>
          </w:tcPr>
          <w:p w14:paraId="7FA8A57D" w14:textId="77777777" w:rsidR="005028A8" w:rsidRDefault="005028A8"/>
        </w:tc>
        <w:tc>
          <w:tcPr>
            <w:tcW w:w="542" w:type="dxa"/>
            <w:tcBorders>
              <w:top w:val="single" w:sz="8" w:space="0" w:color="4F81BD"/>
              <w:bottom w:val="single" w:sz="8" w:space="0" w:color="4F81BD"/>
            </w:tcBorders>
          </w:tcPr>
          <w:p w14:paraId="03E19CBB" w14:textId="77777777" w:rsidR="005028A8" w:rsidRDefault="005028A8"/>
        </w:tc>
        <w:tc>
          <w:tcPr>
            <w:tcW w:w="4735" w:type="dxa"/>
            <w:tcBorders>
              <w:top w:val="single" w:sz="8" w:space="0" w:color="4F81BD"/>
              <w:bottom w:val="single" w:sz="8" w:space="0" w:color="4F81BD"/>
            </w:tcBorders>
          </w:tcPr>
          <w:p w14:paraId="01467034" w14:textId="77777777" w:rsidR="005028A8" w:rsidRDefault="005028A8"/>
        </w:tc>
      </w:tr>
      <w:tr w:rsidR="005028A8" w14:paraId="6E43C683" w14:textId="77777777" w:rsidTr="00E65035">
        <w:trPr>
          <w:trHeight w:hRule="exact" w:val="448"/>
        </w:trPr>
        <w:tc>
          <w:tcPr>
            <w:tcW w:w="506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0CEB4193" w14:textId="77777777" w:rsidR="005028A8" w:rsidRDefault="00280A7B" w:rsidP="00145B44">
            <w:pPr>
              <w:pStyle w:val="TableParagraph"/>
              <w:spacing w:before="11"/>
              <w:ind w:left="98" w:right="163"/>
              <w:rPr>
                <w:sz w:val="20"/>
              </w:rPr>
            </w:pPr>
            <w:r>
              <w:rPr>
                <w:sz w:val="20"/>
              </w:rPr>
              <w:t>3) Con</w:t>
            </w:r>
            <w:r w:rsidR="000B757D">
              <w:rPr>
                <w:sz w:val="20"/>
              </w:rPr>
              <w:t>sent/Assent forms are completed</w:t>
            </w:r>
          </w:p>
        </w:tc>
        <w:tc>
          <w:tcPr>
            <w:tcW w:w="559" w:type="dxa"/>
            <w:tcBorders>
              <w:top w:val="single" w:sz="8" w:space="0" w:color="4F81BD"/>
              <w:bottom w:val="single" w:sz="8" w:space="0" w:color="4F81BD"/>
            </w:tcBorders>
          </w:tcPr>
          <w:p w14:paraId="383F6759" w14:textId="77777777" w:rsidR="005028A8" w:rsidRDefault="005028A8"/>
        </w:tc>
        <w:tc>
          <w:tcPr>
            <w:tcW w:w="542" w:type="dxa"/>
            <w:tcBorders>
              <w:top w:val="single" w:sz="8" w:space="0" w:color="4F81BD"/>
              <w:bottom w:val="single" w:sz="8" w:space="0" w:color="4F81BD"/>
            </w:tcBorders>
          </w:tcPr>
          <w:p w14:paraId="736C8BB7" w14:textId="77777777" w:rsidR="005028A8" w:rsidRDefault="005028A8"/>
        </w:tc>
        <w:tc>
          <w:tcPr>
            <w:tcW w:w="473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638DB5A" w14:textId="77777777" w:rsidR="005028A8" w:rsidRDefault="005028A8"/>
        </w:tc>
      </w:tr>
      <w:tr w:rsidR="00145B44" w14:paraId="0585DD93" w14:textId="77777777" w:rsidTr="000B757D">
        <w:trPr>
          <w:trHeight w:hRule="exact" w:val="432"/>
        </w:trPr>
        <w:tc>
          <w:tcPr>
            <w:tcW w:w="506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39237FFC" w14:textId="77777777" w:rsidR="00145B44" w:rsidRDefault="00E65035" w:rsidP="00E65035">
            <w:pPr>
              <w:pStyle w:val="TableParagraph"/>
              <w:spacing w:before="11"/>
              <w:ind w:left="0" w:right="163"/>
              <w:rPr>
                <w:sz w:val="20"/>
              </w:rPr>
            </w:pPr>
            <w:r>
              <w:rPr>
                <w:sz w:val="20"/>
              </w:rPr>
              <w:t xml:space="preserve">       a)    </w:t>
            </w:r>
            <w:r w:rsidR="00145B44">
              <w:rPr>
                <w:sz w:val="20"/>
              </w:rPr>
              <w:t xml:space="preserve">Consent/assent form included in folder </w:t>
            </w:r>
          </w:p>
        </w:tc>
        <w:tc>
          <w:tcPr>
            <w:tcW w:w="559" w:type="dxa"/>
            <w:tcBorders>
              <w:top w:val="single" w:sz="8" w:space="0" w:color="4F81BD"/>
              <w:bottom w:val="single" w:sz="8" w:space="0" w:color="4F81BD"/>
            </w:tcBorders>
          </w:tcPr>
          <w:p w14:paraId="21F1ABB5" w14:textId="77777777" w:rsidR="00145B44" w:rsidRDefault="00145B44"/>
        </w:tc>
        <w:tc>
          <w:tcPr>
            <w:tcW w:w="542" w:type="dxa"/>
            <w:tcBorders>
              <w:top w:val="single" w:sz="8" w:space="0" w:color="4F81BD"/>
              <w:bottom w:val="single" w:sz="8" w:space="0" w:color="4F81BD"/>
            </w:tcBorders>
          </w:tcPr>
          <w:p w14:paraId="4F550B54" w14:textId="77777777" w:rsidR="00145B44" w:rsidRDefault="00145B44"/>
        </w:tc>
        <w:tc>
          <w:tcPr>
            <w:tcW w:w="473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0CA087C9" w14:textId="77777777" w:rsidR="00145B44" w:rsidRDefault="00145B44"/>
        </w:tc>
      </w:tr>
      <w:tr w:rsidR="00145B44" w14:paraId="39385E44" w14:textId="77777777" w:rsidTr="00E65035">
        <w:trPr>
          <w:trHeight w:hRule="exact" w:val="646"/>
        </w:trPr>
        <w:tc>
          <w:tcPr>
            <w:tcW w:w="506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7B9202AD" w14:textId="77777777" w:rsidR="00145B44" w:rsidRDefault="00145B44" w:rsidP="00E65035">
            <w:pPr>
              <w:pStyle w:val="TableParagraph"/>
              <w:numPr>
                <w:ilvl w:val="0"/>
                <w:numId w:val="12"/>
              </w:numPr>
              <w:spacing w:before="11"/>
              <w:ind w:right="163"/>
              <w:rPr>
                <w:sz w:val="20"/>
              </w:rPr>
            </w:pPr>
            <w:r>
              <w:rPr>
                <w:sz w:val="20"/>
              </w:rPr>
              <w:t>Consent/assent form signed and dated by participant</w:t>
            </w:r>
          </w:p>
        </w:tc>
        <w:tc>
          <w:tcPr>
            <w:tcW w:w="559" w:type="dxa"/>
            <w:tcBorders>
              <w:top w:val="single" w:sz="8" w:space="0" w:color="4F81BD"/>
              <w:bottom w:val="single" w:sz="8" w:space="0" w:color="4F81BD"/>
            </w:tcBorders>
          </w:tcPr>
          <w:p w14:paraId="2B7DA27B" w14:textId="77777777" w:rsidR="00145B44" w:rsidRDefault="00145B44"/>
        </w:tc>
        <w:tc>
          <w:tcPr>
            <w:tcW w:w="542" w:type="dxa"/>
            <w:tcBorders>
              <w:top w:val="single" w:sz="8" w:space="0" w:color="4F81BD"/>
              <w:bottom w:val="single" w:sz="8" w:space="0" w:color="4F81BD"/>
            </w:tcBorders>
          </w:tcPr>
          <w:p w14:paraId="0DCF1770" w14:textId="77777777" w:rsidR="00145B44" w:rsidRDefault="00145B44"/>
        </w:tc>
        <w:tc>
          <w:tcPr>
            <w:tcW w:w="473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5CC2D37E" w14:textId="77777777" w:rsidR="00145B44" w:rsidRDefault="00145B44"/>
        </w:tc>
      </w:tr>
      <w:tr w:rsidR="00145B44" w14:paraId="3B8563C8" w14:textId="77777777" w:rsidTr="000B757D">
        <w:trPr>
          <w:trHeight w:hRule="exact" w:val="432"/>
        </w:trPr>
        <w:tc>
          <w:tcPr>
            <w:tcW w:w="506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42853A35" w14:textId="77777777" w:rsidR="00145B44" w:rsidRDefault="00145B44" w:rsidP="00E65035">
            <w:pPr>
              <w:pStyle w:val="TableParagraph"/>
              <w:numPr>
                <w:ilvl w:val="0"/>
                <w:numId w:val="12"/>
              </w:numPr>
              <w:spacing w:before="11"/>
              <w:ind w:right="163"/>
              <w:rPr>
                <w:sz w:val="20"/>
              </w:rPr>
            </w:pPr>
            <w:r>
              <w:rPr>
                <w:sz w:val="20"/>
              </w:rPr>
              <w:t>Consent/assent form signed and dated by staff</w:t>
            </w:r>
          </w:p>
        </w:tc>
        <w:tc>
          <w:tcPr>
            <w:tcW w:w="559" w:type="dxa"/>
            <w:tcBorders>
              <w:top w:val="single" w:sz="8" w:space="0" w:color="4F81BD"/>
              <w:bottom w:val="single" w:sz="8" w:space="0" w:color="4F81BD"/>
            </w:tcBorders>
          </w:tcPr>
          <w:p w14:paraId="0C16E57D" w14:textId="77777777" w:rsidR="00145B44" w:rsidRDefault="00145B44"/>
        </w:tc>
        <w:tc>
          <w:tcPr>
            <w:tcW w:w="542" w:type="dxa"/>
            <w:tcBorders>
              <w:top w:val="single" w:sz="8" w:space="0" w:color="4F81BD"/>
              <w:bottom w:val="single" w:sz="8" w:space="0" w:color="4F81BD"/>
            </w:tcBorders>
          </w:tcPr>
          <w:p w14:paraId="656EA4E7" w14:textId="77777777" w:rsidR="00145B44" w:rsidRDefault="00145B44"/>
        </w:tc>
        <w:tc>
          <w:tcPr>
            <w:tcW w:w="473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60B93078" w14:textId="77777777" w:rsidR="00145B44" w:rsidRDefault="00145B44"/>
        </w:tc>
      </w:tr>
      <w:tr w:rsidR="00145B44" w14:paraId="40F499E0" w14:textId="77777777" w:rsidTr="00145B44">
        <w:trPr>
          <w:trHeight w:hRule="exact" w:val="432"/>
        </w:trPr>
        <w:tc>
          <w:tcPr>
            <w:tcW w:w="506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0751B09F" w14:textId="77777777" w:rsidR="00145B44" w:rsidRDefault="00145B44" w:rsidP="00E65035">
            <w:pPr>
              <w:pStyle w:val="TableParagraph"/>
              <w:numPr>
                <w:ilvl w:val="0"/>
                <w:numId w:val="12"/>
              </w:numPr>
              <w:spacing w:before="11"/>
              <w:ind w:right="163"/>
              <w:rPr>
                <w:sz w:val="20"/>
              </w:rPr>
            </w:pPr>
            <w:r>
              <w:rPr>
                <w:sz w:val="20"/>
              </w:rPr>
              <w:t>Participant’s copy is not attached to first copy</w:t>
            </w:r>
          </w:p>
        </w:tc>
        <w:tc>
          <w:tcPr>
            <w:tcW w:w="559" w:type="dxa"/>
            <w:tcBorders>
              <w:top w:val="single" w:sz="8" w:space="0" w:color="4F81BD"/>
              <w:bottom w:val="single" w:sz="8" w:space="0" w:color="4F81BD"/>
            </w:tcBorders>
          </w:tcPr>
          <w:p w14:paraId="63F189BE" w14:textId="77777777" w:rsidR="00145B44" w:rsidRDefault="00145B44"/>
        </w:tc>
        <w:tc>
          <w:tcPr>
            <w:tcW w:w="542" w:type="dxa"/>
            <w:tcBorders>
              <w:top w:val="single" w:sz="8" w:space="0" w:color="4F81BD"/>
              <w:bottom w:val="single" w:sz="8" w:space="0" w:color="4F81BD"/>
            </w:tcBorders>
          </w:tcPr>
          <w:p w14:paraId="443E30E3" w14:textId="77777777" w:rsidR="00145B44" w:rsidRDefault="00145B44"/>
        </w:tc>
        <w:tc>
          <w:tcPr>
            <w:tcW w:w="473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0E65FC4" w14:textId="77777777" w:rsidR="00145B44" w:rsidRDefault="00145B44"/>
        </w:tc>
      </w:tr>
      <w:tr w:rsidR="005028A8" w14:paraId="61CB6A4C" w14:textId="77777777">
        <w:trPr>
          <w:trHeight w:hRule="exact" w:val="989"/>
        </w:trPr>
        <w:tc>
          <w:tcPr>
            <w:tcW w:w="5064" w:type="dxa"/>
            <w:tcBorders>
              <w:top w:val="single" w:sz="8" w:space="0" w:color="4F81BD"/>
              <w:bottom w:val="single" w:sz="8" w:space="0" w:color="4F81BD"/>
            </w:tcBorders>
          </w:tcPr>
          <w:p w14:paraId="02BFFEA5" w14:textId="77777777" w:rsidR="005028A8" w:rsidRDefault="00280A7B">
            <w:pPr>
              <w:pStyle w:val="TableParagraph"/>
              <w:spacing w:before="119"/>
              <w:ind w:right="108"/>
              <w:rPr>
                <w:i/>
                <w:sz w:val="20"/>
              </w:rPr>
            </w:pPr>
            <w:r>
              <w:rPr>
                <w:sz w:val="20"/>
              </w:rPr>
              <w:t xml:space="preserve">4) Enrollment form and follow-up day forms are completed. </w:t>
            </w:r>
            <w:r>
              <w:rPr>
                <w:i/>
                <w:sz w:val="20"/>
              </w:rPr>
              <w:t>Note that microscopy is not conducted on Day 1 and an antimalarial is given on Days</w:t>
            </w:r>
            <w:r>
              <w:rPr>
                <w:i/>
                <w:spacing w:val="-24"/>
                <w:sz w:val="20"/>
              </w:rPr>
              <w:t xml:space="preserve"> </w:t>
            </w:r>
            <w:r>
              <w:rPr>
                <w:i/>
                <w:sz w:val="20"/>
              </w:rPr>
              <w:t>0-2.</w:t>
            </w:r>
          </w:p>
        </w:tc>
        <w:tc>
          <w:tcPr>
            <w:tcW w:w="559" w:type="dxa"/>
            <w:tcBorders>
              <w:top w:val="single" w:sz="8" w:space="0" w:color="4F81BD"/>
              <w:bottom w:val="single" w:sz="8" w:space="0" w:color="4F81BD"/>
            </w:tcBorders>
          </w:tcPr>
          <w:p w14:paraId="1A98B25F" w14:textId="77777777" w:rsidR="005028A8" w:rsidRDefault="005028A8"/>
        </w:tc>
        <w:tc>
          <w:tcPr>
            <w:tcW w:w="542" w:type="dxa"/>
            <w:tcBorders>
              <w:top w:val="single" w:sz="8" w:space="0" w:color="4F81BD"/>
              <w:bottom w:val="single" w:sz="8" w:space="0" w:color="4F81BD"/>
            </w:tcBorders>
          </w:tcPr>
          <w:p w14:paraId="6EFFA35A" w14:textId="77777777" w:rsidR="005028A8" w:rsidRDefault="005028A8"/>
        </w:tc>
        <w:tc>
          <w:tcPr>
            <w:tcW w:w="4735" w:type="dxa"/>
            <w:tcBorders>
              <w:top w:val="single" w:sz="8" w:space="0" w:color="4F81BD"/>
              <w:bottom w:val="single" w:sz="8" w:space="0" w:color="4F81BD"/>
            </w:tcBorders>
          </w:tcPr>
          <w:p w14:paraId="602AB76B" w14:textId="77777777" w:rsidR="005028A8" w:rsidRDefault="005028A8"/>
        </w:tc>
      </w:tr>
      <w:tr w:rsidR="005028A8" w14:paraId="2A4346C8" w14:textId="77777777">
        <w:trPr>
          <w:trHeight w:hRule="exact" w:val="720"/>
        </w:trPr>
        <w:tc>
          <w:tcPr>
            <w:tcW w:w="506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53B9CB10" w14:textId="77777777" w:rsidR="005028A8" w:rsidRDefault="00280A7B">
            <w:pPr>
              <w:pStyle w:val="TableParagraph"/>
              <w:spacing w:before="107"/>
              <w:ind w:left="98" w:right="279"/>
              <w:rPr>
                <w:sz w:val="20"/>
              </w:rPr>
            </w:pPr>
            <w:r>
              <w:rPr>
                <w:sz w:val="20"/>
              </w:rPr>
              <w:t>5) The participant’s unique identification number is on all study forms.</w:t>
            </w:r>
          </w:p>
        </w:tc>
        <w:tc>
          <w:tcPr>
            <w:tcW w:w="559" w:type="dxa"/>
            <w:tcBorders>
              <w:top w:val="single" w:sz="8" w:space="0" w:color="4F81BD"/>
              <w:bottom w:val="single" w:sz="8" w:space="0" w:color="4F81BD"/>
            </w:tcBorders>
          </w:tcPr>
          <w:p w14:paraId="19AFFC68" w14:textId="77777777" w:rsidR="005028A8" w:rsidRDefault="005028A8"/>
        </w:tc>
        <w:tc>
          <w:tcPr>
            <w:tcW w:w="542" w:type="dxa"/>
            <w:tcBorders>
              <w:top w:val="single" w:sz="8" w:space="0" w:color="4F81BD"/>
              <w:bottom w:val="single" w:sz="8" w:space="0" w:color="4F81BD"/>
            </w:tcBorders>
          </w:tcPr>
          <w:p w14:paraId="0F72E239" w14:textId="77777777" w:rsidR="005028A8" w:rsidRDefault="005028A8"/>
        </w:tc>
        <w:tc>
          <w:tcPr>
            <w:tcW w:w="473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455D6046" w14:textId="77777777" w:rsidR="005028A8" w:rsidRDefault="005028A8"/>
        </w:tc>
      </w:tr>
      <w:tr w:rsidR="005028A8" w14:paraId="7AC2E583" w14:textId="77777777">
        <w:trPr>
          <w:trHeight w:hRule="exact" w:val="1090"/>
        </w:trPr>
        <w:tc>
          <w:tcPr>
            <w:tcW w:w="5064" w:type="dxa"/>
            <w:tcBorders>
              <w:top w:val="single" w:sz="8" w:space="0" w:color="4F81BD"/>
              <w:bottom w:val="single" w:sz="8" w:space="0" w:color="4F81BD"/>
            </w:tcBorders>
          </w:tcPr>
          <w:p w14:paraId="71FF28F7" w14:textId="77777777" w:rsidR="005028A8" w:rsidRDefault="00280A7B">
            <w:pPr>
              <w:pStyle w:val="TableParagraph"/>
              <w:spacing w:before="169"/>
              <w:ind w:right="362"/>
              <w:rPr>
                <w:sz w:val="20"/>
              </w:rPr>
            </w:pPr>
            <w:r>
              <w:rPr>
                <w:sz w:val="20"/>
              </w:rPr>
              <w:t>6) Follow-up dates in study forms are correct and correspond to standard follow-up days (see protocol for follow-up schedule)</w:t>
            </w:r>
          </w:p>
        </w:tc>
        <w:tc>
          <w:tcPr>
            <w:tcW w:w="559" w:type="dxa"/>
            <w:tcBorders>
              <w:top w:val="single" w:sz="8" w:space="0" w:color="4F81BD"/>
              <w:bottom w:val="single" w:sz="8" w:space="0" w:color="4F81BD"/>
            </w:tcBorders>
          </w:tcPr>
          <w:p w14:paraId="64D3826A" w14:textId="77777777" w:rsidR="005028A8" w:rsidRDefault="005028A8"/>
        </w:tc>
        <w:tc>
          <w:tcPr>
            <w:tcW w:w="542" w:type="dxa"/>
            <w:tcBorders>
              <w:top w:val="single" w:sz="8" w:space="0" w:color="4F81BD"/>
              <w:bottom w:val="single" w:sz="8" w:space="0" w:color="4F81BD"/>
            </w:tcBorders>
          </w:tcPr>
          <w:p w14:paraId="213F11EC" w14:textId="77777777" w:rsidR="005028A8" w:rsidRDefault="005028A8"/>
        </w:tc>
        <w:tc>
          <w:tcPr>
            <w:tcW w:w="4735" w:type="dxa"/>
            <w:tcBorders>
              <w:top w:val="single" w:sz="8" w:space="0" w:color="4F81BD"/>
              <w:bottom w:val="single" w:sz="8" w:space="0" w:color="4F81BD"/>
            </w:tcBorders>
          </w:tcPr>
          <w:p w14:paraId="0B9F566A" w14:textId="77777777" w:rsidR="005028A8" w:rsidRDefault="005028A8"/>
        </w:tc>
      </w:tr>
      <w:tr w:rsidR="005028A8" w14:paraId="562E2D39" w14:textId="77777777">
        <w:trPr>
          <w:trHeight w:hRule="exact" w:val="1469"/>
        </w:trPr>
        <w:tc>
          <w:tcPr>
            <w:tcW w:w="506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21EBDDF5" w14:textId="77777777" w:rsidR="005028A8" w:rsidRDefault="00280A7B">
            <w:pPr>
              <w:pStyle w:val="TableParagraph"/>
              <w:spacing w:before="114"/>
              <w:ind w:left="98" w:right="189"/>
              <w:rPr>
                <w:i/>
                <w:sz w:val="20"/>
              </w:rPr>
            </w:pPr>
            <w:r>
              <w:rPr>
                <w:sz w:val="20"/>
              </w:rPr>
              <w:t>7) Dosage of medication, including weight and use of second dose in case of vomiting after taking medication, is documented and correct (</w:t>
            </w:r>
            <w:r>
              <w:rPr>
                <w:i/>
                <w:sz w:val="20"/>
              </w:rPr>
              <w:t>Day 0, Day 1, Day 2</w:t>
            </w:r>
            <w:r>
              <w:rPr>
                <w:sz w:val="20"/>
              </w:rPr>
              <w:t xml:space="preserve">). </w:t>
            </w:r>
            <w:r>
              <w:rPr>
                <w:i/>
                <w:sz w:val="20"/>
              </w:rPr>
              <w:t>Consult dosing chart and verify which drug presentations are used to determine if # of pills is correct.</w:t>
            </w:r>
          </w:p>
        </w:tc>
        <w:tc>
          <w:tcPr>
            <w:tcW w:w="559" w:type="dxa"/>
            <w:tcBorders>
              <w:top w:val="single" w:sz="8" w:space="0" w:color="4F81BD"/>
              <w:bottom w:val="single" w:sz="8" w:space="0" w:color="4F81BD"/>
            </w:tcBorders>
          </w:tcPr>
          <w:p w14:paraId="70AED425" w14:textId="77777777" w:rsidR="005028A8" w:rsidRDefault="005028A8"/>
        </w:tc>
        <w:tc>
          <w:tcPr>
            <w:tcW w:w="542" w:type="dxa"/>
            <w:tcBorders>
              <w:top w:val="single" w:sz="8" w:space="0" w:color="4F81BD"/>
              <w:bottom w:val="single" w:sz="8" w:space="0" w:color="4F81BD"/>
            </w:tcBorders>
          </w:tcPr>
          <w:p w14:paraId="7E0D8EF7" w14:textId="77777777" w:rsidR="005028A8" w:rsidRDefault="005028A8"/>
        </w:tc>
        <w:tc>
          <w:tcPr>
            <w:tcW w:w="473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69329FED" w14:textId="77777777" w:rsidR="005028A8" w:rsidRDefault="005028A8"/>
        </w:tc>
      </w:tr>
    </w:tbl>
    <w:p w14:paraId="25EDB87C" w14:textId="77777777" w:rsidR="005028A8" w:rsidRDefault="005028A8">
      <w:pPr>
        <w:sectPr w:rsidR="005028A8">
          <w:headerReference w:type="default" r:id="rId7"/>
          <w:type w:val="continuous"/>
          <w:pgSz w:w="12240" w:h="15840"/>
          <w:pgMar w:top="400" w:right="480" w:bottom="280" w:left="600" w:header="187" w:footer="720" w:gutter="0"/>
          <w:pgNumType w:start="1"/>
          <w:cols w:space="720"/>
        </w:sectPr>
      </w:pPr>
    </w:p>
    <w:p w14:paraId="2BCB3235" w14:textId="77777777" w:rsidR="005028A8" w:rsidRDefault="005028A8">
      <w:pPr>
        <w:pStyle w:val="BodyText"/>
        <w:spacing w:before="9"/>
        <w:rPr>
          <w:rFonts w:ascii="Times New Roman"/>
          <w:b w:val="0"/>
          <w:sz w:val="23"/>
          <w:u w:val="none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4"/>
        <w:gridCol w:w="559"/>
        <w:gridCol w:w="542"/>
        <w:gridCol w:w="4735"/>
      </w:tblGrid>
      <w:tr w:rsidR="005028A8" w14:paraId="5A7800DB" w14:textId="77777777">
        <w:trPr>
          <w:trHeight w:hRule="exact" w:val="2455"/>
        </w:trPr>
        <w:tc>
          <w:tcPr>
            <w:tcW w:w="5064" w:type="dxa"/>
            <w:tcBorders>
              <w:bottom w:val="single" w:sz="8" w:space="0" w:color="4F81BD"/>
            </w:tcBorders>
          </w:tcPr>
          <w:p w14:paraId="2D51E7D5" w14:textId="77777777" w:rsidR="005028A8" w:rsidRDefault="00280A7B">
            <w:pPr>
              <w:pStyle w:val="TableParagraph"/>
              <w:ind w:right="330"/>
              <w:rPr>
                <w:i/>
                <w:sz w:val="20"/>
              </w:rPr>
            </w:pPr>
            <w:r>
              <w:rPr>
                <w:sz w:val="20"/>
              </w:rPr>
              <w:t>8a) Parasitemia levels are recorded on enrollment and follow-up day forms (</w:t>
            </w:r>
            <w:r>
              <w:rPr>
                <w:i/>
                <w:sz w:val="20"/>
              </w:rPr>
              <w:t>Day 0, Day 2, Day 3, Day 7, Day 14,</w:t>
            </w:r>
          </w:p>
          <w:p w14:paraId="3A37A248" w14:textId="77777777" w:rsidR="005028A8" w:rsidRDefault="00280A7B">
            <w:pPr>
              <w:pStyle w:val="TableParagraph"/>
              <w:spacing w:before="0"/>
              <w:ind w:right="258"/>
              <w:rPr>
                <w:sz w:val="20"/>
              </w:rPr>
            </w:pPr>
            <w:r>
              <w:rPr>
                <w:i/>
                <w:sz w:val="20"/>
              </w:rPr>
              <w:t xml:space="preserve">Day 21, Day 28 [Day 35 and 42 if applicable] </w:t>
            </w:r>
            <w:r>
              <w:rPr>
                <w:sz w:val="20"/>
              </w:rPr>
              <w:t>or until most recent scheduled day if follow-up is ongoing</w:t>
            </w:r>
            <w:r>
              <w:rPr>
                <w:i/>
                <w:sz w:val="20"/>
              </w:rPr>
              <w:t>)</w:t>
            </w:r>
            <w:r>
              <w:rPr>
                <w:sz w:val="20"/>
              </w:rPr>
              <w:t>.</w:t>
            </w:r>
          </w:p>
          <w:p w14:paraId="03597E13" w14:textId="77777777" w:rsidR="005028A8" w:rsidRDefault="005028A8">
            <w:pPr>
              <w:pStyle w:val="TableParagraph"/>
              <w:ind w:left="0"/>
              <w:rPr>
                <w:rFonts w:ascii="Times New Roman"/>
                <w:sz w:val="21"/>
              </w:rPr>
            </w:pPr>
          </w:p>
          <w:p w14:paraId="1B46512F" w14:textId="77777777" w:rsidR="005028A8" w:rsidRDefault="00280A7B">
            <w:pPr>
              <w:pStyle w:val="TableParagraph"/>
              <w:spacing w:before="0"/>
              <w:ind w:right="159"/>
              <w:rPr>
                <w:sz w:val="20"/>
              </w:rPr>
            </w:pPr>
            <w:r>
              <w:rPr>
                <w:sz w:val="20"/>
              </w:rPr>
              <w:t>8b) Patients are withdrawn from the study if Day 2 parasitemia levels are greater than Day 0 or if Day 3 parasitemia levels are greater than 25% of Day 0 according to WHO Guidelines.</w:t>
            </w:r>
          </w:p>
        </w:tc>
        <w:tc>
          <w:tcPr>
            <w:tcW w:w="559" w:type="dxa"/>
            <w:tcBorders>
              <w:bottom w:val="single" w:sz="8" w:space="0" w:color="4F81BD"/>
            </w:tcBorders>
          </w:tcPr>
          <w:p w14:paraId="73A526FA" w14:textId="77777777" w:rsidR="005028A8" w:rsidRDefault="005028A8"/>
        </w:tc>
        <w:tc>
          <w:tcPr>
            <w:tcW w:w="542" w:type="dxa"/>
            <w:tcBorders>
              <w:bottom w:val="single" w:sz="8" w:space="0" w:color="4F81BD"/>
            </w:tcBorders>
          </w:tcPr>
          <w:p w14:paraId="21D539C9" w14:textId="77777777" w:rsidR="005028A8" w:rsidRDefault="005028A8"/>
        </w:tc>
        <w:tc>
          <w:tcPr>
            <w:tcW w:w="4735" w:type="dxa"/>
            <w:tcBorders>
              <w:bottom w:val="single" w:sz="8" w:space="0" w:color="4F81BD"/>
            </w:tcBorders>
          </w:tcPr>
          <w:p w14:paraId="0C169C54" w14:textId="77777777" w:rsidR="005028A8" w:rsidRDefault="005028A8"/>
        </w:tc>
      </w:tr>
      <w:tr w:rsidR="005028A8" w14:paraId="51DF22B6" w14:textId="77777777" w:rsidTr="00E65035">
        <w:trPr>
          <w:trHeight w:hRule="exact" w:val="9520"/>
        </w:trPr>
        <w:tc>
          <w:tcPr>
            <w:tcW w:w="506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48C5B031" w14:textId="77777777" w:rsidR="00A307A9" w:rsidRPr="000B757D" w:rsidRDefault="00280A7B" w:rsidP="00A307A9">
            <w:pPr>
              <w:pStyle w:val="BodyText"/>
              <w:spacing w:before="41"/>
              <w:rPr>
                <w:sz w:val="20"/>
              </w:rPr>
            </w:pPr>
            <w:r>
              <w:rPr>
                <w:sz w:val="20"/>
              </w:rPr>
              <w:t>9) The decision to continue follow-up or to complete the Final Classification Form is correct (</w:t>
            </w:r>
            <w:r>
              <w:rPr>
                <w:i/>
                <w:sz w:val="20"/>
              </w:rPr>
              <w:t xml:space="preserve">Day 1, Day 2, Day 3, Day 7, Day 14, Day 21, Day 28 [Day 35 and 42 if applicable] </w:t>
            </w:r>
            <w:r>
              <w:rPr>
                <w:sz w:val="20"/>
              </w:rPr>
              <w:t xml:space="preserve">or until most recent scheduled day if follow-up is ongoing). </w:t>
            </w:r>
            <w:r w:rsidR="00A307A9" w:rsidRPr="000B757D">
              <w:rPr>
                <w:sz w:val="20"/>
              </w:rPr>
              <w:t>Early Treatment Failure if any of the following criteria are met:</w:t>
            </w:r>
          </w:p>
          <w:p w14:paraId="63053173" w14:textId="77777777" w:rsidR="00A307A9" w:rsidRPr="000B757D" w:rsidRDefault="00A307A9" w:rsidP="000B757D">
            <w:pPr>
              <w:pStyle w:val="ListParagraph"/>
              <w:numPr>
                <w:ilvl w:val="0"/>
                <w:numId w:val="6"/>
              </w:numPr>
              <w:tabs>
                <w:tab w:val="left" w:pos="820"/>
                <w:tab w:val="left" w:pos="821"/>
              </w:tabs>
              <w:spacing w:before="1"/>
              <w:ind w:left="820"/>
              <w:rPr>
                <w:color w:val="211E1F"/>
                <w:sz w:val="20"/>
              </w:rPr>
            </w:pPr>
            <w:r w:rsidRPr="000B757D">
              <w:rPr>
                <w:color w:val="211E1F"/>
                <w:sz w:val="20"/>
              </w:rPr>
              <w:t xml:space="preserve">danger signs or severe malaria on day 1, 2 or 3 in the presence of </w:t>
            </w:r>
            <w:proofErr w:type="spellStart"/>
            <w:r w:rsidRPr="000B757D">
              <w:rPr>
                <w:color w:val="211E1F"/>
                <w:sz w:val="20"/>
              </w:rPr>
              <w:t>parasitaemia</w:t>
            </w:r>
            <w:proofErr w:type="spellEnd"/>
          </w:p>
          <w:p w14:paraId="5946E6F6" w14:textId="77777777" w:rsidR="00A307A9" w:rsidRPr="000B757D" w:rsidRDefault="00A307A9" w:rsidP="000B757D">
            <w:pPr>
              <w:pStyle w:val="ListParagraph"/>
              <w:numPr>
                <w:ilvl w:val="0"/>
                <w:numId w:val="6"/>
              </w:numPr>
              <w:tabs>
                <w:tab w:val="left" w:pos="820"/>
                <w:tab w:val="left" w:pos="821"/>
              </w:tabs>
              <w:spacing w:before="1"/>
              <w:ind w:left="820"/>
              <w:rPr>
                <w:color w:val="211E1F"/>
                <w:sz w:val="20"/>
              </w:rPr>
            </w:pPr>
            <w:proofErr w:type="spellStart"/>
            <w:r w:rsidRPr="000B757D">
              <w:rPr>
                <w:color w:val="211E1F"/>
                <w:sz w:val="20"/>
              </w:rPr>
              <w:t>parasitaemia</w:t>
            </w:r>
            <w:proofErr w:type="spellEnd"/>
            <w:r w:rsidRPr="000B757D">
              <w:rPr>
                <w:color w:val="211E1F"/>
                <w:sz w:val="20"/>
              </w:rPr>
              <w:t xml:space="preserve"> on day 2 higher than on day 0, irrespective of axillary temperature</w:t>
            </w:r>
          </w:p>
          <w:p w14:paraId="10175193" w14:textId="77777777" w:rsidR="00A307A9" w:rsidRPr="000B757D" w:rsidRDefault="00A307A9" w:rsidP="00A307A9">
            <w:pPr>
              <w:pStyle w:val="ListParagraph"/>
              <w:numPr>
                <w:ilvl w:val="0"/>
                <w:numId w:val="6"/>
              </w:numPr>
              <w:tabs>
                <w:tab w:val="left" w:pos="820"/>
                <w:tab w:val="left" w:pos="821"/>
              </w:tabs>
              <w:spacing w:before="1"/>
              <w:ind w:left="820"/>
              <w:rPr>
                <w:rFonts w:ascii="Symbol" w:hAnsi="Symbol"/>
                <w:sz w:val="20"/>
              </w:rPr>
            </w:pPr>
            <w:proofErr w:type="spellStart"/>
            <w:r w:rsidRPr="000B757D">
              <w:rPr>
                <w:color w:val="211E1F"/>
                <w:sz w:val="20"/>
              </w:rPr>
              <w:t>parasitaemia</w:t>
            </w:r>
            <w:proofErr w:type="spellEnd"/>
            <w:r w:rsidRPr="000B757D">
              <w:rPr>
                <w:color w:val="211E1F"/>
                <w:sz w:val="20"/>
              </w:rPr>
              <w:t xml:space="preserve"> on day 3 with axillary temperature ≥ 37.5</w:t>
            </w:r>
            <w:r w:rsidRPr="000B757D">
              <w:rPr>
                <w:color w:val="211E1F"/>
                <w:spacing w:val="-13"/>
                <w:sz w:val="20"/>
              </w:rPr>
              <w:t xml:space="preserve"> </w:t>
            </w:r>
            <w:r w:rsidRPr="000B757D">
              <w:rPr>
                <w:color w:val="211E1F"/>
                <w:sz w:val="20"/>
              </w:rPr>
              <w:t>ºC</w:t>
            </w:r>
          </w:p>
          <w:p w14:paraId="69A11E96" w14:textId="77777777" w:rsidR="00A307A9" w:rsidRPr="000B757D" w:rsidRDefault="00A307A9" w:rsidP="00A307A9">
            <w:pPr>
              <w:pStyle w:val="ListParagraph"/>
              <w:numPr>
                <w:ilvl w:val="0"/>
                <w:numId w:val="6"/>
              </w:numPr>
              <w:tabs>
                <w:tab w:val="left" w:pos="820"/>
                <w:tab w:val="left" w:pos="821"/>
              </w:tabs>
              <w:spacing w:before="0"/>
              <w:ind w:left="820"/>
              <w:rPr>
                <w:rFonts w:ascii="Symbol" w:hAnsi="Symbol"/>
                <w:sz w:val="20"/>
              </w:rPr>
            </w:pPr>
            <w:proofErr w:type="spellStart"/>
            <w:r w:rsidRPr="000B757D">
              <w:rPr>
                <w:color w:val="211E1F"/>
                <w:sz w:val="20"/>
              </w:rPr>
              <w:t>parasitaemia</w:t>
            </w:r>
            <w:proofErr w:type="spellEnd"/>
            <w:r w:rsidRPr="000B757D">
              <w:rPr>
                <w:color w:val="211E1F"/>
                <w:sz w:val="20"/>
              </w:rPr>
              <w:t xml:space="preserve"> on day 3 ≥ 25% of count on day</w:t>
            </w:r>
            <w:r w:rsidRPr="000B757D">
              <w:rPr>
                <w:color w:val="211E1F"/>
                <w:spacing w:val="-9"/>
                <w:sz w:val="20"/>
              </w:rPr>
              <w:t xml:space="preserve"> </w:t>
            </w:r>
            <w:r w:rsidRPr="000B757D">
              <w:rPr>
                <w:color w:val="211E1F"/>
                <w:sz w:val="20"/>
              </w:rPr>
              <w:t>0</w:t>
            </w:r>
          </w:p>
          <w:p w14:paraId="651F4472" w14:textId="77777777" w:rsidR="00A307A9" w:rsidRPr="000B757D" w:rsidRDefault="00A307A9" w:rsidP="00A307A9">
            <w:pPr>
              <w:pStyle w:val="BodyText"/>
              <w:rPr>
                <w:sz w:val="20"/>
              </w:rPr>
            </w:pPr>
            <w:r w:rsidRPr="000B757D">
              <w:rPr>
                <w:sz w:val="20"/>
              </w:rPr>
              <w:t>Late Treatment Failure if any of the following criteria are met:</w:t>
            </w:r>
          </w:p>
          <w:p w14:paraId="7B91AF17" w14:textId="77777777" w:rsidR="00A307A9" w:rsidRPr="000B757D" w:rsidRDefault="00A307A9" w:rsidP="00A307A9">
            <w:pPr>
              <w:spacing w:before="42"/>
              <w:ind w:left="460"/>
              <w:rPr>
                <w:i/>
                <w:sz w:val="20"/>
              </w:rPr>
            </w:pPr>
            <w:r w:rsidRPr="000B757D">
              <w:rPr>
                <w:i/>
                <w:sz w:val="20"/>
              </w:rPr>
              <w:t>Late Clinical Failure</w:t>
            </w:r>
          </w:p>
          <w:p w14:paraId="1EF6F1DB" w14:textId="77777777" w:rsidR="00A307A9" w:rsidRPr="000B757D" w:rsidRDefault="00A307A9" w:rsidP="00A307A9">
            <w:pPr>
              <w:pStyle w:val="ListParagraph"/>
              <w:numPr>
                <w:ilvl w:val="0"/>
                <w:numId w:val="6"/>
              </w:numPr>
              <w:tabs>
                <w:tab w:val="left" w:pos="820"/>
                <w:tab w:val="left" w:pos="821"/>
              </w:tabs>
              <w:spacing w:before="39"/>
              <w:ind w:left="820" w:right="121"/>
              <w:rPr>
                <w:rFonts w:ascii="Symbol"/>
                <w:sz w:val="20"/>
              </w:rPr>
            </w:pPr>
            <w:r w:rsidRPr="000B757D">
              <w:rPr>
                <w:color w:val="211E1F"/>
                <w:sz w:val="20"/>
              </w:rPr>
              <w:t xml:space="preserve">danger signs or severe malaria in the presence of </w:t>
            </w:r>
            <w:proofErr w:type="spellStart"/>
            <w:r w:rsidRPr="000B757D">
              <w:rPr>
                <w:color w:val="211E1F"/>
                <w:sz w:val="20"/>
              </w:rPr>
              <w:t>parasitaemia</w:t>
            </w:r>
            <w:proofErr w:type="spellEnd"/>
            <w:r w:rsidRPr="000B757D">
              <w:rPr>
                <w:color w:val="211E1F"/>
                <w:sz w:val="20"/>
              </w:rPr>
              <w:t xml:space="preserve"> on any day between day 4 and day 28 (or day 42) in patients who did not previously meet any of the criteria of early treatment</w:t>
            </w:r>
            <w:r w:rsidRPr="000B757D">
              <w:rPr>
                <w:color w:val="211E1F"/>
                <w:spacing w:val="-25"/>
                <w:sz w:val="20"/>
              </w:rPr>
              <w:t xml:space="preserve"> </w:t>
            </w:r>
            <w:r w:rsidRPr="000B757D">
              <w:rPr>
                <w:color w:val="211E1F"/>
                <w:sz w:val="20"/>
              </w:rPr>
              <w:t>failure</w:t>
            </w:r>
          </w:p>
          <w:p w14:paraId="02A912A3" w14:textId="77777777" w:rsidR="00A307A9" w:rsidRPr="000B757D" w:rsidRDefault="00A307A9" w:rsidP="00A307A9">
            <w:pPr>
              <w:pStyle w:val="ListParagraph"/>
              <w:numPr>
                <w:ilvl w:val="0"/>
                <w:numId w:val="6"/>
              </w:numPr>
              <w:tabs>
                <w:tab w:val="left" w:pos="821"/>
              </w:tabs>
              <w:spacing w:before="0"/>
              <w:ind w:left="820" w:right="119"/>
              <w:jc w:val="both"/>
              <w:rPr>
                <w:rFonts w:ascii="Symbol" w:hAnsi="Symbol"/>
                <w:sz w:val="20"/>
              </w:rPr>
            </w:pPr>
            <w:r w:rsidRPr="000B757D">
              <w:rPr>
                <w:color w:val="211E1F"/>
                <w:sz w:val="20"/>
              </w:rPr>
              <w:t xml:space="preserve">presence of </w:t>
            </w:r>
            <w:proofErr w:type="spellStart"/>
            <w:r w:rsidRPr="000B757D">
              <w:rPr>
                <w:color w:val="211E1F"/>
                <w:sz w:val="20"/>
              </w:rPr>
              <w:t>parasitaemia</w:t>
            </w:r>
            <w:proofErr w:type="spellEnd"/>
            <w:r w:rsidRPr="000B757D">
              <w:rPr>
                <w:color w:val="211E1F"/>
                <w:sz w:val="20"/>
              </w:rPr>
              <w:t xml:space="preserve"> on any day between day 4 and day 28 (or day 42) with axillary temperature ≥ 37.5ºC</w:t>
            </w:r>
            <w:r w:rsidRPr="000B757D">
              <w:rPr>
                <w:color w:val="211E1F"/>
                <w:spacing w:val="-5"/>
                <w:sz w:val="20"/>
              </w:rPr>
              <w:t xml:space="preserve"> </w:t>
            </w:r>
            <w:r w:rsidRPr="000B757D">
              <w:rPr>
                <w:color w:val="211E1F"/>
                <w:sz w:val="20"/>
              </w:rPr>
              <w:t>(or</w:t>
            </w:r>
            <w:r w:rsidRPr="000B757D">
              <w:rPr>
                <w:color w:val="211E1F"/>
                <w:spacing w:val="-6"/>
                <w:sz w:val="20"/>
              </w:rPr>
              <w:t xml:space="preserve"> </w:t>
            </w:r>
            <w:r w:rsidRPr="000B757D">
              <w:rPr>
                <w:color w:val="211E1F"/>
                <w:sz w:val="20"/>
              </w:rPr>
              <w:t>history</w:t>
            </w:r>
            <w:r w:rsidRPr="000B757D">
              <w:rPr>
                <w:color w:val="211E1F"/>
                <w:spacing w:val="-5"/>
                <w:sz w:val="20"/>
              </w:rPr>
              <w:t xml:space="preserve"> </w:t>
            </w:r>
            <w:r w:rsidRPr="000B757D">
              <w:rPr>
                <w:color w:val="211E1F"/>
                <w:sz w:val="20"/>
              </w:rPr>
              <w:t>of</w:t>
            </w:r>
            <w:r w:rsidRPr="000B757D">
              <w:rPr>
                <w:color w:val="211E1F"/>
                <w:spacing w:val="-6"/>
                <w:sz w:val="20"/>
              </w:rPr>
              <w:t xml:space="preserve"> </w:t>
            </w:r>
            <w:r w:rsidRPr="000B757D">
              <w:rPr>
                <w:color w:val="211E1F"/>
                <w:sz w:val="20"/>
              </w:rPr>
              <w:t>fever</w:t>
            </w:r>
            <w:r w:rsidRPr="000B757D">
              <w:rPr>
                <w:color w:val="211E1F"/>
                <w:spacing w:val="-8"/>
                <w:sz w:val="20"/>
              </w:rPr>
              <w:t xml:space="preserve"> </w:t>
            </w:r>
            <w:r w:rsidRPr="000B757D">
              <w:rPr>
                <w:color w:val="211E1F"/>
                <w:sz w:val="20"/>
              </w:rPr>
              <w:t>depending</w:t>
            </w:r>
            <w:r w:rsidRPr="000B757D">
              <w:rPr>
                <w:color w:val="211E1F"/>
                <w:spacing w:val="-4"/>
                <w:sz w:val="20"/>
              </w:rPr>
              <w:t xml:space="preserve"> </w:t>
            </w:r>
            <w:r w:rsidRPr="000B757D">
              <w:rPr>
                <w:color w:val="211E1F"/>
                <w:sz w:val="20"/>
              </w:rPr>
              <w:t>on</w:t>
            </w:r>
            <w:r w:rsidRPr="000B757D">
              <w:rPr>
                <w:color w:val="211E1F"/>
                <w:spacing w:val="-4"/>
                <w:sz w:val="20"/>
              </w:rPr>
              <w:t xml:space="preserve"> </w:t>
            </w:r>
            <w:r w:rsidRPr="000B757D">
              <w:rPr>
                <w:color w:val="211E1F"/>
                <w:sz w:val="20"/>
              </w:rPr>
              <w:t>inclusion</w:t>
            </w:r>
            <w:r w:rsidRPr="000B757D">
              <w:rPr>
                <w:color w:val="211E1F"/>
                <w:spacing w:val="-4"/>
                <w:sz w:val="20"/>
              </w:rPr>
              <w:t xml:space="preserve"> </w:t>
            </w:r>
            <w:r w:rsidRPr="000B757D">
              <w:rPr>
                <w:color w:val="211E1F"/>
                <w:sz w:val="20"/>
              </w:rPr>
              <w:t>criteria)</w:t>
            </w:r>
            <w:r w:rsidRPr="000B757D">
              <w:rPr>
                <w:color w:val="211E1F"/>
                <w:spacing w:val="-4"/>
                <w:sz w:val="20"/>
              </w:rPr>
              <w:t xml:space="preserve"> </w:t>
            </w:r>
            <w:r w:rsidRPr="000B757D">
              <w:rPr>
                <w:color w:val="211E1F"/>
                <w:sz w:val="20"/>
              </w:rPr>
              <w:t>in</w:t>
            </w:r>
            <w:r w:rsidRPr="000B757D">
              <w:rPr>
                <w:color w:val="211E1F"/>
                <w:spacing w:val="-4"/>
                <w:sz w:val="20"/>
              </w:rPr>
              <w:t xml:space="preserve"> </w:t>
            </w:r>
            <w:r w:rsidRPr="000B757D">
              <w:rPr>
                <w:color w:val="211E1F"/>
                <w:sz w:val="20"/>
              </w:rPr>
              <w:t>patients</w:t>
            </w:r>
            <w:r w:rsidRPr="000B757D">
              <w:rPr>
                <w:color w:val="211E1F"/>
                <w:spacing w:val="-5"/>
                <w:sz w:val="20"/>
              </w:rPr>
              <w:t xml:space="preserve"> </w:t>
            </w:r>
            <w:r w:rsidRPr="000B757D">
              <w:rPr>
                <w:color w:val="211E1F"/>
                <w:sz w:val="20"/>
              </w:rPr>
              <w:t>who</w:t>
            </w:r>
            <w:r w:rsidRPr="000B757D">
              <w:rPr>
                <w:color w:val="211E1F"/>
                <w:spacing w:val="-2"/>
                <w:sz w:val="20"/>
              </w:rPr>
              <w:t xml:space="preserve"> </w:t>
            </w:r>
            <w:r w:rsidRPr="000B757D">
              <w:rPr>
                <w:color w:val="211E1F"/>
                <w:sz w:val="20"/>
              </w:rPr>
              <w:t>did</w:t>
            </w:r>
            <w:r w:rsidRPr="000B757D">
              <w:rPr>
                <w:color w:val="211E1F"/>
                <w:spacing w:val="-4"/>
                <w:sz w:val="20"/>
              </w:rPr>
              <w:t xml:space="preserve"> </w:t>
            </w:r>
            <w:r w:rsidRPr="000B757D">
              <w:rPr>
                <w:color w:val="211E1F"/>
                <w:spacing w:val="-2"/>
                <w:sz w:val="20"/>
              </w:rPr>
              <w:t>not</w:t>
            </w:r>
            <w:r w:rsidRPr="000B757D">
              <w:rPr>
                <w:color w:val="211E1F"/>
                <w:spacing w:val="-3"/>
                <w:sz w:val="20"/>
              </w:rPr>
              <w:t xml:space="preserve"> </w:t>
            </w:r>
            <w:r w:rsidRPr="000B757D">
              <w:rPr>
                <w:color w:val="211E1F"/>
                <w:sz w:val="20"/>
              </w:rPr>
              <w:t>previously</w:t>
            </w:r>
            <w:r w:rsidRPr="000B757D">
              <w:rPr>
                <w:color w:val="211E1F"/>
                <w:spacing w:val="-5"/>
                <w:sz w:val="20"/>
              </w:rPr>
              <w:t xml:space="preserve"> </w:t>
            </w:r>
            <w:r w:rsidRPr="000B757D">
              <w:rPr>
                <w:color w:val="211E1F"/>
                <w:sz w:val="20"/>
              </w:rPr>
              <w:t>meet</w:t>
            </w:r>
            <w:r w:rsidRPr="000B757D">
              <w:rPr>
                <w:color w:val="211E1F"/>
                <w:spacing w:val="-5"/>
                <w:sz w:val="20"/>
              </w:rPr>
              <w:t xml:space="preserve"> </w:t>
            </w:r>
            <w:r w:rsidRPr="000B757D">
              <w:rPr>
                <w:color w:val="211E1F"/>
                <w:sz w:val="20"/>
              </w:rPr>
              <w:t>any</w:t>
            </w:r>
            <w:r w:rsidRPr="000B757D">
              <w:rPr>
                <w:color w:val="211E1F"/>
                <w:spacing w:val="-5"/>
                <w:sz w:val="20"/>
              </w:rPr>
              <w:t xml:space="preserve"> </w:t>
            </w:r>
            <w:r w:rsidRPr="000B757D">
              <w:rPr>
                <w:color w:val="211E1F"/>
                <w:sz w:val="20"/>
              </w:rPr>
              <w:t>of the criteria of early treatment</w:t>
            </w:r>
            <w:r w:rsidRPr="000B757D">
              <w:rPr>
                <w:color w:val="211E1F"/>
                <w:spacing w:val="-9"/>
                <w:sz w:val="20"/>
              </w:rPr>
              <w:t xml:space="preserve"> </w:t>
            </w:r>
            <w:r w:rsidRPr="000B757D">
              <w:rPr>
                <w:color w:val="211E1F"/>
                <w:sz w:val="20"/>
              </w:rPr>
              <w:t>failure</w:t>
            </w:r>
          </w:p>
          <w:p w14:paraId="2B3CB3E9" w14:textId="77777777" w:rsidR="00A307A9" w:rsidRPr="000B757D" w:rsidRDefault="00A307A9" w:rsidP="00A307A9">
            <w:pPr>
              <w:ind w:left="460"/>
              <w:rPr>
                <w:i/>
                <w:sz w:val="20"/>
              </w:rPr>
            </w:pPr>
            <w:r w:rsidRPr="000B757D">
              <w:rPr>
                <w:i/>
                <w:color w:val="211E1F"/>
                <w:sz w:val="20"/>
              </w:rPr>
              <w:t>Late Parasitological Failure</w:t>
            </w:r>
          </w:p>
          <w:p w14:paraId="52CEAA11" w14:textId="77777777" w:rsidR="00A307A9" w:rsidRPr="000B757D" w:rsidRDefault="00A307A9" w:rsidP="00A307A9">
            <w:pPr>
              <w:pStyle w:val="ListParagraph"/>
              <w:numPr>
                <w:ilvl w:val="0"/>
                <w:numId w:val="6"/>
              </w:numPr>
              <w:tabs>
                <w:tab w:val="left" w:pos="820"/>
                <w:tab w:val="left" w:pos="821"/>
              </w:tabs>
              <w:spacing w:before="1"/>
              <w:ind w:left="820"/>
              <w:rPr>
                <w:rFonts w:ascii="Symbol"/>
                <w:sz w:val="20"/>
              </w:rPr>
            </w:pPr>
            <w:r w:rsidRPr="000B757D">
              <w:rPr>
                <w:color w:val="211E1F"/>
                <w:sz w:val="20"/>
              </w:rPr>
              <w:t xml:space="preserve">presence of </w:t>
            </w:r>
            <w:proofErr w:type="spellStart"/>
            <w:r w:rsidRPr="000B757D">
              <w:rPr>
                <w:color w:val="211E1F"/>
                <w:sz w:val="20"/>
              </w:rPr>
              <w:t>parasitaemia</w:t>
            </w:r>
            <w:proofErr w:type="spellEnd"/>
            <w:r w:rsidRPr="000B757D">
              <w:rPr>
                <w:color w:val="211E1F"/>
                <w:sz w:val="20"/>
              </w:rPr>
              <w:t xml:space="preserve"> on any day between day 7 and day 28 (or day 42) and axillary temperature</w:t>
            </w:r>
            <w:r w:rsidRPr="000B757D">
              <w:rPr>
                <w:color w:val="211E1F"/>
                <w:spacing w:val="-32"/>
                <w:sz w:val="20"/>
              </w:rPr>
              <w:t xml:space="preserve"> </w:t>
            </w:r>
            <w:r w:rsidRPr="000B757D">
              <w:rPr>
                <w:color w:val="211E1F"/>
                <w:sz w:val="20"/>
              </w:rPr>
              <w:t>&lt;</w:t>
            </w:r>
          </w:p>
          <w:p w14:paraId="5D5F3666" w14:textId="77777777" w:rsidR="00A307A9" w:rsidRDefault="00A307A9" w:rsidP="00A307A9">
            <w:pPr>
              <w:pStyle w:val="BodyText"/>
              <w:spacing w:before="41" w:line="276" w:lineRule="auto"/>
              <w:ind w:left="820" w:right="621"/>
              <w:rPr>
                <w:color w:val="211E1F"/>
                <w:sz w:val="20"/>
              </w:rPr>
            </w:pPr>
            <w:r w:rsidRPr="000B757D">
              <w:rPr>
                <w:color w:val="211E1F"/>
                <w:sz w:val="20"/>
              </w:rPr>
              <w:t>37.5 ºC in patients who did not previously meet any of the criteria of early treatment failure or late clinical failure</w:t>
            </w:r>
          </w:p>
          <w:p w14:paraId="28B6DA4C" w14:textId="77777777" w:rsidR="00A307A9" w:rsidRPr="00A307A9" w:rsidRDefault="00A307A9" w:rsidP="00A307A9">
            <w:pPr>
              <w:pStyle w:val="BodyText"/>
              <w:spacing w:before="41" w:line="276" w:lineRule="auto"/>
              <w:ind w:right="621"/>
              <w:rPr>
                <w:color w:val="211E1F"/>
                <w:sz w:val="20"/>
              </w:rPr>
            </w:pPr>
            <w:r w:rsidRPr="00A307A9">
              <w:rPr>
                <w:color w:val="211E1F"/>
                <w:sz w:val="20"/>
              </w:rPr>
              <w:t>Adequate Clinical and Parasitological Response:</w:t>
            </w:r>
          </w:p>
          <w:p w14:paraId="09E15707" w14:textId="77777777" w:rsidR="00A307A9" w:rsidRPr="000B757D" w:rsidRDefault="00A307A9" w:rsidP="00A307A9">
            <w:pPr>
              <w:pStyle w:val="BodyText"/>
              <w:numPr>
                <w:ilvl w:val="0"/>
                <w:numId w:val="6"/>
              </w:numPr>
              <w:spacing w:line="276" w:lineRule="auto"/>
              <w:ind w:right="621"/>
              <w:rPr>
                <w:b w:val="0"/>
                <w:color w:val="211E1F"/>
                <w:sz w:val="20"/>
              </w:rPr>
            </w:pPr>
            <w:r w:rsidRPr="000B757D">
              <w:rPr>
                <w:b w:val="0"/>
                <w:color w:val="211E1F"/>
                <w:sz w:val="20"/>
              </w:rPr>
              <w:t xml:space="preserve">absence of </w:t>
            </w:r>
            <w:proofErr w:type="spellStart"/>
            <w:r w:rsidRPr="000B757D">
              <w:rPr>
                <w:b w:val="0"/>
                <w:color w:val="211E1F"/>
                <w:sz w:val="20"/>
              </w:rPr>
              <w:t>parasitaemia</w:t>
            </w:r>
            <w:proofErr w:type="spellEnd"/>
            <w:r w:rsidRPr="000B757D">
              <w:rPr>
                <w:b w:val="0"/>
                <w:color w:val="211E1F"/>
                <w:sz w:val="20"/>
              </w:rPr>
              <w:t xml:space="preserve"> on day 28 (or day 42), irrespective of axillary temperature, in patients who did not previously meet any of the criteria of treatment failure listed above</w:t>
            </w:r>
          </w:p>
          <w:p w14:paraId="24D44A9D" w14:textId="77777777" w:rsidR="005028A8" w:rsidRDefault="005028A8" w:rsidP="000B757D">
            <w:pPr>
              <w:pStyle w:val="TableParagraph"/>
              <w:spacing w:before="0"/>
              <w:ind w:left="0" w:right="271"/>
              <w:rPr>
                <w:i/>
                <w:sz w:val="20"/>
              </w:rPr>
            </w:pPr>
          </w:p>
        </w:tc>
        <w:tc>
          <w:tcPr>
            <w:tcW w:w="559" w:type="dxa"/>
            <w:tcBorders>
              <w:top w:val="single" w:sz="8" w:space="0" w:color="4F81BD"/>
              <w:bottom w:val="single" w:sz="8" w:space="0" w:color="4F81BD"/>
            </w:tcBorders>
          </w:tcPr>
          <w:p w14:paraId="7F3F1CCF" w14:textId="77777777" w:rsidR="005028A8" w:rsidRDefault="005028A8"/>
        </w:tc>
        <w:tc>
          <w:tcPr>
            <w:tcW w:w="542" w:type="dxa"/>
            <w:tcBorders>
              <w:top w:val="single" w:sz="8" w:space="0" w:color="4F81BD"/>
              <w:bottom w:val="single" w:sz="8" w:space="0" w:color="4F81BD"/>
            </w:tcBorders>
          </w:tcPr>
          <w:p w14:paraId="33411EBF" w14:textId="77777777" w:rsidR="005028A8" w:rsidRDefault="005028A8"/>
        </w:tc>
        <w:tc>
          <w:tcPr>
            <w:tcW w:w="473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64454E71" w14:textId="77777777" w:rsidR="005028A8" w:rsidRDefault="005028A8"/>
        </w:tc>
      </w:tr>
    </w:tbl>
    <w:p w14:paraId="78437BE7" w14:textId="77777777" w:rsidR="005028A8" w:rsidRDefault="005028A8">
      <w:pPr>
        <w:sectPr w:rsidR="005028A8">
          <w:pgSz w:w="12240" w:h="15840"/>
          <w:pgMar w:top="400" w:right="480" w:bottom="280" w:left="600" w:header="187" w:footer="0" w:gutter="0"/>
          <w:cols w:space="720"/>
        </w:sectPr>
      </w:pPr>
    </w:p>
    <w:p w14:paraId="4FF53A50" w14:textId="77777777" w:rsidR="005028A8" w:rsidRDefault="005028A8">
      <w:pPr>
        <w:pStyle w:val="BodyText"/>
        <w:rPr>
          <w:rFonts w:ascii="Times New Roman"/>
          <w:b w:val="0"/>
          <w:sz w:val="20"/>
          <w:u w:val="none"/>
        </w:rPr>
      </w:pPr>
    </w:p>
    <w:p w14:paraId="0DCAF066" w14:textId="77777777" w:rsidR="005028A8" w:rsidRDefault="005028A8">
      <w:pPr>
        <w:pStyle w:val="BodyText"/>
        <w:spacing w:before="2"/>
        <w:rPr>
          <w:rFonts w:ascii="Times New Roman"/>
          <w:b w:val="0"/>
          <w:u w:val="none"/>
        </w:rPr>
      </w:pPr>
    </w:p>
    <w:p w14:paraId="3D752AA8" w14:textId="77777777" w:rsidR="005028A8" w:rsidRDefault="00280A7B">
      <w:pPr>
        <w:pStyle w:val="ListParagraph"/>
        <w:numPr>
          <w:ilvl w:val="0"/>
          <w:numId w:val="2"/>
        </w:numPr>
        <w:tabs>
          <w:tab w:val="left" w:pos="481"/>
        </w:tabs>
        <w:ind w:left="480"/>
        <w:rPr>
          <w:b/>
        </w:rPr>
      </w:pPr>
      <w:r>
        <w:rPr>
          <w:b/>
        </w:rPr>
        <w:t>Laboratory</w:t>
      </w:r>
    </w:p>
    <w:p w14:paraId="52F2524F" w14:textId="77777777" w:rsidR="005028A8" w:rsidRDefault="005028A8">
      <w:pPr>
        <w:spacing w:before="11" w:after="1"/>
        <w:rPr>
          <w:b/>
          <w:sz w:val="21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35"/>
        <w:gridCol w:w="631"/>
        <w:gridCol w:w="540"/>
        <w:gridCol w:w="4644"/>
      </w:tblGrid>
      <w:tr w:rsidR="005028A8" w14:paraId="5E141DAA" w14:textId="77777777">
        <w:trPr>
          <w:trHeight w:hRule="exact" w:val="294"/>
        </w:trPr>
        <w:tc>
          <w:tcPr>
            <w:tcW w:w="5035" w:type="dxa"/>
            <w:shd w:val="clear" w:color="auto" w:fill="4F81BD"/>
          </w:tcPr>
          <w:p w14:paraId="354C9464" w14:textId="77777777" w:rsidR="005028A8" w:rsidRDefault="005028A8"/>
        </w:tc>
        <w:tc>
          <w:tcPr>
            <w:tcW w:w="631" w:type="dxa"/>
            <w:shd w:val="clear" w:color="auto" w:fill="4F81BD"/>
          </w:tcPr>
          <w:p w14:paraId="55E58530" w14:textId="77777777" w:rsidR="005028A8" w:rsidRDefault="00280A7B">
            <w:pPr>
              <w:pStyle w:val="TableParagraph"/>
              <w:spacing w:before="7"/>
              <w:rPr>
                <w:b/>
              </w:rPr>
            </w:pPr>
            <w:r>
              <w:rPr>
                <w:b/>
                <w:color w:val="FFFFFF"/>
              </w:rPr>
              <w:t>Yes</w:t>
            </w:r>
          </w:p>
        </w:tc>
        <w:tc>
          <w:tcPr>
            <w:tcW w:w="540" w:type="dxa"/>
            <w:shd w:val="clear" w:color="auto" w:fill="4F81BD"/>
          </w:tcPr>
          <w:p w14:paraId="61335981" w14:textId="77777777" w:rsidR="005028A8" w:rsidRDefault="00280A7B">
            <w:pPr>
              <w:pStyle w:val="TableParagraph"/>
              <w:spacing w:before="7"/>
              <w:ind w:left="100"/>
              <w:rPr>
                <w:b/>
              </w:rPr>
            </w:pPr>
            <w:r>
              <w:rPr>
                <w:b/>
                <w:color w:val="FFFFFF"/>
              </w:rPr>
              <w:t>No</w:t>
            </w:r>
          </w:p>
        </w:tc>
        <w:tc>
          <w:tcPr>
            <w:tcW w:w="4644" w:type="dxa"/>
            <w:shd w:val="clear" w:color="auto" w:fill="4F81BD"/>
          </w:tcPr>
          <w:p w14:paraId="09FD8641" w14:textId="77777777" w:rsidR="005028A8" w:rsidRDefault="00280A7B">
            <w:pPr>
              <w:pStyle w:val="TableParagraph"/>
              <w:spacing w:before="7"/>
              <w:ind w:left="1803" w:right="1804"/>
              <w:jc w:val="center"/>
              <w:rPr>
                <w:b/>
              </w:rPr>
            </w:pPr>
            <w:r>
              <w:rPr>
                <w:b/>
                <w:color w:val="FFFFFF"/>
              </w:rPr>
              <w:t>Comments</w:t>
            </w:r>
          </w:p>
        </w:tc>
      </w:tr>
      <w:tr w:rsidR="005028A8" w14:paraId="55DCAA13" w14:textId="77777777">
        <w:trPr>
          <w:trHeight w:hRule="exact" w:val="300"/>
        </w:trPr>
        <w:tc>
          <w:tcPr>
            <w:tcW w:w="5035" w:type="dxa"/>
            <w:tcBorders>
              <w:left w:val="nil"/>
              <w:bottom w:val="nil"/>
            </w:tcBorders>
            <w:shd w:val="clear" w:color="auto" w:fill="4F81BD"/>
          </w:tcPr>
          <w:p w14:paraId="44C2E97C" w14:textId="77777777" w:rsidR="005028A8" w:rsidRDefault="00280A7B">
            <w:pPr>
              <w:pStyle w:val="TableParagraph"/>
              <w:spacing w:before="0" w:line="268" w:lineRule="exact"/>
              <w:ind w:left="1944"/>
              <w:rPr>
                <w:b/>
              </w:rPr>
            </w:pPr>
            <w:r>
              <w:rPr>
                <w:b/>
                <w:color w:val="FFFFFF"/>
                <w:u w:val="single" w:color="FFFFFF"/>
              </w:rPr>
              <w:t>Filter papers</w:t>
            </w:r>
          </w:p>
        </w:tc>
        <w:tc>
          <w:tcPr>
            <w:tcW w:w="631" w:type="dxa"/>
            <w:vMerge w:val="restart"/>
          </w:tcPr>
          <w:p w14:paraId="04841504" w14:textId="77777777" w:rsidR="005028A8" w:rsidRDefault="005028A8"/>
        </w:tc>
        <w:tc>
          <w:tcPr>
            <w:tcW w:w="540" w:type="dxa"/>
            <w:vMerge w:val="restart"/>
          </w:tcPr>
          <w:p w14:paraId="5A26DB32" w14:textId="77777777" w:rsidR="005028A8" w:rsidRDefault="005028A8"/>
        </w:tc>
        <w:tc>
          <w:tcPr>
            <w:tcW w:w="4644" w:type="dxa"/>
            <w:vMerge w:val="restart"/>
            <w:tcBorders>
              <w:right w:val="single" w:sz="8" w:space="0" w:color="4F81BD"/>
            </w:tcBorders>
          </w:tcPr>
          <w:p w14:paraId="1FB3F577" w14:textId="77777777" w:rsidR="005028A8" w:rsidRDefault="005028A8"/>
        </w:tc>
      </w:tr>
      <w:tr w:rsidR="005028A8" w14:paraId="0A3F4528" w14:textId="77777777">
        <w:trPr>
          <w:trHeight w:hRule="exact" w:val="523"/>
        </w:trPr>
        <w:tc>
          <w:tcPr>
            <w:tcW w:w="5035" w:type="dxa"/>
            <w:tcBorders>
              <w:top w:val="single" w:sz="8" w:space="0" w:color="4F81BD"/>
              <w:bottom w:val="single" w:sz="8" w:space="0" w:color="4F81BD"/>
            </w:tcBorders>
          </w:tcPr>
          <w:p w14:paraId="0D757E8F" w14:textId="77777777" w:rsidR="005028A8" w:rsidRDefault="00280A7B">
            <w:pPr>
              <w:pStyle w:val="TableParagraph"/>
              <w:ind w:right="335"/>
              <w:rPr>
                <w:sz w:val="20"/>
              </w:rPr>
            </w:pPr>
            <w:r>
              <w:rPr>
                <w:sz w:val="20"/>
              </w:rPr>
              <w:t>1) The participant’s unique identification number, date, and follow-up day are clearly labeled on all filter papers.</w:t>
            </w:r>
          </w:p>
        </w:tc>
        <w:tc>
          <w:tcPr>
            <w:tcW w:w="631" w:type="dxa"/>
            <w:vMerge/>
            <w:tcBorders>
              <w:bottom w:val="single" w:sz="8" w:space="0" w:color="4F81BD"/>
            </w:tcBorders>
          </w:tcPr>
          <w:p w14:paraId="6F84FDC0" w14:textId="77777777" w:rsidR="005028A8" w:rsidRDefault="005028A8"/>
        </w:tc>
        <w:tc>
          <w:tcPr>
            <w:tcW w:w="540" w:type="dxa"/>
            <w:vMerge/>
            <w:tcBorders>
              <w:bottom w:val="single" w:sz="8" w:space="0" w:color="4F81BD"/>
            </w:tcBorders>
          </w:tcPr>
          <w:p w14:paraId="5C07ABBB" w14:textId="77777777" w:rsidR="005028A8" w:rsidRDefault="005028A8"/>
        </w:tc>
        <w:tc>
          <w:tcPr>
            <w:tcW w:w="4644" w:type="dxa"/>
            <w:vMerge/>
            <w:tcBorders>
              <w:bottom w:val="single" w:sz="8" w:space="0" w:color="4F81BD"/>
              <w:right w:val="single" w:sz="8" w:space="0" w:color="4F81BD"/>
            </w:tcBorders>
          </w:tcPr>
          <w:p w14:paraId="2D53FDE0" w14:textId="77777777" w:rsidR="005028A8" w:rsidRDefault="005028A8"/>
        </w:tc>
      </w:tr>
      <w:tr w:rsidR="005028A8" w14:paraId="7FFD7C75" w14:textId="77777777" w:rsidTr="00E65035">
        <w:trPr>
          <w:trHeight w:hRule="exact" w:val="799"/>
        </w:trPr>
        <w:tc>
          <w:tcPr>
            <w:tcW w:w="50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384CCDA6" w14:textId="77777777" w:rsidR="00B51483" w:rsidRDefault="00280A7B">
            <w:pPr>
              <w:pStyle w:val="TableParagraph"/>
              <w:ind w:left="98" w:right="100"/>
              <w:rPr>
                <w:sz w:val="20"/>
              </w:rPr>
            </w:pPr>
            <w:r>
              <w:rPr>
                <w:sz w:val="20"/>
              </w:rPr>
              <w:t>2) Filter papers were collected for the participant on</w:t>
            </w:r>
            <w:r w:rsidR="00B51483">
              <w:rPr>
                <w:sz w:val="20"/>
              </w:rPr>
              <w:t xml:space="preserve"> designated days or until most recent scheduled day of follow up if still ongoing</w:t>
            </w:r>
            <w:r w:rsidR="00E65035">
              <w:rPr>
                <w:sz w:val="20"/>
              </w:rPr>
              <w:t>.</w:t>
            </w:r>
          </w:p>
          <w:p w14:paraId="757A2308" w14:textId="77777777" w:rsidR="005028A8" w:rsidRDefault="005028A8" w:rsidP="00E65035">
            <w:pPr>
              <w:pStyle w:val="TableParagraph"/>
              <w:ind w:left="98" w:right="100"/>
              <w:rPr>
                <w:sz w:val="20"/>
              </w:rPr>
            </w:pPr>
          </w:p>
        </w:tc>
        <w:tc>
          <w:tcPr>
            <w:tcW w:w="631" w:type="dxa"/>
            <w:tcBorders>
              <w:top w:val="single" w:sz="8" w:space="0" w:color="4F81BD"/>
              <w:bottom w:val="single" w:sz="8" w:space="0" w:color="4F81BD"/>
            </w:tcBorders>
          </w:tcPr>
          <w:p w14:paraId="699EDFEB" w14:textId="77777777" w:rsidR="005028A8" w:rsidRDefault="005028A8"/>
        </w:tc>
        <w:tc>
          <w:tcPr>
            <w:tcW w:w="540" w:type="dxa"/>
            <w:tcBorders>
              <w:top w:val="single" w:sz="8" w:space="0" w:color="4F81BD"/>
              <w:bottom w:val="single" w:sz="8" w:space="0" w:color="4F81BD"/>
            </w:tcBorders>
          </w:tcPr>
          <w:p w14:paraId="0F011783" w14:textId="77777777" w:rsidR="005028A8" w:rsidRDefault="005028A8"/>
        </w:tc>
        <w:tc>
          <w:tcPr>
            <w:tcW w:w="464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37EFA799" w14:textId="77777777" w:rsidR="005028A8" w:rsidRDefault="005028A8"/>
        </w:tc>
      </w:tr>
      <w:tr w:rsidR="005028A8" w14:paraId="11F53888" w14:textId="77777777">
        <w:trPr>
          <w:trHeight w:hRule="exact" w:val="811"/>
        </w:trPr>
        <w:tc>
          <w:tcPr>
            <w:tcW w:w="5035" w:type="dxa"/>
            <w:tcBorders>
              <w:top w:val="single" w:sz="8" w:space="0" w:color="4F81BD"/>
              <w:bottom w:val="single" w:sz="8" w:space="0" w:color="4F81BD"/>
            </w:tcBorders>
          </w:tcPr>
          <w:p w14:paraId="3A9C9994" w14:textId="77777777" w:rsidR="005028A8" w:rsidRDefault="00280A7B">
            <w:pPr>
              <w:pStyle w:val="TableParagraph"/>
              <w:ind w:right="294"/>
              <w:jc w:val="both"/>
              <w:rPr>
                <w:sz w:val="20"/>
              </w:rPr>
            </w:pPr>
            <w:r>
              <w:rPr>
                <w:sz w:val="20"/>
              </w:rPr>
              <w:t>3) Blood is captured in the center of the printed circles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in the filter papers, reaching as much saturation within the circle as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possible.</w:t>
            </w:r>
          </w:p>
        </w:tc>
        <w:tc>
          <w:tcPr>
            <w:tcW w:w="631" w:type="dxa"/>
            <w:tcBorders>
              <w:top w:val="single" w:sz="8" w:space="0" w:color="4F81BD"/>
              <w:bottom w:val="single" w:sz="8" w:space="0" w:color="4F81BD"/>
            </w:tcBorders>
          </w:tcPr>
          <w:p w14:paraId="24BC8D06" w14:textId="77777777" w:rsidR="005028A8" w:rsidRDefault="005028A8"/>
        </w:tc>
        <w:tc>
          <w:tcPr>
            <w:tcW w:w="540" w:type="dxa"/>
            <w:tcBorders>
              <w:top w:val="single" w:sz="8" w:space="0" w:color="4F81BD"/>
              <w:bottom w:val="single" w:sz="8" w:space="0" w:color="4F81BD"/>
            </w:tcBorders>
          </w:tcPr>
          <w:p w14:paraId="707AD2E1" w14:textId="77777777" w:rsidR="005028A8" w:rsidRDefault="005028A8"/>
        </w:tc>
        <w:tc>
          <w:tcPr>
            <w:tcW w:w="4644" w:type="dxa"/>
            <w:tcBorders>
              <w:top w:val="single" w:sz="8" w:space="0" w:color="4F81BD"/>
              <w:bottom w:val="single" w:sz="8" w:space="0" w:color="4F81BD"/>
            </w:tcBorders>
          </w:tcPr>
          <w:p w14:paraId="32F8E851" w14:textId="77777777" w:rsidR="005028A8" w:rsidRDefault="005028A8"/>
        </w:tc>
      </w:tr>
      <w:tr w:rsidR="005028A8" w14:paraId="609A96DC" w14:textId="77777777">
        <w:trPr>
          <w:trHeight w:hRule="exact" w:val="809"/>
        </w:trPr>
        <w:tc>
          <w:tcPr>
            <w:tcW w:w="50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0786695D" w14:textId="77777777" w:rsidR="005028A8" w:rsidRDefault="00280A7B">
            <w:pPr>
              <w:pStyle w:val="TableParagraph"/>
              <w:ind w:left="98" w:right="323"/>
              <w:jc w:val="both"/>
              <w:rPr>
                <w:sz w:val="20"/>
              </w:rPr>
            </w:pPr>
            <w:r>
              <w:rPr>
                <w:sz w:val="20"/>
              </w:rPr>
              <w:t xml:space="preserve">4) Filter papers are stored in individual plastic bags (one filter paper/bag) with </w:t>
            </w:r>
            <w:proofErr w:type="gramStart"/>
            <w:r>
              <w:rPr>
                <w:sz w:val="20"/>
              </w:rPr>
              <w:t>desiccant, and</w:t>
            </w:r>
            <w:proofErr w:type="gramEnd"/>
            <w:r>
              <w:rPr>
                <w:sz w:val="20"/>
              </w:rPr>
              <w:t xml:space="preserve"> organized by day of visit or by patient.</w:t>
            </w:r>
          </w:p>
        </w:tc>
        <w:tc>
          <w:tcPr>
            <w:tcW w:w="631" w:type="dxa"/>
            <w:tcBorders>
              <w:top w:val="single" w:sz="8" w:space="0" w:color="4F81BD"/>
              <w:bottom w:val="single" w:sz="8" w:space="0" w:color="4F81BD"/>
            </w:tcBorders>
          </w:tcPr>
          <w:p w14:paraId="4A84D1DA" w14:textId="77777777" w:rsidR="005028A8" w:rsidRDefault="005028A8"/>
        </w:tc>
        <w:tc>
          <w:tcPr>
            <w:tcW w:w="540" w:type="dxa"/>
            <w:tcBorders>
              <w:top w:val="single" w:sz="8" w:space="0" w:color="4F81BD"/>
              <w:bottom w:val="single" w:sz="8" w:space="0" w:color="4F81BD"/>
            </w:tcBorders>
          </w:tcPr>
          <w:p w14:paraId="64737375" w14:textId="77777777" w:rsidR="005028A8" w:rsidRDefault="005028A8"/>
        </w:tc>
        <w:tc>
          <w:tcPr>
            <w:tcW w:w="464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3C21327C" w14:textId="77777777" w:rsidR="005028A8" w:rsidRDefault="005028A8"/>
        </w:tc>
      </w:tr>
      <w:tr w:rsidR="005028A8" w14:paraId="3F4324AF" w14:textId="77777777">
        <w:trPr>
          <w:trHeight w:hRule="exact" w:val="540"/>
        </w:trPr>
        <w:tc>
          <w:tcPr>
            <w:tcW w:w="5035" w:type="dxa"/>
            <w:tcBorders>
              <w:top w:val="single" w:sz="8" w:space="0" w:color="4F81BD"/>
              <w:bottom w:val="single" w:sz="8" w:space="0" w:color="4F81BD"/>
            </w:tcBorders>
          </w:tcPr>
          <w:p w14:paraId="259A71A1" w14:textId="77777777" w:rsidR="005028A8" w:rsidRDefault="00280A7B">
            <w:pPr>
              <w:pStyle w:val="TableParagraph"/>
              <w:ind w:right="199"/>
              <w:rPr>
                <w:sz w:val="20"/>
              </w:rPr>
            </w:pPr>
            <w:r>
              <w:rPr>
                <w:sz w:val="20"/>
              </w:rPr>
              <w:t>5) Date written on individual filter papers matches date in corresponding clinical forms.</w:t>
            </w:r>
          </w:p>
        </w:tc>
        <w:tc>
          <w:tcPr>
            <w:tcW w:w="631" w:type="dxa"/>
            <w:tcBorders>
              <w:top w:val="single" w:sz="8" w:space="0" w:color="4F81BD"/>
              <w:bottom w:val="single" w:sz="8" w:space="0" w:color="4F81BD"/>
            </w:tcBorders>
          </w:tcPr>
          <w:p w14:paraId="3106030F" w14:textId="77777777" w:rsidR="005028A8" w:rsidRDefault="005028A8"/>
        </w:tc>
        <w:tc>
          <w:tcPr>
            <w:tcW w:w="540" w:type="dxa"/>
            <w:tcBorders>
              <w:top w:val="single" w:sz="8" w:space="0" w:color="4F81BD"/>
              <w:bottom w:val="single" w:sz="8" w:space="0" w:color="4F81BD"/>
            </w:tcBorders>
          </w:tcPr>
          <w:p w14:paraId="4EB01A8F" w14:textId="77777777" w:rsidR="005028A8" w:rsidRDefault="005028A8"/>
        </w:tc>
        <w:tc>
          <w:tcPr>
            <w:tcW w:w="4644" w:type="dxa"/>
            <w:tcBorders>
              <w:top w:val="single" w:sz="8" w:space="0" w:color="4F81BD"/>
              <w:bottom w:val="single" w:sz="8" w:space="0" w:color="4F81BD"/>
            </w:tcBorders>
          </w:tcPr>
          <w:p w14:paraId="54F7BE0F" w14:textId="77777777" w:rsidR="005028A8" w:rsidRDefault="005028A8"/>
        </w:tc>
      </w:tr>
      <w:tr w:rsidR="005028A8" w14:paraId="248915C7" w14:textId="77777777">
        <w:trPr>
          <w:trHeight w:hRule="exact" w:val="305"/>
        </w:trPr>
        <w:tc>
          <w:tcPr>
            <w:tcW w:w="5035" w:type="dxa"/>
            <w:tcBorders>
              <w:top w:val="nil"/>
              <w:left w:val="nil"/>
              <w:bottom w:val="nil"/>
            </w:tcBorders>
            <w:shd w:val="clear" w:color="auto" w:fill="4F81BD"/>
          </w:tcPr>
          <w:p w14:paraId="0DE3223F" w14:textId="77777777" w:rsidR="005028A8" w:rsidRDefault="00280A7B">
            <w:pPr>
              <w:pStyle w:val="TableParagraph"/>
              <w:spacing w:before="11"/>
              <w:ind w:left="1970"/>
              <w:rPr>
                <w:b/>
              </w:rPr>
            </w:pPr>
            <w:r>
              <w:rPr>
                <w:b/>
                <w:color w:val="FFFFFF"/>
                <w:u w:val="single" w:color="FFFFFF"/>
              </w:rPr>
              <w:t>Blood slides</w:t>
            </w:r>
          </w:p>
        </w:tc>
        <w:tc>
          <w:tcPr>
            <w:tcW w:w="631" w:type="dxa"/>
            <w:vMerge w:val="restart"/>
            <w:tcBorders>
              <w:top w:val="single" w:sz="8" w:space="0" w:color="4F81BD"/>
            </w:tcBorders>
          </w:tcPr>
          <w:p w14:paraId="5DA5881A" w14:textId="77777777" w:rsidR="005028A8" w:rsidRDefault="005028A8"/>
        </w:tc>
        <w:tc>
          <w:tcPr>
            <w:tcW w:w="540" w:type="dxa"/>
            <w:vMerge w:val="restart"/>
            <w:tcBorders>
              <w:top w:val="single" w:sz="8" w:space="0" w:color="4F81BD"/>
            </w:tcBorders>
          </w:tcPr>
          <w:p w14:paraId="326336A5" w14:textId="77777777" w:rsidR="005028A8" w:rsidRDefault="005028A8"/>
        </w:tc>
        <w:tc>
          <w:tcPr>
            <w:tcW w:w="4644" w:type="dxa"/>
            <w:vMerge w:val="restart"/>
            <w:tcBorders>
              <w:top w:val="single" w:sz="8" w:space="0" w:color="4F81BD"/>
              <w:right w:val="single" w:sz="8" w:space="0" w:color="4F81BD"/>
            </w:tcBorders>
          </w:tcPr>
          <w:p w14:paraId="233432AF" w14:textId="77777777" w:rsidR="005028A8" w:rsidRDefault="005028A8"/>
        </w:tc>
      </w:tr>
      <w:tr w:rsidR="005028A8" w14:paraId="063F66A2" w14:textId="77777777">
        <w:trPr>
          <w:trHeight w:hRule="exact" w:val="595"/>
        </w:trPr>
        <w:tc>
          <w:tcPr>
            <w:tcW w:w="5035" w:type="dxa"/>
            <w:tcBorders>
              <w:top w:val="single" w:sz="8" w:space="0" w:color="4F81BD"/>
              <w:bottom w:val="single" w:sz="8" w:space="0" w:color="4F81BD"/>
            </w:tcBorders>
          </w:tcPr>
          <w:p w14:paraId="3A154198" w14:textId="77777777" w:rsidR="005028A8" w:rsidRDefault="00280A7B">
            <w:pPr>
              <w:pStyle w:val="TableParagraph"/>
              <w:ind w:right="113"/>
              <w:rPr>
                <w:sz w:val="20"/>
              </w:rPr>
            </w:pPr>
            <w:r>
              <w:rPr>
                <w:sz w:val="20"/>
              </w:rPr>
              <w:t>6) The participant’s unique identification number, date and follow-up day are labeled on all smear slides.</w:t>
            </w:r>
          </w:p>
        </w:tc>
        <w:tc>
          <w:tcPr>
            <w:tcW w:w="631" w:type="dxa"/>
            <w:vMerge/>
            <w:tcBorders>
              <w:bottom w:val="single" w:sz="8" w:space="0" w:color="4F81BD"/>
            </w:tcBorders>
          </w:tcPr>
          <w:p w14:paraId="5C8236F0" w14:textId="77777777" w:rsidR="005028A8" w:rsidRDefault="005028A8"/>
        </w:tc>
        <w:tc>
          <w:tcPr>
            <w:tcW w:w="540" w:type="dxa"/>
            <w:vMerge/>
            <w:tcBorders>
              <w:bottom w:val="single" w:sz="8" w:space="0" w:color="4F81BD"/>
            </w:tcBorders>
          </w:tcPr>
          <w:p w14:paraId="0A828369" w14:textId="77777777" w:rsidR="005028A8" w:rsidRDefault="005028A8"/>
        </w:tc>
        <w:tc>
          <w:tcPr>
            <w:tcW w:w="4644" w:type="dxa"/>
            <w:vMerge/>
            <w:tcBorders>
              <w:bottom w:val="single" w:sz="8" w:space="0" w:color="4F81BD"/>
              <w:right w:val="single" w:sz="8" w:space="0" w:color="4F81BD"/>
            </w:tcBorders>
          </w:tcPr>
          <w:p w14:paraId="4BF80E0A" w14:textId="77777777" w:rsidR="005028A8" w:rsidRDefault="005028A8"/>
        </w:tc>
      </w:tr>
      <w:tr w:rsidR="005028A8" w14:paraId="5A0E2D10" w14:textId="77777777">
        <w:trPr>
          <w:trHeight w:hRule="exact" w:val="1169"/>
        </w:trPr>
        <w:tc>
          <w:tcPr>
            <w:tcW w:w="50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495115E4" w14:textId="77777777" w:rsidR="005028A8" w:rsidRDefault="00280A7B">
            <w:pPr>
              <w:pStyle w:val="TableParagraph"/>
              <w:ind w:left="98" w:right="143"/>
              <w:rPr>
                <w:sz w:val="20"/>
              </w:rPr>
            </w:pPr>
            <w:r>
              <w:rPr>
                <w:sz w:val="20"/>
              </w:rPr>
              <w:t>7) Slides were prepared and labeled with day for the participant on Day 0, Day 2, Day 3, Day 7, Day 14, Day 21, and Day 28 [Day 35 and 42 where applicable] or until most recent scheduled day if follow-up is ongoing.</w:t>
            </w:r>
          </w:p>
        </w:tc>
        <w:tc>
          <w:tcPr>
            <w:tcW w:w="631" w:type="dxa"/>
            <w:tcBorders>
              <w:top w:val="single" w:sz="8" w:space="0" w:color="4F81BD"/>
              <w:bottom w:val="single" w:sz="8" w:space="0" w:color="4F81BD"/>
            </w:tcBorders>
          </w:tcPr>
          <w:p w14:paraId="46C198C8" w14:textId="77777777" w:rsidR="005028A8" w:rsidRDefault="005028A8"/>
        </w:tc>
        <w:tc>
          <w:tcPr>
            <w:tcW w:w="540" w:type="dxa"/>
            <w:tcBorders>
              <w:top w:val="single" w:sz="8" w:space="0" w:color="4F81BD"/>
              <w:bottom w:val="single" w:sz="8" w:space="0" w:color="4F81BD"/>
            </w:tcBorders>
          </w:tcPr>
          <w:p w14:paraId="0C0EF90A" w14:textId="77777777" w:rsidR="005028A8" w:rsidRDefault="005028A8"/>
        </w:tc>
        <w:tc>
          <w:tcPr>
            <w:tcW w:w="464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3574B9F1" w14:textId="77777777" w:rsidR="005028A8" w:rsidRDefault="005028A8"/>
        </w:tc>
      </w:tr>
      <w:tr w:rsidR="005028A8" w14:paraId="1D348B65" w14:textId="77777777">
        <w:trPr>
          <w:trHeight w:hRule="exact" w:val="1080"/>
        </w:trPr>
        <w:tc>
          <w:tcPr>
            <w:tcW w:w="5035" w:type="dxa"/>
            <w:tcBorders>
              <w:top w:val="single" w:sz="8" w:space="0" w:color="4F81BD"/>
              <w:bottom w:val="single" w:sz="8" w:space="0" w:color="4F81BD"/>
            </w:tcBorders>
          </w:tcPr>
          <w:p w14:paraId="6CE3A8D5" w14:textId="77777777" w:rsidR="005028A8" w:rsidRDefault="00280A7B">
            <w:pPr>
              <w:pStyle w:val="TableParagraph"/>
              <w:ind w:right="336"/>
              <w:rPr>
                <w:i/>
                <w:sz w:val="20"/>
              </w:rPr>
            </w:pPr>
            <w:r>
              <w:rPr>
                <w:sz w:val="20"/>
              </w:rPr>
              <w:t xml:space="preserve">8) Thick and thin (when appropriate) blood smears are prepared on each follow-up day as per WHO Guidelines. </w:t>
            </w:r>
            <w:r>
              <w:rPr>
                <w:i/>
                <w:sz w:val="20"/>
              </w:rPr>
              <w:t>Note that the thin smear is often omitted because it is mainly relevant for sites with &gt;1 Plasmodium species.</w:t>
            </w:r>
          </w:p>
        </w:tc>
        <w:tc>
          <w:tcPr>
            <w:tcW w:w="631" w:type="dxa"/>
            <w:tcBorders>
              <w:top w:val="single" w:sz="8" w:space="0" w:color="4F81BD"/>
              <w:bottom w:val="single" w:sz="8" w:space="0" w:color="4F81BD"/>
            </w:tcBorders>
          </w:tcPr>
          <w:p w14:paraId="74D0F467" w14:textId="77777777" w:rsidR="005028A8" w:rsidRDefault="005028A8"/>
        </w:tc>
        <w:tc>
          <w:tcPr>
            <w:tcW w:w="540" w:type="dxa"/>
            <w:tcBorders>
              <w:top w:val="single" w:sz="8" w:space="0" w:color="4F81BD"/>
              <w:bottom w:val="single" w:sz="8" w:space="0" w:color="4F81BD"/>
            </w:tcBorders>
          </w:tcPr>
          <w:p w14:paraId="0F3D0B88" w14:textId="77777777" w:rsidR="005028A8" w:rsidRDefault="005028A8"/>
        </w:tc>
        <w:tc>
          <w:tcPr>
            <w:tcW w:w="4644" w:type="dxa"/>
            <w:tcBorders>
              <w:top w:val="single" w:sz="8" w:space="0" w:color="4F81BD"/>
              <w:bottom w:val="single" w:sz="8" w:space="0" w:color="4F81BD"/>
            </w:tcBorders>
          </w:tcPr>
          <w:p w14:paraId="33F01A7A" w14:textId="77777777" w:rsidR="005028A8" w:rsidRDefault="005028A8"/>
        </w:tc>
      </w:tr>
    </w:tbl>
    <w:p w14:paraId="03D469B4" w14:textId="77777777" w:rsidR="00881115" w:rsidRDefault="00881115"/>
    <w:sectPr w:rsidR="00881115">
      <w:pgSz w:w="12240" w:h="15840"/>
      <w:pgMar w:top="400" w:right="540" w:bottom="280" w:left="600" w:header="18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FB5500" w14:textId="77777777" w:rsidR="00A968DE" w:rsidRDefault="00A968DE">
      <w:r>
        <w:separator/>
      </w:r>
    </w:p>
  </w:endnote>
  <w:endnote w:type="continuationSeparator" w:id="0">
    <w:p w14:paraId="09F8A6E9" w14:textId="77777777" w:rsidR="00A968DE" w:rsidRDefault="00A96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7C0DD" w14:textId="77777777" w:rsidR="00A968DE" w:rsidRDefault="00A968DE">
      <w:r>
        <w:separator/>
      </w:r>
    </w:p>
  </w:footnote>
  <w:footnote w:type="continuationSeparator" w:id="0">
    <w:p w14:paraId="03DE80AE" w14:textId="77777777" w:rsidR="00A968DE" w:rsidRDefault="00A96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96F61" w14:textId="77777777" w:rsidR="005028A8" w:rsidRDefault="00564B5F">
    <w:pPr>
      <w:pStyle w:val="BodyText"/>
      <w:spacing w:line="14" w:lineRule="auto"/>
      <w:rPr>
        <w:b w:val="0"/>
        <w:sz w:val="20"/>
        <w:u w:val="non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2B12A0B" wp14:editId="21A6BCF8">
              <wp:simplePos x="0" y="0"/>
              <wp:positionH relativeFrom="page">
                <wp:posOffset>7219950</wp:posOffset>
              </wp:positionH>
              <wp:positionV relativeFrom="page">
                <wp:posOffset>106045</wp:posOffset>
              </wp:positionV>
              <wp:extent cx="121920" cy="165735"/>
              <wp:effectExtent l="0" t="1270" r="1905" b="444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125904" w14:textId="77777777" w:rsidR="005028A8" w:rsidRDefault="00280A7B">
                          <w:pPr>
                            <w:spacing w:line="245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40491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8.5pt;margin-top:8.35pt;width:9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nbZqQ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" filled="f" stroked="f">
              <v:textbox inset="0,0,0,0">
                <w:txbxContent>
                  <w:p w:rsidR="005028A8" w:rsidRDefault="00280A7B">
                    <w:pPr>
                      <w:spacing w:line="245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840491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379F3"/>
    <w:multiLevelType w:val="hybridMultilevel"/>
    <w:tmpl w:val="7AFCB0E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  <w:w w:val="100"/>
      </w:rPr>
    </w:lvl>
    <w:lvl w:ilvl="1" w:tplc="F2B8419C">
      <w:numFmt w:val="bullet"/>
      <w:lvlText w:val="•"/>
      <w:lvlJc w:val="left"/>
      <w:pPr>
        <w:ind w:left="1788" w:hanging="360"/>
      </w:pPr>
      <w:rPr>
        <w:rFonts w:hint="default"/>
      </w:rPr>
    </w:lvl>
    <w:lvl w:ilvl="2" w:tplc="68F04348">
      <w:numFmt w:val="bullet"/>
      <w:lvlText w:val="•"/>
      <w:lvlJc w:val="left"/>
      <w:pPr>
        <w:ind w:left="2736" w:hanging="360"/>
      </w:pPr>
      <w:rPr>
        <w:rFonts w:hint="default"/>
      </w:rPr>
    </w:lvl>
    <w:lvl w:ilvl="3" w:tplc="A0EAD7D8">
      <w:numFmt w:val="bullet"/>
      <w:lvlText w:val="•"/>
      <w:lvlJc w:val="left"/>
      <w:pPr>
        <w:ind w:left="3684" w:hanging="360"/>
      </w:pPr>
      <w:rPr>
        <w:rFonts w:hint="default"/>
      </w:rPr>
    </w:lvl>
    <w:lvl w:ilvl="4" w:tplc="2D9C1936">
      <w:numFmt w:val="bullet"/>
      <w:lvlText w:val="•"/>
      <w:lvlJc w:val="left"/>
      <w:pPr>
        <w:ind w:left="4632" w:hanging="360"/>
      </w:pPr>
      <w:rPr>
        <w:rFonts w:hint="default"/>
      </w:rPr>
    </w:lvl>
    <w:lvl w:ilvl="5" w:tplc="71F2DAB8"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3F38CB2A">
      <w:numFmt w:val="bullet"/>
      <w:lvlText w:val="•"/>
      <w:lvlJc w:val="left"/>
      <w:pPr>
        <w:ind w:left="6528" w:hanging="360"/>
      </w:pPr>
      <w:rPr>
        <w:rFonts w:hint="default"/>
      </w:rPr>
    </w:lvl>
    <w:lvl w:ilvl="7" w:tplc="A1828C60">
      <w:numFmt w:val="bullet"/>
      <w:lvlText w:val="•"/>
      <w:lvlJc w:val="left"/>
      <w:pPr>
        <w:ind w:left="7476" w:hanging="360"/>
      </w:pPr>
      <w:rPr>
        <w:rFonts w:hint="default"/>
      </w:rPr>
    </w:lvl>
    <w:lvl w:ilvl="8" w:tplc="DE1A320A">
      <w:numFmt w:val="bullet"/>
      <w:lvlText w:val="•"/>
      <w:lvlJc w:val="left"/>
      <w:pPr>
        <w:ind w:left="8424" w:hanging="360"/>
      </w:pPr>
      <w:rPr>
        <w:rFonts w:hint="default"/>
      </w:rPr>
    </w:lvl>
  </w:abstractNum>
  <w:abstractNum w:abstractNumId="1" w15:restartNumberingAfterBreak="0">
    <w:nsid w:val="03EA5278"/>
    <w:multiLevelType w:val="hybridMultilevel"/>
    <w:tmpl w:val="177EC1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C7FC6"/>
    <w:multiLevelType w:val="hybridMultilevel"/>
    <w:tmpl w:val="AED6B406"/>
    <w:lvl w:ilvl="0" w:tplc="DCF09D44">
      <w:start w:val="1"/>
      <w:numFmt w:val="lowerLetter"/>
      <w:lvlText w:val="%1.)"/>
      <w:lvlJc w:val="left"/>
      <w:pPr>
        <w:ind w:left="4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8" w:hanging="360"/>
      </w:pPr>
    </w:lvl>
    <w:lvl w:ilvl="2" w:tplc="0409001B" w:tentative="1">
      <w:start w:val="1"/>
      <w:numFmt w:val="lowerRoman"/>
      <w:lvlText w:val="%3."/>
      <w:lvlJc w:val="right"/>
      <w:pPr>
        <w:ind w:left="1898" w:hanging="180"/>
      </w:pPr>
    </w:lvl>
    <w:lvl w:ilvl="3" w:tplc="0409000F" w:tentative="1">
      <w:start w:val="1"/>
      <w:numFmt w:val="decimal"/>
      <w:lvlText w:val="%4."/>
      <w:lvlJc w:val="left"/>
      <w:pPr>
        <w:ind w:left="2618" w:hanging="360"/>
      </w:pPr>
    </w:lvl>
    <w:lvl w:ilvl="4" w:tplc="04090019" w:tentative="1">
      <w:start w:val="1"/>
      <w:numFmt w:val="lowerLetter"/>
      <w:lvlText w:val="%5."/>
      <w:lvlJc w:val="left"/>
      <w:pPr>
        <w:ind w:left="3338" w:hanging="360"/>
      </w:pPr>
    </w:lvl>
    <w:lvl w:ilvl="5" w:tplc="0409001B" w:tentative="1">
      <w:start w:val="1"/>
      <w:numFmt w:val="lowerRoman"/>
      <w:lvlText w:val="%6."/>
      <w:lvlJc w:val="right"/>
      <w:pPr>
        <w:ind w:left="4058" w:hanging="180"/>
      </w:pPr>
    </w:lvl>
    <w:lvl w:ilvl="6" w:tplc="0409000F" w:tentative="1">
      <w:start w:val="1"/>
      <w:numFmt w:val="decimal"/>
      <w:lvlText w:val="%7."/>
      <w:lvlJc w:val="left"/>
      <w:pPr>
        <w:ind w:left="4778" w:hanging="360"/>
      </w:pPr>
    </w:lvl>
    <w:lvl w:ilvl="7" w:tplc="04090019" w:tentative="1">
      <w:start w:val="1"/>
      <w:numFmt w:val="lowerLetter"/>
      <w:lvlText w:val="%8."/>
      <w:lvlJc w:val="left"/>
      <w:pPr>
        <w:ind w:left="5498" w:hanging="360"/>
      </w:pPr>
    </w:lvl>
    <w:lvl w:ilvl="8" w:tplc="0409001B" w:tentative="1">
      <w:start w:val="1"/>
      <w:numFmt w:val="lowerRoman"/>
      <w:lvlText w:val="%9."/>
      <w:lvlJc w:val="right"/>
      <w:pPr>
        <w:ind w:left="6218" w:hanging="180"/>
      </w:pPr>
    </w:lvl>
  </w:abstractNum>
  <w:abstractNum w:abstractNumId="3" w15:restartNumberingAfterBreak="0">
    <w:nsid w:val="25DC22DC"/>
    <w:multiLevelType w:val="hybridMultilevel"/>
    <w:tmpl w:val="BED69264"/>
    <w:lvl w:ilvl="0" w:tplc="4B320CA0">
      <w:start w:val="2"/>
      <w:numFmt w:val="lowerLetter"/>
      <w:lvlText w:val="%1)"/>
      <w:lvlJc w:val="left"/>
      <w:pPr>
        <w:ind w:left="4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3" w:hanging="360"/>
      </w:pPr>
    </w:lvl>
    <w:lvl w:ilvl="2" w:tplc="0409001B" w:tentative="1">
      <w:start w:val="1"/>
      <w:numFmt w:val="lowerRoman"/>
      <w:lvlText w:val="%3."/>
      <w:lvlJc w:val="right"/>
      <w:pPr>
        <w:ind w:left="1903" w:hanging="180"/>
      </w:pPr>
    </w:lvl>
    <w:lvl w:ilvl="3" w:tplc="0409000F" w:tentative="1">
      <w:start w:val="1"/>
      <w:numFmt w:val="decimal"/>
      <w:lvlText w:val="%4."/>
      <w:lvlJc w:val="left"/>
      <w:pPr>
        <w:ind w:left="2623" w:hanging="360"/>
      </w:pPr>
    </w:lvl>
    <w:lvl w:ilvl="4" w:tplc="04090019" w:tentative="1">
      <w:start w:val="1"/>
      <w:numFmt w:val="lowerLetter"/>
      <w:lvlText w:val="%5."/>
      <w:lvlJc w:val="left"/>
      <w:pPr>
        <w:ind w:left="3343" w:hanging="360"/>
      </w:pPr>
    </w:lvl>
    <w:lvl w:ilvl="5" w:tplc="0409001B" w:tentative="1">
      <w:start w:val="1"/>
      <w:numFmt w:val="lowerRoman"/>
      <w:lvlText w:val="%6."/>
      <w:lvlJc w:val="right"/>
      <w:pPr>
        <w:ind w:left="4063" w:hanging="180"/>
      </w:pPr>
    </w:lvl>
    <w:lvl w:ilvl="6" w:tplc="0409000F" w:tentative="1">
      <w:start w:val="1"/>
      <w:numFmt w:val="decimal"/>
      <w:lvlText w:val="%7."/>
      <w:lvlJc w:val="left"/>
      <w:pPr>
        <w:ind w:left="4783" w:hanging="360"/>
      </w:pPr>
    </w:lvl>
    <w:lvl w:ilvl="7" w:tplc="04090019" w:tentative="1">
      <w:start w:val="1"/>
      <w:numFmt w:val="lowerLetter"/>
      <w:lvlText w:val="%8."/>
      <w:lvlJc w:val="left"/>
      <w:pPr>
        <w:ind w:left="5503" w:hanging="360"/>
      </w:pPr>
    </w:lvl>
    <w:lvl w:ilvl="8" w:tplc="0409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4" w15:restartNumberingAfterBreak="0">
    <w:nsid w:val="347117C0"/>
    <w:multiLevelType w:val="hybridMultilevel"/>
    <w:tmpl w:val="ACB2D068"/>
    <w:lvl w:ilvl="0" w:tplc="C86EE216">
      <w:numFmt w:val="bullet"/>
      <w:lvlText w:val=""/>
      <w:lvlJc w:val="left"/>
      <w:pPr>
        <w:ind w:left="720" w:hanging="360"/>
      </w:pPr>
      <w:rPr>
        <w:rFonts w:hint="default"/>
        <w:w w:val="100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5" w15:restartNumberingAfterBreak="0">
    <w:nsid w:val="363414C3"/>
    <w:multiLevelType w:val="hybridMultilevel"/>
    <w:tmpl w:val="907A3B88"/>
    <w:lvl w:ilvl="0" w:tplc="B39E6C78">
      <w:start w:val="2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38FE343C"/>
    <w:multiLevelType w:val="hybridMultilevel"/>
    <w:tmpl w:val="BC9AED24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A44ED9"/>
    <w:multiLevelType w:val="hybridMultilevel"/>
    <w:tmpl w:val="5D5631EA"/>
    <w:lvl w:ilvl="0" w:tplc="3CB08D34">
      <w:start w:val="1"/>
      <w:numFmt w:val="upperLetter"/>
      <w:lvlText w:val="%1)"/>
      <w:lvlJc w:val="left"/>
      <w:pPr>
        <w:ind w:left="479" w:hanging="360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1" w:tplc="8C3C8402">
      <w:numFmt w:val="bullet"/>
      <w:lvlText w:val="•"/>
      <w:lvlJc w:val="left"/>
      <w:pPr>
        <w:ind w:left="1548" w:hanging="360"/>
      </w:pPr>
      <w:rPr>
        <w:rFonts w:hint="default"/>
      </w:rPr>
    </w:lvl>
    <w:lvl w:ilvl="2" w:tplc="E5EC1144"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DFC08E16">
      <w:numFmt w:val="bullet"/>
      <w:lvlText w:val="•"/>
      <w:lvlJc w:val="left"/>
      <w:pPr>
        <w:ind w:left="3684" w:hanging="360"/>
      </w:pPr>
      <w:rPr>
        <w:rFonts w:hint="default"/>
      </w:rPr>
    </w:lvl>
    <w:lvl w:ilvl="4" w:tplc="8A6A7592">
      <w:numFmt w:val="bullet"/>
      <w:lvlText w:val="•"/>
      <w:lvlJc w:val="left"/>
      <w:pPr>
        <w:ind w:left="4752" w:hanging="360"/>
      </w:pPr>
      <w:rPr>
        <w:rFonts w:hint="default"/>
      </w:rPr>
    </w:lvl>
    <w:lvl w:ilvl="5" w:tplc="D5469CC4">
      <w:numFmt w:val="bullet"/>
      <w:lvlText w:val="•"/>
      <w:lvlJc w:val="left"/>
      <w:pPr>
        <w:ind w:left="5820" w:hanging="360"/>
      </w:pPr>
      <w:rPr>
        <w:rFonts w:hint="default"/>
      </w:rPr>
    </w:lvl>
    <w:lvl w:ilvl="6" w:tplc="AB8A384C">
      <w:numFmt w:val="bullet"/>
      <w:lvlText w:val="•"/>
      <w:lvlJc w:val="left"/>
      <w:pPr>
        <w:ind w:left="6888" w:hanging="360"/>
      </w:pPr>
      <w:rPr>
        <w:rFonts w:hint="default"/>
      </w:rPr>
    </w:lvl>
    <w:lvl w:ilvl="7" w:tplc="31C22F6C">
      <w:numFmt w:val="bullet"/>
      <w:lvlText w:val="•"/>
      <w:lvlJc w:val="left"/>
      <w:pPr>
        <w:ind w:left="7956" w:hanging="360"/>
      </w:pPr>
      <w:rPr>
        <w:rFonts w:hint="default"/>
      </w:rPr>
    </w:lvl>
    <w:lvl w:ilvl="8" w:tplc="A434DAAE">
      <w:numFmt w:val="bullet"/>
      <w:lvlText w:val="•"/>
      <w:lvlJc w:val="left"/>
      <w:pPr>
        <w:ind w:left="9024" w:hanging="360"/>
      </w:pPr>
      <w:rPr>
        <w:rFonts w:hint="default"/>
      </w:rPr>
    </w:lvl>
  </w:abstractNum>
  <w:abstractNum w:abstractNumId="8" w15:restartNumberingAfterBreak="0">
    <w:nsid w:val="687F161B"/>
    <w:multiLevelType w:val="hybridMultilevel"/>
    <w:tmpl w:val="BBE009CA"/>
    <w:lvl w:ilvl="0" w:tplc="4D2CE10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0B32C8"/>
    <w:multiLevelType w:val="hybridMultilevel"/>
    <w:tmpl w:val="CA1E70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w w:val="100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0" w15:restartNumberingAfterBreak="0">
    <w:nsid w:val="7EB6635D"/>
    <w:multiLevelType w:val="hybridMultilevel"/>
    <w:tmpl w:val="E42E7D2A"/>
    <w:lvl w:ilvl="0" w:tplc="E0ACBA56">
      <w:start w:val="2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1" w15:restartNumberingAfterBreak="0">
    <w:nsid w:val="7FE54959"/>
    <w:multiLevelType w:val="hybridMultilevel"/>
    <w:tmpl w:val="30C0946A"/>
    <w:lvl w:ilvl="0" w:tplc="09CE750C">
      <w:numFmt w:val="bullet"/>
      <w:lvlText w:val=""/>
      <w:lvlJc w:val="left"/>
      <w:pPr>
        <w:ind w:left="458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EC8ECCF8">
      <w:numFmt w:val="bullet"/>
      <w:lvlText w:val="•"/>
      <w:lvlJc w:val="left"/>
      <w:pPr>
        <w:ind w:left="918" w:hanging="360"/>
      </w:pPr>
      <w:rPr>
        <w:rFonts w:hint="default"/>
      </w:rPr>
    </w:lvl>
    <w:lvl w:ilvl="2" w:tplc="D910F238">
      <w:numFmt w:val="bullet"/>
      <w:lvlText w:val="•"/>
      <w:lvlJc w:val="left"/>
      <w:pPr>
        <w:ind w:left="1377" w:hanging="360"/>
      </w:pPr>
      <w:rPr>
        <w:rFonts w:hint="default"/>
      </w:rPr>
    </w:lvl>
    <w:lvl w:ilvl="3" w:tplc="E7FEA852">
      <w:numFmt w:val="bullet"/>
      <w:lvlText w:val="•"/>
      <w:lvlJc w:val="left"/>
      <w:pPr>
        <w:ind w:left="1836" w:hanging="360"/>
      </w:pPr>
      <w:rPr>
        <w:rFonts w:hint="default"/>
      </w:rPr>
    </w:lvl>
    <w:lvl w:ilvl="4" w:tplc="EC006B7E">
      <w:numFmt w:val="bullet"/>
      <w:lvlText w:val="•"/>
      <w:lvlJc w:val="left"/>
      <w:pPr>
        <w:ind w:left="2295" w:hanging="360"/>
      </w:pPr>
      <w:rPr>
        <w:rFonts w:hint="default"/>
      </w:rPr>
    </w:lvl>
    <w:lvl w:ilvl="5" w:tplc="41E8E6CC">
      <w:numFmt w:val="bullet"/>
      <w:lvlText w:val="•"/>
      <w:lvlJc w:val="left"/>
      <w:pPr>
        <w:ind w:left="2754" w:hanging="360"/>
      </w:pPr>
      <w:rPr>
        <w:rFonts w:hint="default"/>
      </w:rPr>
    </w:lvl>
    <w:lvl w:ilvl="6" w:tplc="E5745144">
      <w:numFmt w:val="bullet"/>
      <w:lvlText w:val="•"/>
      <w:lvlJc w:val="left"/>
      <w:pPr>
        <w:ind w:left="3213" w:hanging="360"/>
      </w:pPr>
      <w:rPr>
        <w:rFonts w:hint="default"/>
      </w:rPr>
    </w:lvl>
    <w:lvl w:ilvl="7" w:tplc="07E67CAE">
      <w:numFmt w:val="bullet"/>
      <w:lvlText w:val="•"/>
      <w:lvlJc w:val="left"/>
      <w:pPr>
        <w:ind w:left="3672" w:hanging="360"/>
      </w:pPr>
      <w:rPr>
        <w:rFonts w:hint="default"/>
      </w:rPr>
    </w:lvl>
    <w:lvl w:ilvl="8" w:tplc="C06432B4">
      <w:numFmt w:val="bullet"/>
      <w:lvlText w:val="•"/>
      <w:lvlJc w:val="left"/>
      <w:pPr>
        <w:ind w:left="4131" w:hanging="360"/>
      </w:pPr>
      <w:rPr>
        <w:rFonts w:hint="default"/>
      </w:rPr>
    </w:lvl>
  </w:abstractNum>
  <w:num w:numId="1">
    <w:abstractNumId w:val="11"/>
  </w:num>
  <w:num w:numId="2">
    <w:abstractNumId w:val="7"/>
  </w:num>
  <w:num w:numId="3">
    <w:abstractNumId w:val="2"/>
  </w:num>
  <w:num w:numId="4">
    <w:abstractNumId w:val="1"/>
  </w:num>
  <w:num w:numId="5">
    <w:abstractNumId w:val="8"/>
  </w:num>
  <w:num w:numId="6">
    <w:abstractNumId w:val="0"/>
  </w:num>
  <w:num w:numId="7">
    <w:abstractNumId w:val="4"/>
  </w:num>
  <w:num w:numId="8">
    <w:abstractNumId w:val="9"/>
  </w:num>
  <w:num w:numId="9">
    <w:abstractNumId w:val="5"/>
  </w:num>
  <w:num w:numId="10">
    <w:abstractNumId w:val="3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8A8"/>
    <w:rsid w:val="000B757D"/>
    <w:rsid w:val="00145B44"/>
    <w:rsid w:val="0027504E"/>
    <w:rsid w:val="00280A7B"/>
    <w:rsid w:val="005028A8"/>
    <w:rsid w:val="0054248B"/>
    <w:rsid w:val="00564B5F"/>
    <w:rsid w:val="006529BF"/>
    <w:rsid w:val="00840491"/>
    <w:rsid w:val="00881115"/>
    <w:rsid w:val="009D2A7D"/>
    <w:rsid w:val="00A307A9"/>
    <w:rsid w:val="00A968DE"/>
    <w:rsid w:val="00B51483"/>
    <w:rsid w:val="00E6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A54DB1B"/>
  <w15:docId w15:val="{407FA6DE-E2AE-40AE-B390-8A587BF2B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56"/>
      <w:ind w:left="479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3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248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48B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USAID</dc:creator>
  <cp:lastModifiedBy>Moriarty, Leah (CDC/DDPHSIS/CGH/DPDM)</cp:lastModifiedBy>
  <cp:revision>4</cp:revision>
  <dcterms:created xsi:type="dcterms:W3CDTF">2019-04-30T17:48:00Z</dcterms:created>
  <dcterms:modified xsi:type="dcterms:W3CDTF">2019-08-18T19:48:00Z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2018-06-18T00:00:00Z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2018-10-12T00:00:00Z</vt:filetime>
  </property>
</Properties>
</file>