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1A" w:rsidRDefault="003729F3">
      <w:pPr>
        <w:pStyle w:val="BodyText"/>
        <w:spacing w:before="39"/>
        <w:ind w:left="3903" w:right="3903"/>
        <w:jc w:val="center"/>
      </w:pPr>
      <w:bookmarkStart w:id="0" w:name="_GoBack"/>
      <w:bookmarkEnd w:id="0"/>
      <w:r>
        <w:rPr>
          <w:u w:val="single"/>
        </w:rPr>
        <w:t xml:space="preserve">Therapeutic Efficacy Survey </w:t>
      </w:r>
      <w:r>
        <w:t>QA/QC Checklist (site)</w:t>
      </w:r>
    </w:p>
    <w:p w:rsidR="00BA0A1A" w:rsidRDefault="00BA0A1A">
      <w:pPr>
        <w:rPr>
          <w:b/>
        </w:rPr>
      </w:pPr>
    </w:p>
    <w:p w:rsidR="00BA0A1A" w:rsidRDefault="003729F3">
      <w:pPr>
        <w:pStyle w:val="BodyText"/>
        <w:ind w:left="99" w:right="238"/>
        <w:jc w:val="center"/>
      </w:pPr>
      <w:r>
        <w:t>Instructions: This form is meant to capture data related to the site. Please fill out only one form for each site.</w:t>
      </w:r>
    </w:p>
    <w:p w:rsidR="00BA0A1A" w:rsidRDefault="00BA0A1A">
      <w:pPr>
        <w:spacing w:before="2"/>
        <w:rPr>
          <w:b/>
          <w:sz w:val="17"/>
        </w:rPr>
      </w:pPr>
    </w:p>
    <w:p w:rsidR="00BA0A1A" w:rsidRDefault="003729F3">
      <w:pPr>
        <w:pStyle w:val="BodyText"/>
        <w:tabs>
          <w:tab w:val="left" w:pos="4443"/>
          <w:tab w:val="left" w:pos="4848"/>
          <w:tab w:val="left" w:pos="9855"/>
        </w:tabs>
        <w:spacing w:before="56"/>
        <w:ind w:left="12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ab/>
        <w:t>Principal investigator of</w:t>
      </w:r>
      <w:r>
        <w:rPr>
          <w:spacing w:val="-14"/>
        </w:rPr>
        <w:t xml:space="preserve"> </w:t>
      </w:r>
      <w:r>
        <w:t>site: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BA0A1A" w:rsidRDefault="00BA0A1A">
      <w:pPr>
        <w:spacing w:before="4"/>
        <w:rPr>
          <w:b/>
          <w:sz w:val="17"/>
        </w:rPr>
      </w:pPr>
    </w:p>
    <w:p w:rsidR="00BA0A1A" w:rsidRDefault="003729F3">
      <w:pPr>
        <w:pStyle w:val="BodyText"/>
        <w:tabs>
          <w:tab w:val="left" w:pos="4459"/>
          <w:tab w:val="left" w:pos="4812"/>
          <w:tab w:val="left" w:pos="7839"/>
          <w:tab w:val="left" w:pos="8263"/>
          <w:tab w:val="left" w:pos="8951"/>
        </w:tabs>
        <w:spacing w:before="57"/>
        <w:ind w:left="120"/>
      </w:pPr>
      <w:r>
        <w:t>Checklist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proofErr w:type="gramStart"/>
      <w:r>
        <w:t>by:</w:t>
      </w:r>
      <w:proofErr w:type="gramEnd"/>
      <w:r>
        <w:rPr>
          <w:u w:val="thick"/>
        </w:rPr>
        <w:t xml:space="preserve"> </w:t>
      </w:r>
      <w:r>
        <w:rPr>
          <w:u w:val="thick"/>
        </w:rPr>
        <w:tab/>
      </w:r>
      <w:r>
        <w:tab/>
        <w:t>Date(s) of</w:t>
      </w:r>
      <w:r>
        <w:rPr>
          <w:spacing w:val="-7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(MM/DD/YY):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BA0A1A" w:rsidRDefault="00BA0A1A">
      <w:pPr>
        <w:rPr>
          <w:b/>
          <w:sz w:val="20"/>
        </w:rPr>
      </w:pPr>
    </w:p>
    <w:p w:rsidR="00BA0A1A" w:rsidRDefault="00BA0A1A">
      <w:pPr>
        <w:spacing w:before="5"/>
        <w:rPr>
          <w:b/>
          <w:sz w:val="19"/>
        </w:rPr>
      </w:pPr>
    </w:p>
    <w:p w:rsidR="00BA0A1A" w:rsidRDefault="003729F3">
      <w:pPr>
        <w:pStyle w:val="BodyText"/>
        <w:spacing w:before="57"/>
        <w:ind w:left="120"/>
      </w:pPr>
      <w:r>
        <w:t>Documentation and Storage Checks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4"/>
        <w:gridCol w:w="545"/>
        <w:gridCol w:w="506"/>
        <w:gridCol w:w="4527"/>
      </w:tblGrid>
      <w:tr w:rsidR="00BA0A1A">
        <w:trPr>
          <w:trHeight w:hRule="exact" w:val="442"/>
        </w:trPr>
        <w:tc>
          <w:tcPr>
            <w:tcW w:w="4494" w:type="dxa"/>
            <w:shd w:val="clear" w:color="auto" w:fill="4F81BC"/>
          </w:tcPr>
          <w:p w:rsidR="00BA0A1A" w:rsidRDefault="00BA0A1A"/>
        </w:tc>
        <w:tc>
          <w:tcPr>
            <w:tcW w:w="545" w:type="dxa"/>
            <w:shd w:val="clear" w:color="auto" w:fill="4F81BC"/>
          </w:tcPr>
          <w:p w:rsidR="00BA0A1A" w:rsidRDefault="003729F3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FFFFFF"/>
              </w:rPr>
              <w:t>Yes</w:t>
            </w:r>
          </w:p>
        </w:tc>
        <w:tc>
          <w:tcPr>
            <w:tcW w:w="506" w:type="dxa"/>
            <w:shd w:val="clear" w:color="auto" w:fill="4F81BC"/>
          </w:tcPr>
          <w:p w:rsidR="00BA0A1A" w:rsidRDefault="003729F3">
            <w:pPr>
              <w:pStyle w:val="TableParagraph"/>
              <w:ind w:left="115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4527" w:type="dxa"/>
            <w:shd w:val="clear" w:color="auto" w:fill="4F81BC"/>
          </w:tcPr>
          <w:p w:rsidR="00BA0A1A" w:rsidRDefault="003729F3">
            <w:pPr>
              <w:pStyle w:val="TableParagraph"/>
              <w:spacing w:before="0" w:line="268" w:lineRule="exact"/>
              <w:ind w:left="1745" w:right="17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 w:rsidR="00BA0A1A">
        <w:trPr>
          <w:trHeight w:hRule="exact" w:val="987"/>
        </w:trPr>
        <w:tc>
          <w:tcPr>
            <w:tcW w:w="4494" w:type="dxa"/>
          </w:tcPr>
          <w:p w:rsidR="00BA0A1A" w:rsidRDefault="003729F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1) All folders containing completed study forms are stored in a secure area (locked drawer, cabinet or room), and completed study forms are organized by patient ID.</w:t>
            </w:r>
          </w:p>
        </w:tc>
        <w:tc>
          <w:tcPr>
            <w:tcW w:w="545" w:type="dxa"/>
          </w:tcPr>
          <w:p w:rsidR="00BA0A1A" w:rsidRDefault="00BA0A1A"/>
        </w:tc>
        <w:tc>
          <w:tcPr>
            <w:tcW w:w="506" w:type="dxa"/>
          </w:tcPr>
          <w:p w:rsidR="00BA0A1A" w:rsidRDefault="00BA0A1A"/>
        </w:tc>
        <w:tc>
          <w:tcPr>
            <w:tcW w:w="4527" w:type="dxa"/>
          </w:tcPr>
          <w:p w:rsidR="00BA0A1A" w:rsidRDefault="00BA0A1A"/>
        </w:tc>
      </w:tr>
      <w:tr w:rsidR="00BA0A1A">
        <w:trPr>
          <w:trHeight w:hRule="exact" w:val="734"/>
        </w:trPr>
        <w:tc>
          <w:tcPr>
            <w:tcW w:w="4494" w:type="dxa"/>
            <w:tcBorders>
              <w:bottom w:val="single" w:sz="8" w:space="0" w:color="4F81BC"/>
            </w:tcBorders>
          </w:tcPr>
          <w:p w:rsidR="00BA0A1A" w:rsidRDefault="003729F3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2) Screening logbook is up-to-date (at least through the previous day).</w:t>
            </w:r>
          </w:p>
        </w:tc>
        <w:tc>
          <w:tcPr>
            <w:tcW w:w="545" w:type="dxa"/>
            <w:tcBorders>
              <w:bottom w:val="single" w:sz="8" w:space="0" w:color="4F81BC"/>
            </w:tcBorders>
          </w:tcPr>
          <w:p w:rsidR="00BA0A1A" w:rsidRDefault="00BA0A1A"/>
        </w:tc>
        <w:tc>
          <w:tcPr>
            <w:tcW w:w="506" w:type="dxa"/>
            <w:tcBorders>
              <w:bottom w:val="single" w:sz="8" w:space="0" w:color="4F81BC"/>
            </w:tcBorders>
          </w:tcPr>
          <w:p w:rsidR="00BA0A1A" w:rsidRDefault="00BA0A1A"/>
        </w:tc>
        <w:tc>
          <w:tcPr>
            <w:tcW w:w="4527" w:type="dxa"/>
            <w:tcBorders>
              <w:bottom w:val="single" w:sz="8" w:space="0" w:color="4F81BC"/>
            </w:tcBorders>
          </w:tcPr>
          <w:p w:rsidR="00BA0A1A" w:rsidRDefault="00BA0A1A"/>
        </w:tc>
      </w:tr>
      <w:tr w:rsidR="00BA0A1A">
        <w:trPr>
          <w:trHeight w:hRule="exact" w:val="739"/>
        </w:trPr>
        <w:tc>
          <w:tcPr>
            <w:tcW w:w="449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BA0A1A" w:rsidRDefault="003729F3">
            <w:pPr>
              <w:pStyle w:val="TableParagraph"/>
              <w:spacing w:before="116"/>
              <w:ind w:left="98" w:right="313"/>
              <w:rPr>
                <w:sz w:val="20"/>
              </w:rPr>
            </w:pPr>
            <w:r>
              <w:rPr>
                <w:sz w:val="20"/>
              </w:rPr>
              <w:t>3) Participant reimbursement log is up-to-date (at least through the previous day).</w:t>
            </w:r>
          </w:p>
        </w:tc>
        <w:tc>
          <w:tcPr>
            <w:tcW w:w="545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BA0A1A"/>
        </w:tc>
        <w:tc>
          <w:tcPr>
            <w:tcW w:w="506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BA0A1A"/>
        </w:tc>
        <w:tc>
          <w:tcPr>
            <w:tcW w:w="4527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BA0A1A" w:rsidRDefault="00BA0A1A"/>
        </w:tc>
      </w:tr>
      <w:tr w:rsidR="00BA0A1A" w:rsidTr="003376F9">
        <w:trPr>
          <w:trHeight w:hRule="exact" w:val="737"/>
        </w:trPr>
        <w:tc>
          <w:tcPr>
            <w:tcW w:w="4494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3729F3">
            <w:pPr>
              <w:pStyle w:val="TableParagraph"/>
              <w:spacing w:before="119"/>
              <w:ind w:right="168"/>
              <w:rPr>
                <w:sz w:val="20"/>
              </w:rPr>
            </w:pPr>
            <w:r>
              <w:rPr>
                <w:sz w:val="20"/>
              </w:rPr>
              <w:t>4) Laboratory logbook is up-to-date (at least through the previous day).</w:t>
            </w:r>
          </w:p>
        </w:tc>
        <w:tc>
          <w:tcPr>
            <w:tcW w:w="545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BA0A1A"/>
        </w:tc>
        <w:tc>
          <w:tcPr>
            <w:tcW w:w="506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BA0A1A"/>
        </w:tc>
        <w:tc>
          <w:tcPr>
            <w:tcW w:w="4527" w:type="dxa"/>
            <w:tcBorders>
              <w:top w:val="single" w:sz="8" w:space="0" w:color="4F81BC"/>
              <w:bottom w:val="single" w:sz="8" w:space="0" w:color="4F81BC"/>
            </w:tcBorders>
          </w:tcPr>
          <w:p w:rsidR="00BA0A1A" w:rsidRDefault="00BA0A1A"/>
        </w:tc>
      </w:tr>
      <w:tr w:rsidR="003376F9" w:rsidTr="003376F9">
        <w:trPr>
          <w:trHeight w:hRule="exact" w:val="942"/>
        </w:trPr>
        <w:tc>
          <w:tcPr>
            <w:tcW w:w="4494" w:type="dxa"/>
            <w:tcBorders>
              <w:top w:val="single" w:sz="8" w:space="0" w:color="4F81BC"/>
              <w:bottom w:val="single" w:sz="8" w:space="0" w:color="4F81BC"/>
            </w:tcBorders>
          </w:tcPr>
          <w:p w:rsidR="003376F9" w:rsidRDefault="003376F9" w:rsidP="003376F9">
            <w:pPr>
              <w:pStyle w:val="TableParagraph"/>
              <w:spacing w:before="119"/>
              <w:ind w:right="168"/>
              <w:rPr>
                <w:sz w:val="20"/>
              </w:rPr>
            </w:pPr>
            <w:r>
              <w:rPr>
                <w:sz w:val="20"/>
              </w:rPr>
              <w:t>5)</w:t>
            </w:r>
            <w:r w:rsidRPr="00145B44">
              <w:rPr>
                <w:sz w:val="20"/>
              </w:rPr>
              <w:t xml:space="preserve"> Two reads are performed for every slide and a third read is performed when the first two are discordant</w:t>
            </w:r>
          </w:p>
        </w:tc>
        <w:tc>
          <w:tcPr>
            <w:tcW w:w="545" w:type="dxa"/>
            <w:tcBorders>
              <w:top w:val="single" w:sz="8" w:space="0" w:color="4F81BC"/>
              <w:bottom w:val="single" w:sz="8" w:space="0" w:color="4F81BC"/>
            </w:tcBorders>
          </w:tcPr>
          <w:p w:rsidR="003376F9" w:rsidRDefault="003376F9" w:rsidP="003376F9"/>
        </w:tc>
        <w:tc>
          <w:tcPr>
            <w:tcW w:w="506" w:type="dxa"/>
            <w:tcBorders>
              <w:top w:val="single" w:sz="8" w:space="0" w:color="4F81BC"/>
              <w:bottom w:val="single" w:sz="8" w:space="0" w:color="4F81BC"/>
            </w:tcBorders>
          </w:tcPr>
          <w:p w:rsidR="003376F9" w:rsidRDefault="003376F9" w:rsidP="003376F9"/>
        </w:tc>
        <w:tc>
          <w:tcPr>
            <w:tcW w:w="4527" w:type="dxa"/>
            <w:tcBorders>
              <w:top w:val="single" w:sz="8" w:space="0" w:color="4F81BC"/>
              <w:bottom w:val="single" w:sz="8" w:space="0" w:color="4F81BC"/>
            </w:tcBorders>
          </w:tcPr>
          <w:p w:rsidR="003376F9" w:rsidRDefault="003376F9" w:rsidP="003376F9"/>
        </w:tc>
      </w:tr>
      <w:tr w:rsidR="000A29C9" w:rsidTr="003376F9">
        <w:trPr>
          <w:trHeight w:hRule="exact" w:val="942"/>
        </w:trPr>
        <w:tc>
          <w:tcPr>
            <w:tcW w:w="4494" w:type="dxa"/>
            <w:tcBorders>
              <w:top w:val="single" w:sz="8" w:space="0" w:color="4F81BC"/>
              <w:bottom w:val="single" w:sz="8" w:space="0" w:color="4F81BC"/>
            </w:tcBorders>
          </w:tcPr>
          <w:p w:rsidR="000A29C9" w:rsidRDefault="000A29C9" w:rsidP="002F16CD">
            <w:pPr>
              <w:pStyle w:val="TableParagraph"/>
              <w:spacing w:before="0"/>
              <w:ind w:right="168"/>
              <w:rPr>
                <w:sz w:val="20"/>
              </w:rPr>
            </w:pPr>
            <w:r>
              <w:rPr>
                <w:sz w:val="20"/>
              </w:rPr>
              <w:t xml:space="preserve">6) If the protocol includes HRP2 testing: </w:t>
            </w:r>
          </w:p>
          <w:p w:rsidR="000A29C9" w:rsidRDefault="000A29C9" w:rsidP="002F16CD">
            <w:pPr>
              <w:pStyle w:val="TableParagraph"/>
              <w:spacing w:before="0"/>
              <w:ind w:right="168"/>
              <w:rPr>
                <w:sz w:val="20"/>
              </w:rPr>
            </w:pPr>
            <w:r>
              <w:rPr>
                <w:sz w:val="20"/>
              </w:rPr>
              <w:t>Patients are enrolled in the study based on results of microscopy, not RDT</w:t>
            </w:r>
          </w:p>
          <w:p w:rsidR="000A29C9" w:rsidRDefault="000A29C9" w:rsidP="003376F9">
            <w:pPr>
              <w:pStyle w:val="TableParagraph"/>
              <w:spacing w:before="119"/>
              <w:ind w:right="168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8" w:space="0" w:color="4F81BC"/>
              <w:bottom w:val="single" w:sz="8" w:space="0" w:color="4F81BC"/>
            </w:tcBorders>
          </w:tcPr>
          <w:p w:rsidR="000A29C9" w:rsidRDefault="000A29C9" w:rsidP="003376F9"/>
        </w:tc>
        <w:tc>
          <w:tcPr>
            <w:tcW w:w="506" w:type="dxa"/>
            <w:tcBorders>
              <w:top w:val="single" w:sz="8" w:space="0" w:color="4F81BC"/>
              <w:bottom w:val="single" w:sz="8" w:space="0" w:color="4F81BC"/>
            </w:tcBorders>
          </w:tcPr>
          <w:p w:rsidR="000A29C9" w:rsidRDefault="000A29C9" w:rsidP="003376F9"/>
        </w:tc>
        <w:tc>
          <w:tcPr>
            <w:tcW w:w="4527" w:type="dxa"/>
            <w:tcBorders>
              <w:top w:val="single" w:sz="8" w:space="0" w:color="4F81BC"/>
              <w:bottom w:val="single" w:sz="8" w:space="0" w:color="4F81BC"/>
            </w:tcBorders>
          </w:tcPr>
          <w:p w:rsidR="000A29C9" w:rsidRDefault="000A29C9" w:rsidP="003376F9"/>
        </w:tc>
      </w:tr>
      <w:tr w:rsidR="003376F9" w:rsidTr="003376F9">
        <w:trPr>
          <w:trHeight w:hRule="exact" w:val="942"/>
        </w:trPr>
        <w:tc>
          <w:tcPr>
            <w:tcW w:w="4494" w:type="dxa"/>
            <w:tcBorders>
              <w:top w:val="single" w:sz="8" w:space="0" w:color="4F81BC"/>
            </w:tcBorders>
          </w:tcPr>
          <w:p w:rsidR="003376F9" w:rsidRDefault="000A29C9" w:rsidP="003376F9">
            <w:pPr>
              <w:pStyle w:val="TableParagraph"/>
              <w:spacing w:before="119"/>
              <w:ind w:right="168"/>
              <w:rPr>
                <w:sz w:val="20"/>
              </w:rPr>
            </w:pPr>
            <w:r>
              <w:rPr>
                <w:sz w:val="20"/>
              </w:rPr>
              <w:t>7</w:t>
            </w:r>
            <w:r w:rsidR="003376F9">
              <w:rPr>
                <w:sz w:val="20"/>
              </w:rPr>
              <w:t>) Appropriate slide preparation and reading standard operating procedures are available and accessible.</w:t>
            </w:r>
          </w:p>
        </w:tc>
        <w:tc>
          <w:tcPr>
            <w:tcW w:w="545" w:type="dxa"/>
            <w:tcBorders>
              <w:top w:val="single" w:sz="8" w:space="0" w:color="4F81BC"/>
            </w:tcBorders>
          </w:tcPr>
          <w:p w:rsidR="003376F9" w:rsidRDefault="003376F9" w:rsidP="003376F9"/>
        </w:tc>
        <w:tc>
          <w:tcPr>
            <w:tcW w:w="506" w:type="dxa"/>
            <w:tcBorders>
              <w:top w:val="single" w:sz="8" w:space="0" w:color="4F81BC"/>
            </w:tcBorders>
          </w:tcPr>
          <w:p w:rsidR="003376F9" w:rsidRDefault="003376F9" w:rsidP="003376F9"/>
        </w:tc>
        <w:tc>
          <w:tcPr>
            <w:tcW w:w="4527" w:type="dxa"/>
            <w:tcBorders>
              <w:top w:val="single" w:sz="8" w:space="0" w:color="4F81BC"/>
            </w:tcBorders>
          </w:tcPr>
          <w:p w:rsidR="003376F9" w:rsidRDefault="003376F9" w:rsidP="003376F9"/>
        </w:tc>
      </w:tr>
    </w:tbl>
    <w:p w:rsidR="00FE484B" w:rsidRDefault="00FE484B"/>
    <w:sectPr w:rsidR="00FE484B">
      <w:headerReference w:type="default" r:id="rId7"/>
      <w:type w:val="continuous"/>
      <w:pgSz w:w="12240" w:h="15840"/>
      <w:pgMar w:top="1040" w:right="9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694" w:rsidRDefault="00253694" w:rsidP="00E07B94">
      <w:r>
        <w:separator/>
      </w:r>
    </w:p>
  </w:endnote>
  <w:endnote w:type="continuationSeparator" w:id="0">
    <w:p w:rsidR="00253694" w:rsidRDefault="00253694" w:rsidP="00E0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694" w:rsidRDefault="00253694" w:rsidP="00E07B94">
      <w:r>
        <w:separator/>
      </w:r>
    </w:p>
  </w:footnote>
  <w:footnote w:type="continuationSeparator" w:id="0">
    <w:p w:rsidR="00253694" w:rsidRDefault="00253694" w:rsidP="00E07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94" w:rsidRPr="0069136B" w:rsidRDefault="00E07B94">
    <w:pPr>
      <w:pStyle w:val="Header"/>
      <w:rPr>
        <w:sz w:val="20"/>
        <w:szCs w:val="20"/>
      </w:rPr>
    </w:pPr>
    <w:r w:rsidRPr="0069136B">
      <w:rPr>
        <w:sz w:val="20"/>
        <w:szCs w:val="20"/>
      </w:rPr>
      <w:t xml:space="preserve">Updated: </w:t>
    </w:r>
    <w:r w:rsidR="0069136B" w:rsidRPr="0069136B">
      <w:rPr>
        <w:sz w:val="20"/>
        <w:szCs w:val="20"/>
      </w:rPr>
      <w:t>4.</w:t>
    </w:r>
    <w:r w:rsidR="002F16CD" w:rsidRPr="0069136B">
      <w:rPr>
        <w:sz w:val="20"/>
        <w:szCs w:val="20"/>
      </w:rPr>
      <w:t>30</w:t>
    </w:r>
    <w:r w:rsidR="0069136B" w:rsidRPr="0069136B">
      <w:rPr>
        <w:sz w:val="20"/>
        <w:szCs w:val="20"/>
      </w:rPr>
      <w:t>.20</w:t>
    </w:r>
    <w:r w:rsidRPr="0069136B">
      <w:rPr>
        <w:sz w:val="20"/>
        <w:szCs w:val="20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1A"/>
    <w:rsid w:val="000A29C9"/>
    <w:rsid w:val="00253694"/>
    <w:rsid w:val="002F16CD"/>
    <w:rsid w:val="003376F9"/>
    <w:rsid w:val="003729F3"/>
    <w:rsid w:val="005B2780"/>
    <w:rsid w:val="0069136B"/>
    <w:rsid w:val="00BA0A1A"/>
    <w:rsid w:val="00E07B94"/>
    <w:rsid w:val="00F84136"/>
    <w:rsid w:val="00F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AF25"/>
  <w15:docId w15:val="{E9868E31-8379-4421-92F5-89A576D9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1"/>
      <w:ind w:left="103"/>
    </w:pPr>
  </w:style>
  <w:style w:type="paragraph" w:styleId="Header">
    <w:name w:val="header"/>
    <w:basedOn w:val="Normal"/>
    <w:link w:val="HeaderChar"/>
    <w:uiPriority w:val="99"/>
    <w:unhideWhenUsed/>
    <w:rsid w:val="00E07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B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7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B9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6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6C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DBC9-2D74-47B3-A9DF-76DB5B88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Halsey, Eric S. (CDC/CGH/DPDM)</dc:creator>
  <cp:lastModifiedBy>Halsey, Eric S. (CDC/DDPHSIS/CGH/DPDM)</cp:lastModifiedBy>
  <cp:revision>3</cp:revision>
  <dcterms:created xsi:type="dcterms:W3CDTF">2019-04-30T17:55:00Z</dcterms:created>
  <dcterms:modified xsi:type="dcterms:W3CDTF">2019-04-30T17:59:00Z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2018-10-12T00:00:00Z</vt:filetime>
  </property>
</Properties>
</file>