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Aula 2 Engenharia de Dados Awari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Com base nos conceitos apresentados, pesquisar na web quais são os componentes de arquitetura mais utilizados no mercado, usando como base as principais plataformas em nuvem — Amazon AWS, Microsoft Azure e Google Cloud Platform </w:t>
      </w: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(GCP)</w:t>
      </w: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 —, e apresentar os componentes correspondentes em cada uma das três plataformas.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Amazon AWS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Recurso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Ingestão/Streaming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Kinesis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EMR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Glue (Data Catalog, ETL, Athena)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Redshift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Microsoft Azure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Azure Lake Storage gen2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Ingestão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Event Hubs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Stream 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 (Etl e Orquestração)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Azure Data Factory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Azure SQL, Cosmos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Warehouse Microsoft Azure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Fonts w:ascii="Georgia" w:cs="Georgia" w:eastAsia="Georgia" w:hAnsi="Georgia"/>
          <w:color w:val="222425"/>
          <w:rtl w:val="0"/>
        </w:rPr>
        <w:t xml:space="preserve">Google Cloud Platform (GCP)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22425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Cloud 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Ingestão/Streaming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Pub/Sub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Proc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4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425"/>
                <w:rtl w:val="0"/>
              </w:rPr>
              <w:t xml:space="preserve">BigQuery</w:t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color w:val="2224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2224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