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44"/>
          <w:szCs w:val="44"/>
          <w:rtl w:val="0"/>
        </w:rPr>
        <w:t xml:space="preserve">DIRETRIZES DA ENTREGA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5568"/>
          <w:sz w:val="28"/>
          <w:szCs w:val="28"/>
          <w:rtl w:val="0"/>
        </w:rPr>
        <w:t xml:space="preserve">Projeto Prático de Machine Learning de Ponta a Ponta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6"/>
          <w:szCs w:val="36"/>
          <w:rtl w:val="0"/>
        </w:rPr>
        <w:t xml:space="preserve">1. 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A entrega final desta disciplina consiste no desenvolvimento de um projeto prático de Machine Learning de ponta a ponta (end-to-end). O objetivo é aplicar com rigor técnico as melhores práticas de mercado, metodologias e algoritmos discutidos e estruturados ao longo de nossas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>
          <w:rFonts w:ascii="Calibri" w:cs="Calibri" w:eastAsia="Calibri" w:hAnsi="Calibri"/>
          <w:color w:val="2d374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Cada aluno deverá escolher um problema real com um conjunto de dados real.</w:t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Calibri" w:cs="Calibri" w:eastAsia="Calibri" w:hAnsi="Calibri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0"/>
          <w:szCs w:val="30"/>
          <w:rtl w:val="0"/>
        </w:rPr>
        <w:t xml:space="preserve">Entregar até dia 07 de junho.</w:t>
      </w:r>
    </w:p>
    <w:p w:rsidR="00000000" w:rsidDel="00000000" w:rsidP="00000000" w:rsidRDefault="00000000" w:rsidRPr="00000000" w14:paraId="00000007">
      <w:pPr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6"/>
          <w:szCs w:val="36"/>
          <w:rtl w:val="0"/>
        </w:rPr>
        <w:t xml:space="preserve">2. Formato e Componentes da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A entrega é composta obrigatoriamente por dois arquivos complementares. A ausência de qualquer um dos componentes resultará na desqualificação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Componente A: Jupyter Notebook (Google Colab)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O código completo do pipeline deve ser entregue via link ou arquivo descritivo do Google Colab. Este arquivo não deve ser apenas um amontoado de código, mas sim a memória de cálculo, estratégia e pensamento crítico do grupo. Ele deve conter blocos claros de Markdown explicando as hipóteses levantadas, os motivos das decisões técnicas e a interpretação dos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O código deve implementar obrigatoriamente as seguintes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Análise Exploratória de Dados (EDA):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Verificação de distribuições, detecção analítica/visual de outliers, matriz de correlação e diagnóstico de dados ausentes.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Imputação de nulos, tratamento de outliers, encodings adequados para alta e baixa cardinalidade (Target Encoding, One-Hot, etc.), criação de novas features de negócio e transformações de escala quando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Seleção de Features: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Seleção rigorosa das variáveis preditoras utilizando estritamente o algoritmo Boruta (via BorutaPy ou BorutaShap) para enxugar o espaço dimensional.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Modelagem Baseline: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Implementação de um estimador simples (Linear, Logístico ou Dummy) para fixar a métrica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Modelos Estado da Arte: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Treinamento e avaliação comparativa de </w:t>
      </w:r>
      <w:r w:rsidDel="00000000" w:rsidR="00000000" w:rsidRPr="00000000">
        <w:rPr>
          <w:rFonts w:ascii="Calibri" w:cs="Calibri" w:eastAsia="Calibri" w:hAnsi="Calibri"/>
          <w:color w:val="2d3748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modelos estado da arte baseados em árvores: Random Florest, XGBoost, LightGBM e CatBoost.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Tunagem de Hiperparâmetros: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Otimização fina dos parâmetros do melhor modelo inicial utilizando frameworks modernos (como Optuna) ou RandomizedSearchCV.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Interpretabilidade Computacional (SHAP):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Uso de técnicas avançadas de explicabilidade. Deve conter o gráfico global (SHAP Summary Plot) e a análise local de uma amostra individual de teste (SHAP Waterfall ou Force Plot) detalhando a força e a direção de cada feature para aquela predição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Componente B: Documentação Técnica (PDF)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Um relatório técnico em formato PDF, redigido com linguagem formal e padrão executivo. Esta documentação traduz o esforço do notebook em um artefato corporativo de governança e estratégia de engenharia. A estrutura deve seguir estritamente as seções especificadas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6"/>
          <w:szCs w:val="36"/>
          <w:rtl w:val="0"/>
        </w:rPr>
        <w:t xml:space="preserve">3. Estrutura Padrão da Documentação Técnica (PDF)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O documento PDF deverá ser estruturado exatamente com as seguintes seções e conteúdos: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20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1"/>
                <w:szCs w:val="21"/>
                <w:rtl w:val="0"/>
              </w:rPr>
              <w:t xml:space="preserve">1. Visão Geral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Contextualização do problema, justificativa de negócio, objetivo técnico do algoritmo (tipo de problema) e as limitações de escopo estabelecidas.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1"/>
                <w:szCs w:val="21"/>
                <w:rtl w:val="0"/>
              </w:rPr>
              <w:t xml:space="preserve">2. Proposta de Implementação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Mapeamento dos KPIs de negócio gerados, detalhamento da ação operacional mapeada a partir do score, regras de decisão/filtros (guardrails) e estimativa de impacto financeiro (ROI).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1"/>
                <w:szCs w:val="21"/>
                <w:rtl w:val="0"/>
              </w:rPr>
              <w:t xml:space="preserve">3. Arquitetura de Dados e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Mapeamento das fontes de dados, definição da granularidade da linha, janelas temporais de observação/performance, e estratégias de Feature Engineering e tratamento adotadas.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1"/>
                <w:szCs w:val="21"/>
                <w:rtl w:val="0"/>
              </w:rPr>
              <w:t xml:space="preserve">4. Modelagem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Justificativa da seleção por Boruta, registro do desempenho de todos os modelos testados (RF, XGBoost, LightGBM, CatBoost), estratégia de validação cruzada/Out-of-Time para mitigar overfitting, e definição do threshold de decisão ótimo.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1"/>
                <w:szCs w:val="21"/>
                <w:rtl w:val="0"/>
              </w:rPr>
              <w:t xml:space="preserve">5. Interpretabilidade e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Apresentação da Feature Importance e análise profunda dos impactos de SHAP (Global e Local) traduzidos para uma linguagem inteligível para stakeholders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65d"/>
                <w:sz w:val="21"/>
                <w:szCs w:val="21"/>
                <w:rtl w:val="0"/>
              </w:rPr>
              <w:t xml:space="preserve">6. Formato de Deploy e MLOps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Desenho da arquitetura de implantação: padrão de inferência (Batch ou API Real-time), estratégia de containerização (Docker), infraestrutura de nuvem utilizada e desenho do pipeline de monitoramento (Data Drift e Concept Drift).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6"/>
          <w:szCs w:val="36"/>
          <w:rtl w:val="0"/>
        </w:rPr>
        <w:t xml:space="preserve">4. Critérios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Rigor Metodológico: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Serão avaliados o rigor estatístico na EDA, o tratamento correto de vazamento de dados (data leakage) no pré-processamento e a correta aplicação do algoritmo Boruta.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Qualidade da Modelagem: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A substituição de modelos lineares simples por ensembles de gradiente robustos (RF, XGBoost, LightGBM, CatBoost) e a eficiência do processo de tunagem fina de hiperparâmetros.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Capacidade de Explicabilidade: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Capacidade de traduzir os valores SHAP matemáticos em relatórios compreensíveis de transparência e governança de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Visão de Engenharia e MLOps: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Maturidade ao propor um modelo de deploy condizente com o cenário, prevendo custos de infraestrutura e alertas automatizados de degradação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Conexão com o Negócio: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 Alinhamento entre a performance matemática (Métricas técnicas) e o ganho real de eficiência ou receita esperada na operação da empresa.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lA/9RjHKp+Vc6rUPrrr2/HeHZw==">CgMxLjA4AHIhMU9oa1VxdlJEcUtRR1hUZk9GdjljbWVzdzBCdHRkOWk5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