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/>
    <w:p/>
    <w:p>
      <w:pPr>
        <w:pStyle w:val="Ttulo1"/>
        <w:spacing w:after="320"/>
        <w:jc w:val="center"/>
      </w:pPr>
      <w:r>
        <w:rPr>
          <w:rFonts w:ascii="Arial" w:hAnsi="Arial"/>
          <w:b/>
          <w:color w:val="000000"/>
          <w:sz w:val="24"/>
        </w:rPr>
        <w:t>RELATO DE EXPERIÊNCIA</w:t>
      </w:r>
    </w:p>
    <w:p>
      <w:pPr>
        <w:keepNext/>
        <w:keepLines/>
        <w:widowControl/>
        <w:spacing w:after="280"/>
        <w:jc w:val="center"/>
      </w:pPr>
      <w:r>
        <w:rPr>
          <w:rFonts w:ascii="Arial" w:hAnsi="Arial"/>
          <w:b/>
          <w:color w:val="000000"/>
          <w:sz w:val="28"/>
        </w:rPr>
        <w:t>SIMULAÇÃO ACADÊMICA CONTROLADA DE PHISHING: DESENVOLVIMENTO DE UMA APLICAÇÃO PARA ANÁLISE DE ENGENHARIA SOCIAL E MITIGAÇÃO DEFENSIVA</w:t>
      </w:r>
    </w:p>
    <w:p>
      <w:pPr>
        <w:spacing w:after="120"/>
        <w:jc w:val="right"/>
      </w:pPr>
      <w:r>
        <w:rPr>
          <w:rFonts w:ascii="Arial" w:hAnsi="Arial"/>
          <w:b/>
          <w:color w:val="000000"/>
          <w:sz w:val="24"/>
        </w:rPr>
        <w:t>CATEGORIA: RELATO DE EXPERIÊNCIA</w:t>
      </w:r>
    </w:p>
    <w:p>
      <w:pPr>
        <w:spacing w:after="120"/>
        <w:jc w:val="right"/>
      </w:pPr>
      <w:r>
        <w:rPr>
          <w:rFonts w:ascii="Arial" w:hAnsi="Arial"/>
          <w:b/>
          <w:color w:val="000000"/>
          <w:sz w:val="24"/>
        </w:rPr>
        <w:t>ÁREA TEMÁTICA: SEGURANÇA DA INFORMAÇÃO E EDUCAÇÃO TECNOLÓGICA</w:t>
      </w:r>
    </w:p>
    <w:p>
      <w:pPr>
        <w:spacing w:after="120"/>
        <w:jc w:val="right"/>
      </w:pPr>
      <w:r>
        <w:rPr>
          <w:rFonts w:ascii="Arial" w:hAnsi="Arial"/>
          <w:b/>
          <w:sz w:val="24"/>
        </w:rPr>
        <w:t>CURSO: CIÊNCIA DA COMPUTAÇÃO</w:t>
      </w:r>
    </w:p>
    <w:p>
      <w:pPr>
        <w:spacing w:after="120"/>
        <w:jc w:val="right"/>
      </w:pPr>
      <w:r>
        <w:rPr>
          <w:rFonts w:ascii="Arial" w:hAnsi="Arial"/>
          <w:b/>
          <w:sz w:val="24"/>
        </w:rPr>
        <w:t>DISCIPLINA: SEGURANÇA E AUDITORIA DE SISTEMAS</w:t>
      </w:r>
    </w:p>
    <w:p>
      <w:pPr>
        <w:spacing w:after="240"/>
        <w:jc w:val="right"/>
      </w:pPr>
      <w:r>
        <w:rPr>
          <w:rFonts w:ascii="Arial" w:hAnsi="Arial"/>
          <w:i/>
          <w:sz w:val="24"/>
        </w:rPr>
        <w:t>Matheus Endlich Vieira¹; Pedro Henrique Pereira Lima¹; Fernanda Vasconcelos do Carmo¹; Carlos Eduardo Kobayashi Colombo¹</w:t>
      </w:r>
    </w:p>
    <w:p>
      <w:pPr>
        <w:pStyle w:val="Corpodetexto"/>
        <w:spacing w:line="240" w:lineRule="auto" w:after="160"/>
        <w:ind w:firstLine="0"/>
        <w:jc w:val="both"/>
      </w:pPr>
      <w:r>
        <w:rPr>
          <w:rFonts w:ascii="Arial" w:hAnsi="Arial"/>
          <w:b/>
          <w:color w:val="000000"/>
          <w:sz w:val="22"/>
        </w:rPr>
        <w:t xml:space="preserve">Resumo: </w:t>
      </w:r>
      <w:r>
        <w:rPr>
          <w:rFonts w:ascii="Arial" w:hAnsi="Arial"/>
          <w:color w:val="000000"/>
          <w:sz w:val="22"/>
        </w:rPr>
        <w:t>O phishing combina engenharia social, mensagens persuasivas e interfaces falsas para induzir ações inseguras. Este trabalho relata o desenvolvimento de uma aplicação acadêmica controlada destinada a demonstrar esse processo e apoiar a análise de medidas defensivas. O protótipo utiliza Node.js, TypeScript, Fastify, MariaDB, Sequelize, HTML, CSS, JavaScript, Nodemailer, Zod e Vitest. O fluxo implementado contempla envio autorizado de e-mail, acesso individualizado, formulário simulado, registro idempotente de eventos, documento financeiro fictício, esclarecimento educativo, dashboard agregado e limpeza da base. A validação técnica realizada em 19 de outubro de 2026 registrou 40 testes automatizados aprovados em 13 arquivos e compilação TypeScript sem erros. A segunda fase prevê execução por túnel HTTPS privado, uso exclusivo de identidades e credenciais sintéticas previamente distribuídas, cifragem autenticada dos valores fictícios e análise defensiva de homógrafos, links, QR codes e gatilhos de urgência. A etapa comportamental ainda não foi executada; portanto, taxas de clique e submissão permanecem como métricas planejadas. O estudo demonstra a viabilidade técnica do laboratório e estabelece controles para que a coleta produza evidências acadêmicas sem envolver credenciais reais ou cobrança válida.</w:t>
      </w:r>
    </w:p>
    <w:p>
      <w:pPr>
        <w:pStyle w:val="Corpodetexto"/>
        <w:spacing w:line="240" w:lineRule="auto" w:after="240"/>
        <w:ind w:firstLine="0"/>
        <w:jc w:val="left"/>
      </w:pPr>
      <w:r>
        <w:rPr>
          <w:rFonts w:ascii="Arial" w:hAnsi="Arial"/>
          <w:b/>
          <w:color w:val="000000"/>
          <w:sz w:val="22"/>
        </w:rPr>
        <w:t xml:space="preserve">Palavras-chave: </w:t>
      </w:r>
      <w:r>
        <w:rPr>
          <w:rFonts w:ascii="Arial" w:hAnsi="Arial"/>
          <w:color w:val="000000"/>
          <w:sz w:val="22"/>
        </w:rPr>
        <w:t>Phishing. Engenharia social. Segurança da informação. Conscientização. Auditoria.</w:t>
      </w:r>
    </w:p>
    <w:p>
      <w:pPr>
        <w:spacing w:before="200" w:after="0"/>
        <w:ind w:left="1984"/>
        <w:jc w:val="left"/>
        <w:pBdr>
          <w:top w:val="single" w:sz="6" w:space="4" w:color="000000"/>
        </w:pBdr>
      </w:pPr>
      <w:r>
        <w:rPr>
          <w:rFonts w:ascii="Arial" w:hAnsi="Arial"/>
          <w:sz w:val="18"/>
        </w:rPr>
        <w:t>¹ Acadêmicos do curso de Ciência da Computação. Disciplina: Segurança e Auditoria de Sistemas.</w:t>
      </w:r>
    </w:p>
    <w:p>
      <w:pPr>
        <w:pStyle w:val="Ttulo1"/>
        <w:keepNext/>
        <w:keepLines/>
        <w:widowControl/>
        <w:spacing w:before="320" w:after="160" w:line="240" w:lineRule="auto"/>
        <w:ind w:firstLine="0"/>
        <w:jc w:val="left"/>
      </w:pPr>
      <w:r>
        <w:rPr>
          <w:rFonts w:ascii="Arial" w:hAnsi="Arial"/>
          <w:b/>
          <w:color w:val="000000"/>
          <w:sz w:val="24"/>
        </w:rPr>
        <w:t>1. INTRODUÇÃO</w:t>
      </w:r>
    </w:p>
    <w:p>
      <w:pPr>
        <w:pStyle w:val="Corpodetexto"/>
        <w:keepNext w:val="0"/>
        <w:keepLines/>
        <w:widowControl/>
        <w:spacing w:line="360" w:lineRule="auto" w:after="0" w:before="0"/>
        <w:ind w:firstLine="709"/>
        <w:jc w:val="both"/>
      </w:pPr>
      <w:r>
        <w:rPr>
          <w:rFonts w:ascii="Arial" w:hAnsi="Arial"/>
          <w:color w:val="000000"/>
          <w:sz w:val="24"/>
        </w:rPr>
        <w:t>A segurança da informação depende tanto de controles técnicos quanto da capacidade das pessoas de reconhecer solicitações manipulativas. O phishing explora confiança, urgência, autoridade e familiaridade visual para direcionar o usuário a links, formulários ou arquivos que aparentam legitimidade. Como e-mail e navegador mantêm contato direto com conteúdo externo, esses canais ocupam posição central nas medidas de proteção e detecção previstas pelo CIS Control 9 (CIS, 2021).</w:t>
      </w:r>
    </w:p>
    <w:p>
      <w:pPr>
        <w:pStyle w:val="Corpodetexto"/>
        <w:keepNext w:val="0"/>
        <w:keepLines/>
        <w:widowControl/>
        <w:spacing w:line="360" w:lineRule="auto" w:after="0" w:before="0"/>
        <w:ind w:firstLine="709"/>
        <w:jc w:val="both"/>
      </w:pPr>
      <w:r>
        <w:rPr>
          <w:rFonts w:ascii="Arial" w:hAnsi="Arial"/>
          <w:color w:val="000000"/>
          <w:sz w:val="24"/>
        </w:rPr>
        <w:t>A formação em segurança também exige contato prático com a perspectiva do atacante, desde que a simulação permaneça delimitada, auditável e orientada à prevenção. O material da disciplina propõe a criação controlada de cenários, o acompanhamento de aberturas, cliques e submissões e a comparação entre vetores de engenharia social e barreiras como análise heurística, integridade de remetentes, conscientização e validação de links. Essa abordagem permite observar não apenas se uma interface funciona, mas também quais decisões humanas favorecem ou interrompem o fluxo de ataque.</w:t>
      </w:r>
    </w:p>
    <w:p>
      <w:pPr>
        <w:pStyle w:val="Corpodetexto"/>
        <w:keepNext w:val="0"/>
        <w:keepLines/>
        <w:widowControl/>
        <w:spacing w:line="360" w:lineRule="auto" w:after="0" w:before="0"/>
        <w:ind w:firstLine="709"/>
        <w:jc w:val="both"/>
      </w:pPr>
      <w:r>
        <w:rPr>
          <w:rFonts w:ascii="Arial" w:hAnsi="Arial"/>
          <w:color w:val="000000"/>
          <w:sz w:val="24"/>
        </w:rPr>
        <w:t>O objetivo deste relato é apresentar a arquitetura e a validação técnica de uma aplicação acadêmica de phishing, além de descrever o protocolo da segunda fase experimental. O projeto busca responder como uma simulação realista, realizada com participantes autorizados e credenciais inteiramente sintéticas, pode produzir métricas de interação e evidências para conscientização sem expor dados pessoais, sistemas institucionais ou meios de pagamento.</w:t>
      </w:r>
    </w:p>
    <w:p>
      <w:pPr>
        <w:pStyle w:val="Ttulo1"/>
        <w:keepNext/>
        <w:keepLines/>
        <w:widowControl/>
        <w:spacing w:before="320" w:after="160" w:line="240" w:lineRule="auto"/>
        <w:ind w:firstLine="0"/>
        <w:jc w:val="left"/>
      </w:pPr>
      <w:r>
        <w:rPr>
          <w:rFonts w:ascii="Arial" w:hAnsi="Arial"/>
          <w:b/>
          <w:color w:val="000000"/>
          <w:sz w:val="24"/>
        </w:rPr>
        <w:t>2. MATERIAIS E MÉTODOS</w:t>
      </w:r>
    </w:p>
    <w:p>
      <w:pPr>
        <w:pStyle w:val="Corpodetexto"/>
        <w:keepNext w:val="0"/>
        <w:keepLines/>
        <w:widowControl/>
        <w:spacing w:line="360" w:lineRule="auto" w:after="0" w:before="0"/>
        <w:ind w:firstLine="709"/>
        <w:jc w:val="both"/>
      </w:pPr>
      <w:r>
        <w:rPr>
          <w:rFonts w:ascii="Arial" w:hAnsi="Arial"/>
          <w:color w:val="000000"/>
          <w:sz w:val="24"/>
        </w:rPr>
        <w:t>O estudo caracteriza-se como relato de experiência tecnológica com validação técnica e futura observação comportamental exploratória. O desenvolvimento ocorreu em repositório privado para execução local. A demonstração poderá usar um túnel HTTPS temporário, protegido e encerrado após a janela autorizada, mantendo a aplicação e o MariaDB sob custódia de um integrante do grupo. O envio externo permanece desabilitado por padrão e, quando habilitado para a atividade, aceita somente destinatários previamente autorizados.</w:t>
      </w:r>
    </w:p>
    <w:p>
      <w:pPr>
        <w:pStyle w:val="Ttulo2"/>
        <w:keepNext/>
        <w:keepLines/>
        <w:widowControl/>
        <w:spacing w:before="240" w:after="160" w:line="240" w:lineRule="auto"/>
        <w:ind w:firstLine="0"/>
        <w:jc w:val="left"/>
      </w:pPr>
      <w:r>
        <w:rPr>
          <w:rFonts w:ascii="Arial" w:hAnsi="Arial"/>
          <w:b/>
          <w:color w:val="000000"/>
          <w:sz w:val="24"/>
        </w:rPr>
        <w:t>2.1 Arquitetura e fluxo da aplicação</w:t>
      </w:r>
    </w:p>
    <w:p>
      <w:pPr>
        <w:pStyle w:val="Corpodetexto"/>
        <w:keepNext w:val="0"/>
        <w:keepLines/>
        <w:widowControl/>
        <w:spacing w:line="360" w:lineRule="auto" w:after="0" w:before="0"/>
        <w:ind w:firstLine="709"/>
        <w:jc w:val="both"/>
      </w:pPr>
      <w:r>
        <w:rPr>
          <w:rFonts w:ascii="Arial" w:hAnsi="Arial"/>
          <w:color w:val="000000"/>
          <w:sz w:val="24"/>
        </w:rPr>
        <w:t>O backend foi implementado em Node.js com TypeScript estrito e Fastify. O Sequelize realiza o acesso ao MariaDB, o Zod valida entradas, o Nodemailer abstrai o transporte de e-mail e o Vitest executa os testes automatizados. A interface utiliza HTML, CSS e JavaScript sem framework. Essa composição mantém o servidor modular e permite relacionar cada etapa do experimento a eventos de auditoria.</w:t>
      </w:r>
    </w:p>
    <w:p>
      <w:pPr>
        <w:pStyle w:val="Corpodetexto"/>
        <w:keepNext w:val="0"/>
        <w:keepLines/>
        <w:widowControl/>
        <w:spacing w:line="360" w:lineRule="auto" w:after="0" w:before="0"/>
        <w:ind w:firstLine="709"/>
        <w:jc w:val="both"/>
      </w:pPr>
      <w:r>
        <w:rPr>
          <w:rFonts w:ascii="Arial" w:hAnsi="Arial"/>
          <w:color w:val="000000"/>
          <w:sz w:val="24"/>
        </w:rPr>
        <w:t>O fluxo experimental é composto pelas seguintes etapas:</w:t>
      </w:r>
    </w:p>
    <w:p>
      <w:pPr>
        <w:pStyle w:val="PargrafodaLista"/>
        <w:keepNext w:val="0"/>
        <w:keepLines/>
        <w:widowControl/>
        <w:spacing w:line="312" w:lineRule="auto" w:after="40"/>
        <w:ind w:left="709" w:hanging="312"/>
        <w:jc w:val="left"/>
      </w:pPr>
      <w:r>
        <w:rPr>
          <w:rFonts w:ascii="Arial" w:hAnsi="Arial"/>
          <w:color w:val="000000"/>
          <w:sz w:val="24"/>
        </w:rPr>
        <w:t xml:space="preserve">• </w:t>
      </w:r>
      <w:r>
        <w:rPr>
          <w:rFonts w:ascii="Arial" w:hAnsi="Arial"/>
          <w:color w:val="000000"/>
          <w:sz w:val="24"/>
        </w:rPr>
        <w:t>envio de mensagem acadêmica ao destinatário autorizado e registro de email_sent;</w:t>
      </w:r>
    </w:p>
    <w:p>
      <w:pPr>
        <w:pStyle w:val="PargrafodaLista"/>
        <w:keepNext w:val="0"/>
        <w:keepLines/>
        <w:widowControl/>
        <w:spacing w:line="312" w:lineRule="auto" w:after="40"/>
        <w:ind w:left="709" w:hanging="312"/>
        <w:jc w:val="left"/>
      </w:pPr>
      <w:r>
        <w:rPr>
          <w:rFonts w:ascii="Arial" w:hAnsi="Arial"/>
          <w:color w:val="000000"/>
          <w:sz w:val="24"/>
        </w:rPr>
        <w:t xml:space="preserve">• </w:t>
      </w:r>
      <w:r>
        <w:rPr>
          <w:rFonts w:ascii="Arial" w:hAnsi="Arial"/>
          <w:color w:val="000000"/>
          <w:sz w:val="24"/>
        </w:rPr>
        <w:t>abertura de link individual associado a token opaco e registro idempotente de link_clicked;</w:t>
      </w:r>
    </w:p>
    <w:p>
      <w:pPr>
        <w:pStyle w:val="PargrafodaLista"/>
        <w:keepNext w:val="0"/>
        <w:keepLines/>
        <w:widowControl/>
        <w:spacing w:line="312" w:lineRule="auto" w:after="40"/>
        <w:ind w:left="709" w:hanging="312"/>
        <w:jc w:val="left"/>
      </w:pPr>
      <w:r>
        <w:rPr>
          <w:rFonts w:ascii="Arial" w:hAnsi="Arial"/>
          <w:color w:val="000000"/>
          <w:sz w:val="24"/>
        </w:rPr>
        <w:t xml:space="preserve">• </w:t>
      </w:r>
      <w:r>
        <w:rPr>
          <w:rFonts w:ascii="Arial" w:hAnsi="Arial"/>
          <w:color w:val="000000"/>
          <w:sz w:val="24"/>
        </w:rPr>
        <w:t>preenchimento de formulário com CPF e senha sintéticos fornecidos pelo laboratório;</w:t>
      </w:r>
    </w:p>
    <w:p>
      <w:pPr>
        <w:pStyle w:val="PargrafodaLista"/>
        <w:keepNext w:val="0"/>
        <w:keepLines/>
        <w:widowControl/>
        <w:spacing w:line="312" w:lineRule="auto" w:after="40"/>
        <w:ind w:left="709" w:hanging="312"/>
        <w:jc w:val="left"/>
      </w:pPr>
      <w:r>
        <w:rPr>
          <w:rFonts w:ascii="Arial" w:hAnsi="Arial"/>
          <w:color w:val="000000"/>
          <w:sz w:val="24"/>
        </w:rPr>
        <w:t xml:space="preserve">• </w:t>
      </w:r>
      <w:r>
        <w:rPr>
          <w:rFonts w:ascii="Arial" w:hAnsi="Arial"/>
          <w:color w:val="000000"/>
          <w:sz w:val="24"/>
        </w:rPr>
        <w:t>exibição de documento financeiro fictício, sem linha digitável, QR Code Pix ou ação pagável;</w:t>
      </w:r>
    </w:p>
    <w:p>
      <w:pPr>
        <w:pStyle w:val="PargrafodaLista"/>
        <w:keepNext w:val="0"/>
        <w:keepLines/>
        <w:widowControl/>
        <w:spacing w:line="312" w:lineRule="auto" w:after="40"/>
        <w:ind w:left="709" w:hanging="312"/>
        <w:jc w:val="left"/>
      </w:pPr>
      <w:r>
        <w:rPr>
          <w:rFonts w:ascii="Arial" w:hAnsi="Arial"/>
          <w:color w:val="000000"/>
          <w:sz w:val="24"/>
        </w:rPr>
        <w:t xml:space="preserve">• </w:t>
      </w:r>
      <w:r>
        <w:rPr>
          <w:rFonts w:ascii="Arial" w:hAnsi="Arial"/>
          <w:color w:val="000000"/>
          <w:sz w:val="24"/>
        </w:rPr>
        <w:t>esclarecimento imediato dos sinais de phishing e registro de awareness_viewed;</w:t>
      </w:r>
    </w:p>
    <w:p>
      <w:pPr>
        <w:pStyle w:val="PargrafodaLista"/>
        <w:keepNext w:val="0"/>
        <w:keepLines/>
        <w:widowControl/>
        <w:spacing w:line="312" w:lineRule="auto" w:after="40"/>
        <w:ind w:left="709" w:hanging="312"/>
        <w:jc w:val="left"/>
      </w:pPr>
      <w:r>
        <w:rPr>
          <w:rFonts w:ascii="Arial" w:hAnsi="Arial"/>
          <w:color w:val="000000"/>
          <w:sz w:val="24"/>
        </w:rPr>
        <w:t xml:space="preserve">• </w:t>
      </w:r>
      <w:r>
        <w:rPr>
          <w:rFonts w:ascii="Arial" w:hAnsi="Arial"/>
          <w:color w:val="000000"/>
          <w:sz w:val="24"/>
        </w:rPr>
        <w:t>cálculo de métricas agregadas e limpeza dos dados ao final do prazo de retenção.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4"/>
        <w:gridCol w:w="3214"/>
        <w:gridCol w:w="3214"/>
      </w:tblGrid>
      <w:tr>
        <w:trPr>
          <w:tblHeader w:val="true"/>
        </w:trPr>
        <w:tc>
          <w:tcPr>
            <w:tcW w:type="dxa" w:w="2268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4649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Escopo</w:t>
            </w:r>
          </w:p>
        </w:tc>
        <w:tc>
          <w:tcPr>
            <w:tcW w:type="dxa" w:w="2268"/>
            <w:vAlign w:val="center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Situação</w:t>
            </w:r>
          </w:p>
        </w:tc>
      </w:tr>
      <w:tr>
        <w:tc>
          <w:tcPr>
            <w:tcW w:type="dxa" w:w="2268"/>
            <w:vAlign w:val="center"/>
            <w:shd w:fill="EAF1F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>Servidor e banco</w:t>
            </w:r>
          </w:p>
        </w:tc>
        <w:tc>
          <w:tcPr>
            <w:tcW w:type="dxa" w:w="4649"/>
            <w:vAlign w:val="center"/>
            <w:shd w:fill="EAF1F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>Fastify, TypeScript, MariaDB e Sequelize</w:t>
            </w:r>
          </w:p>
        </w:tc>
        <w:tc>
          <w:tcPr>
            <w:tcW w:type="dxa" w:w="2268"/>
            <w:vAlign w:val="center"/>
            <w:shd w:fill="EAF1F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Implementado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>Fluxo acadêmico</w:t>
            </w:r>
          </w:p>
        </w:tc>
        <w:tc>
          <w:tcPr>
            <w:tcW w:type="dxa" w:w="4649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>E-mail, login, boleto fictício e conscientização</w:t>
            </w:r>
          </w:p>
        </w:tc>
        <w:tc>
          <w:tcPr>
            <w:tcW w:type="dxa" w:w="226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Implementado</w:t>
            </w:r>
          </w:p>
        </w:tc>
      </w:tr>
      <w:tr>
        <w:tc>
          <w:tcPr>
            <w:tcW w:type="dxa" w:w="2268"/>
            <w:vAlign w:val="center"/>
            <w:shd w:fill="EAF1F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>Auditoria</w:t>
            </w:r>
          </w:p>
        </w:tc>
        <w:tc>
          <w:tcPr>
            <w:tcW w:type="dxa" w:w="4649"/>
            <w:vAlign w:val="center"/>
            <w:shd w:fill="EAF1F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>Eventos idempotentes e dashboard agregado</w:t>
            </w:r>
          </w:p>
        </w:tc>
        <w:tc>
          <w:tcPr>
            <w:tcW w:type="dxa" w:w="2268"/>
            <w:vAlign w:val="center"/>
            <w:shd w:fill="EAF1F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Implementado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>Controles administrativos</w:t>
            </w:r>
          </w:p>
        </w:tc>
        <w:tc>
          <w:tcPr>
            <w:tcW w:type="dxa" w:w="4649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>Token, allowlist e limpeza da demonstração</w:t>
            </w:r>
          </w:p>
        </w:tc>
        <w:tc>
          <w:tcPr>
            <w:tcW w:type="dxa" w:w="226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Implementado</w:t>
            </w:r>
          </w:p>
        </w:tc>
      </w:tr>
      <w:tr>
        <w:tc>
          <w:tcPr>
            <w:tcW w:type="dxa" w:w="2268"/>
            <w:vAlign w:val="center"/>
            <w:shd w:fill="EAF1F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>Túnel HTTPS privado</w:t>
            </w:r>
          </w:p>
        </w:tc>
        <w:tc>
          <w:tcPr>
            <w:tcW w:type="dxa" w:w="4649"/>
            <w:vAlign w:val="center"/>
            <w:shd w:fill="EAF1F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>Acesso temporário e restrito ao laboratório</w:t>
            </w:r>
          </w:p>
        </w:tc>
        <w:tc>
          <w:tcPr>
            <w:tcW w:type="dxa" w:w="2268"/>
            <w:vAlign w:val="center"/>
            <w:shd w:fill="EAF1F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Fase 2 planejada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>Credenciais sintéticas cifradas</w:t>
            </w:r>
          </w:p>
        </w:tc>
        <w:tc>
          <w:tcPr>
            <w:tcW w:type="dxa" w:w="4649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>AES-256-GCM e revelação administrativa controlada</w:t>
            </w:r>
          </w:p>
        </w:tc>
        <w:tc>
          <w:tcPr>
            <w:tcW w:type="dxa" w:w="226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Fase 2 planejada</w:t>
            </w:r>
          </w:p>
        </w:tc>
      </w:tr>
      <w:tr>
        <w:tc>
          <w:tcPr>
            <w:tcW w:type="dxa" w:w="2268"/>
            <w:vAlign w:val="center"/>
            <w:shd w:fill="EAF1F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>Analisador defensivo</w:t>
            </w:r>
          </w:p>
        </w:tc>
        <w:tc>
          <w:tcPr>
            <w:tcW w:type="dxa" w:w="4649"/>
            <w:vAlign w:val="center"/>
            <w:shd w:fill="EAF1F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>Homógrafos, links, QR codes e gatilhos textuais</w:t>
            </w:r>
          </w:p>
        </w:tc>
        <w:tc>
          <w:tcPr>
            <w:tcW w:type="dxa" w:w="2268"/>
            <w:vAlign w:val="center"/>
            <w:shd w:fill="EAF1F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Fase 2 planejada</w:t>
            </w:r>
          </w:p>
        </w:tc>
      </w:tr>
    </w:tbl>
    <w:p>
      <w:pPr>
        <w:keepNext w:val="0"/>
        <w:keepLines/>
        <w:widowControl/>
        <w:spacing w:before="100" w:after="160"/>
        <w:jc w:val="center"/>
      </w:pPr>
      <w:r>
        <w:rPr>
          <w:rFonts w:ascii="Arial" w:hAnsi="Arial"/>
          <w:i/>
          <w:color w:val="000000"/>
          <w:sz w:val="20"/>
        </w:rPr>
        <w:t>Quadro 1 - Componentes e estágio de desenvolvimento do protótipo</w:t>
      </w:r>
      <w:r>
        <w:rPr>
          <w:rFonts w:ascii="Arial" w:hAnsi="Arial"/>
          <w:i/>
          <w:color w:val="000000"/>
          <w:sz w:val="18"/>
        </w:rPr>
        <w:br/>
        <w:t>Fonte: elaboração dos autores com base no repositório do projeto (2026).</w:t>
      </w:r>
    </w:p>
    <w:p>
      <w:pPr>
        <w:pStyle w:val="Ttulo2"/>
        <w:keepNext/>
        <w:keepLines/>
        <w:widowControl/>
        <w:spacing w:before="240" w:after="160" w:line="240" w:lineRule="auto"/>
        <w:ind w:firstLine="0"/>
        <w:jc w:val="left"/>
      </w:pPr>
      <w:r>
        <w:rPr>
          <w:rFonts w:ascii="Arial" w:hAnsi="Arial"/>
          <w:b/>
          <w:color w:val="000000"/>
          <w:sz w:val="24"/>
        </w:rPr>
        <w:t>2.2 Tratamento dos dados sintéticos</w:t>
      </w:r>
    </w:p>
    <w:p>
      <w:pPr>
        <w:pStyle w:val="Corpodetexto"/>
        <w:keepNext w:val="0"/>
        <w:keepLines/>
        <w:widowControl/>
        <w:spacing w:line="360" w:lineRule="auto" w:after="0" w:before="0"/>
        <w:ind w:firstLine="709"/>
        <w:jc w:val="both"/>
      </w:pPr>
      <w:r>
        <w:rPr>
          <w:rFonts w:ascii="Arial" w:hAnsi="Arial"/>
          <w:color w:val="000000"/>
          <w:sz w:val="24"/>
        </w:rPr>
        <w:t>A primeira versão persiste somente o código opaco do participante, o evento, o CPF mascarado e uma descrição do tamanho da senha fictícia. A segunda fase foi especificada para demonstrar, de forma controlada, que uma aplicação maliciosa receberia os valores completos. Para evitar a captura acidental de dados reais, somente pares que correspondam exatamente ao cadastro sintético distribuído pelo laboratório poderão ser persistidos; qualquer entrada não reconhecida será descartada antes do INSERT.</w:t>
      </w:r>
    </w:p>
    <w:p>
      <w:pPr>
        <w:pStyle w:val="Corpodetexto"/>
        <w:keepNext w:val="0"/>
        <w:keepLines/>
        <w:widowControl/>
        <w:spacing w:line="360" w:lineRule="auto" w:after="0" w:before="0"/>
        <w:ind w:firstLine="709"/>
        <w:jc w:val="both"/>
      </w:pPr>
      <w:r>
        <w:rPr>
          <w:rFonts w:ascii="Arial" w:hAnsi="Arial"/>
          <w:color w:val="000000"/>
          <w:sz w:val="24"/>
        </w:rPr>
        <w:t>Os pares sintéticos aceitos deverão ser cifrados no backend com AES-256-GCM antes da gravação. O banco armazenará ciphertext, vetor de inicialização e tag de autenticação, enquanto a chave permanecerá fora do banco, em variável de ambiente local. A revelação será restrita a uma função administrativa autenticada, desabilitada fora da apresentação e acompanhada de Cache-Control: no-store. O dashboard geral utilizará apenas CPF no formato 000.***.***-**, faixa de comprimento e resultado booleano da validação. A escolha segue o princípio de proteção desde a concepção previsto no art. 46 da LGPD (BRASIL, 2018).</w:t>
      </w:r>
    </w:p>
    <w:p>
      <w:pPr>
        <w:pStyle w:val="Ttulo2"/>
        <w:keepNext/>
        <w:keepLines/>
        <w:widowControl/>
        <w:spacing w:before="240" w:after="160" w:line="240" w:lineRule="auto"/>
        <w:ind w:firstLine="0"/>
        <w:jc w:val="left"/>
      </w:pPr>
      <w:r>
        <w:rPr>
          <w:rFonts w:ascii="Arial" w:hAnsi="Arial"/>
          <w:b/>
          <w:color w:val="000000"/>
          <w:sz w:val="24"/>
        </w:rPr>
        <w:t>2.3 Módulo de análise defensiva</w:t>
      </w:r>
    </w:p>
    <w:p>
      <w:pPr>
        <w:pStyle w:val="Corpodetexto"/>
        <w:keepNext w:val="0"/>
        <w:keepLines/>
        <w:widowControl/>
        <w:spacing w:line="360" w:lineRule="auto" w:after="0" w:before="0"/>
        <w:ind w:firstLine="709"/>
        <w:jc w:val="both"/>
      </w:pPr>
      <w:r>
        <w:rPr>
          <w:rFonts w:ascii="Arial" w:hAnsi="Arial"/>
          <w:color w:val="000000"/>
          <w:sz w:val="24"/>
        </w:rPr>
        <w:t>O escopo ampliado inclui um analisador defensivo para reconhecer domínios sintéticos com caracteres homógrafos, URLs com endereço IP, TLDs frequentemente abusados, links de encurtadores conhecidos e expressões de urgência ou autoridade. QR codes serão decodificados sem navegação automática. Divergências entre From, Reply-To e Return-Path serão reproduzidas exclusivamente no Mailpit, usando domínios reservados .test. Cada heurística deverá possuir amostras positivas e negativas para que falsos positivos, falsos negativos e limitações sejam documentados.</w:t>
      </w:r>
    </w:p>
    <w:p>
      <w:pPr>
        <w:pStyle w:val="Ttulo2"/>
        <w:keepNext/>
        <w:keepLines/>
        <w:widowControl/>
        <w:spacing w:before="240" w:after="160" w:line="240" w:lineRule="auto"/>
        <w:ind w:firstLine="0"/>
        <w:jc w:val="left"/>
      </w:pPr>
      <w:r>
        <w:rPr>
          <w:rFonts w:ascii="Arial" w:hAnsi="Arial"/>
          <w:b/>
          <w:color w:val="000000"/>
          <w:sz w:val="24"/>
        </w:rPr>
        <w:t>2.4 Participantes e métricas</w:t>
      </w:r>
    </w:p>
    <w:p>
      <w:pPr>
        <w:pStyle w:val="Corpodetexto"/>
        <w:keepNext w:val="0"/>
        <w:keepLines/>
        <w:widowControl/>
        <w:spacing w:line="360" w:lineRule="auto" w:after="0" w:before="0"/>
        <w:ind w:firstLine="709"/>
        <w:jc w:val="both"/>
      </w:pPr>
      <w:r>
        <w:rPr>
          <w:rFonts w:ascii="Arial" w:hAnsi="Arial"/>
          <w:color w:val="000000"/>
          <w:sz w:val="24"/>
        </w:rPr>
        <w:t>A etapa comportamental utilizará amostra de conveniência com pelo menos cinco voluntários de outros semestres do curso, excluindo a turma responsável pelo desenvolvimento. Os participantes serão informados previamente de que integrarão uma simulação acadêmica e receberão identidade, CPF e senha fictícios. O momento exato poderá permanecer reservado para preservar a dinâmica autorizada, sem eliminar a possibilidade de desistência.</w:t>
      </w:r>
    </w:p>
    <w:p>
      <w:pPr>
        <w:pStyle w:val="Corpodetexto"/>
        <w:keepNext w:val="0"/>
        <w:keepLines/>
        <w:widowControl/>
        <w:spacing w:line="360" w:lineRule="auto" w:after="0" w:before="0"/>
        <w:ind w:firstLine="709"/>
        <w:jc w:val="both"/>
      </w:pPr>
      <w:r>
        <w:rPr>
          <w:rFonts w:ascii="Arial" w:hAnsi="Arial"/>
          <w:color w:val="000000"/>
          <w:sz w:val="24"/>
        </w:rPr>
        <w:t>Serão calculados o total de mensagens aceitas pelo transporte, participantes que acessaram o link, formulários submetidos e esclarecimentos visualizados. As taxas planejadas são clique por envio, submissão por envio e submissão após clique. Restrições de unicidade impedirão que recarregamentos aumentem as contagens. O relatório final apresentará somente resultados agregados e indicará tamanho da amostra, desistências, falhas operacionais e limitações, sem identificar indivíduos.</w:t>
      </w:r>
    </w:p>
    <w:p>
      <w:pPr>
        <w:pStyle w:val="Ttulo1"/>
        <w:keepNext/>
        <w:keepLines/>
        <w:widowControl/>
        <w:spacing w:before="320" w:after="160" w:line="240" w:lineRule="auto"/>
        <w:ind w:firstLine="0"/>
        <w:jc w:val="left"/>
      </w:pPr>
      <w:r>
        <w:rPr>
          <w:rFonts w:ascii="Arial" w:hAnsi="Arial"/>
          <w:b/>
          <w:color w:val="000000"/>
          <w:sz w:val="24"/>
        </w:rPr>
        <w:t>3. RESULTADOS E DISCUSSÃO</w:t>
      </w:r>
    </w:p>
    <w:p>
      <w:pPr>
        <w:pStyle w:val="Corpodetexto"/>
        <w:keepNext w:val="0"/>
        <w:keepLines/>
        <w:widowControl/>
        <w:spacing w:line="360" w:lineRule="auto" w:after="0" w:before="0"/>
        <w:ind w:firstLine="709"/>
        <w:jc w:val="both"/>
      </w:pPr>
      <w:r>
        <w:rPr>
          <w:rFonts w:ascii="Arial" w:hAnsi="Arial"/>
          <w:color w:val="000000"/>
          <w:sz w:val="24"/>
        </w:rPr>
        <w:t>O protótipo executa o fluxo local composto por envio controlado, link individual, login simulado, persistência mascarada, boleto fictício, página de conscientização, dashboard agregado e rotina de limpeza. Em verificação realizada em 19 de outubro de 2026, os 13 arquivos da suíte concluíram 40 testes automatizados, e a compilação TypeScript terminou sem erros. Os testes cobrem mascaramento, idempotência, validação de participantes e destinatários, autorização administrativa, cálculo de métricas, páginas públicas, e-mail e limpeza da demonstração.</w:t>
      </w:r>
    </w:p>
    <w:p>
      <w:pPr>
        <w:pStyle w:val="Corpodetexto"/>
        <w:keepNext w:val="0"/>
        <w:keepLines/>
        <w:widowControl/>
        <w:spacing w:line="360" w:lineRule="auto" w:after="0" w:before="0"/>
        <w:ind w:firstLine="709"/>
        <w:jc w:val="both"/>
      </w:pPr>
      <w:r>
        <w:rPr>
          <w:rFonts w:ascii="Arial" w:hAnsi="Arial"/>
          <w:color w:val="000000"/>
          <w:sz w:val="24"/>
        </w:rPr>
        <w:t>A idempotência é relevante porque uma métrica de conscientização deve representar participantes únicos, não quantidade de atualizações da página. Da mesma forma, o registro de email_sent ocorre apenas depois de o transporte aceitar a mensagem. Esses controles reduzem distorções na leitura do funil e permitem separar falhas de entrega, acesso ao link e submissão do formulário.</w:t>
      </w:r>
    </w:p>
    <w:p>
      <w:pPr>
        <w:pStyle w:val="Corpodetexto"/>
        <w:keepNext w:val="0"/>
        <w:keepLines/>
        <w:widowControl/>
        <w:spacing w:line="360" w:lineRule="auto" w:after="0" w:before="0"/>
        <w:ind w:firstLine="709"/>
        <w:jc w:val="both"/>
      </w:pPr>
      <w:r>
        <w:rPr>
          <w:rFonts w:ascii="Arial" w:hAnsi="Arial"/>
          <w:color w:val="000000"/>
          <w:sz w:val="24"/>
        </w:rPr>
        <w:t>A proposta dialoga com o CIS Control 9, que recomenda proteção de e-mail e navegador, filtragem de URLs e implantação de DMARC, SPF e DKIM para reduzir mensagens falsificadas (CIS, 2021). O laboratório não substitui essas barreiras: ele demonstra por que autenticação de remetente, análise de reputação, MFA resistente a phishing e treinamento contínuo precisam atuar em conjunto. A CISA também recomenda avaliações de phishing associadas a camadas de proteção e resposta, evitando que a conscientização seja tratada como defesa isolada (CISA, 2023).</w:t>
      </w:r>
    </w:p>
    <w:p>
      <w:pPr>
        <w:pStyle w:val="Corpodetexto"/>
        <w:keepNext w:val="0"/>
        <w:keepLines/>
        <w:widowControl/>
        <w:spacing w:line="360" w:lineRule="auto" w:after="0" w:before="0"/>
        <w:ind w:firstLine="709"/>
        <w:jc w:val="both"/>
      </w:pPr>
      <w:r>
        <w:rPr>
          <w:rFonts w:ascii="Arial" w:hAnsi="Arial"/>
          <w:color w:val="000000"/>
          <w:sz w:val="24"/>
        </w:rPr>
        <w:t>As funcionalidades de túnel privado, cifragem reversível dos dados sintéticos e analisador defensivo pertencem à Fase 2 e ainda não constituem resultados concluídos. Também permanece necessário proteger todas as rotas de dashboard antes de qualquer acesso em rede e preencher formalmente o período, o hostname, o remetente, a amostra e o prazo de retenção. Como a execução comportamental ainda não ocorreu, este artigo não apresenta percentuais de clique ou submissão; antecipar esses números produziria resultados sem evidência.</w:t>
      </w:r>
    </w:p>
    <w:p>
      <w:pPr>
        <w:pStyle w:val="Corpodetexto"/>
        <w:keepNext w:val="0"/>
        <w:keepLines/>
        <w:widowControl/>
        <w:spacing w:line="360" w:lineRule="auto" w:after="0" w:before="0"/>
        <w:ind w:firstLine="709"/>
        <w:jc w:val="both"/>
      </w:pPr>
      <w:r>
        <w:rPr>
          <w:rFonts w:ascii="Arial" w:hAnsi="Arial"/>
          <w:color w:val="000000"/>
          <w:sz w:val="24"/>
        </w:rPr>
        <w:t>A amostra mínima permitirá validar o procedimento e gerar um relato exploratório, mas não sustentará generalizações sobre toda a comunidade acadêmica. A discussão final deverá considerar o contexto dos participantes, o caráter conhecido da atividade, o uso de credenciais fornecidas pelo laboratório e possíveis mudanças de comportamento causadas pela expectativa de serem testados.</w:t>
      </w:r>
    </w:p>
    <w:p>
      <w:pPr>
        <w:pStyle w:val="Ttulo1"/>
        <w:keepNext/>
        <w:keepLines/>
        <w:widowControl/>
        <w:spacing w:before="320" w:after="160" w:line="240" w:lineRule="auto"/>
        <w:ind w:firstLine="0"/>
        <w:jc w:val="left"/>
      </w:pPr>
      <w:r>
        <w:rPr>
          <w:rFonts w:ascii="Arial" w:hAnsi="Arial"/>
          <w:b/>
          <w:color w:val="000000"/>
          <w:sz w:val="24"/>
        </w:rPr>
        <w:t>4. CONSIDERAÇÕES FINAIS</w:t>
      </w:r>
    </w:p>
    <w:p>
      <w:pPr>
        <w:pStyle w:val="Corpodetexto"/>
        <w:keepNext w:val="0"/>
        <w:keepLines/>
        <w:widowControl/>
        <w:spacing w:line="360" w:lineRule="auto" w:after="0" w:before="0"/>
        <w:ind w:firstLine="709"/>
        <w:jc w:val="both"/>
      </w:pPr>
      <w:r>
        <w:rPr>
          <w:rFonts w:ascii="Arial" w:hAnsi="Arial"/>
          <w:color w:val="000000"/>
          <w:sz w:val="24"/>
        </w:rPr>
        <w:t>A experiência integra desenvolvimento de software, auditoria e educação em segurança em um fluxo mensurável. A validação atual confirma o funcionamento técnico do núcleo da aplicação e dos controles de consistência das métricas. O protocolo da Fase 2 acrescenta acesso HTTPS temporário, identidades sintéticas, cifragem autenticada e análise defensiva, preservando a capacidade didática de demonstrar a captura sem utilizar credenciais reais.</w:t>
      </w:r>
    </w:p>
    <w:p>
      <w:pPr>
        <w:pStyle w:val="Corpodetexto"/>
        <w:keepNext w:val="0"/>
        <w:keepLines/>
        <w:widowControl/>
        <w:spacing w:line="360" w:lineRule="auto" w:after="0" w:before="0"/>
        <w:ind w:firstLine="709"/>
        <w:jc w:val="both"/>
      </w:pPr>
      <w:r>
        <w:rPr>
          <w:rFonts w:ascii="Arial" w:hAnsi="Arial"/>
          <w:color w:val="000000"/>
          <w:sz w:val="24"/>
        </w:rPr>
        <w:t>A conclusão empírica dependerá da execução supervisionada e do preenchimento das métricas observadas. Antes disso, o grupo deverá finalizar a autenticação do dashboard, implementar e testar a cifragem AES-256-GCM, confirmar o escopo do túnel, registrar a autorização da campanha e preparar o procedimento de parada e exclusão. Após a coleta, os resultados deverão ser interpretados como evidência exploratória do grupo testado e acompanhados de recomendações de validação de remetentes, inspeção de links, MFA resistente a phishing e conscientização contínua.</w:t>
      </w:r>
    </w:p>
    <w:p>
      <w:pPr>
        <w:pStyle w:val="Ttulo1"/>
        <w:keepNext/>
        <w:keepLines/>
        <w:widowControl/>
        <w:spacing w:before="320" w:after="160" w:line="240" w:lineRule="auto"/>
        <w:ind w:firstLine="0"/>
        <w:jc w:val="left"/>
      </w:pPr>
      <w:r>
        <w:rPr>
          <w:rFonts w:ascii="Arial" w:hAnsi="Arial"/>
          <w:b/>
          <w:color w:val="000000"/>
          <w:sz w:val="24"/>
        </w:rPr>
        <w:t>REFERÊNCIAS</w:t>
      </w:r>
    </w:p>
    <w:p>
      <w:pPr>
        <w:pStyle w:val="Corpodetexto"/>
        <w:keepLines/>
        <w:spacing w:line="240" w:lineRule="auto" w:after="140"/>
        <w:ind w:firstLine="0"/>
        <w:jc w:val="left"/>
      </w:pPr>
      <w:r>
        <w:rPr>
          <w:rFonts w:ascii="Arial" w:hAnsi="Arial"/>
          <w:color w:val="000000"/>
          <w:sz w:val="22"/>
        </w:rPr>
        <w:t>BRASIL. Lei nº 13.709, de 14 de agosto de 2018. Lei Geral de Proteção de Dados Pessoais. Brasília, DF: Presidência da República, 2018. Disponível em: https://www.planalto.gov.br/ccivil_03/_ato2015-2018/2018/lei/L13709.htm. Acesso em: 19 out. 2026.</w:t>
      </w:r>
    </w:p>
    <w:p>
      <w:pPr>
        <w:pStyle w:val="Corpodetexto"/>
        <w:keepLines/>
        <w:spacing w:line="240" w:lineRule="auto" w:after="140"/>
        <w:ind w:firstLine="0"/>
        <w:jc w:val="left"/>
      </w:pPr>
      <w:r>
        <w:rPr>
          <w:rFonts w:ascii="Arial" w:hAnsi="Arial"/>
          <w:color w:val="000000"/>
          <w:sz w:val="22"/>
        </w:rPr>
        <w:t>CENTER FOR INTERNET SECURITY. CIS Critical Security Controls v8: Control 9 - Email and Web Browser Protections. East Greenbush: CIS, 2021. Disponível em: https://www.cisecurity.org/controls/cis-controls-navigator/v8. Acesso em: 19 out. 2026.</w:t>
      </w:r>
    </w:p>
    <w:p>
      <w:pPr>
        <w:pStyle w:val="Corpodetexto"/>
        <w:keepLines/>
        <w:spacing w:line="240" w:lineRule="auto" w:after="140"/>
        <w:ind w:firstLine="0"/>
        <w:jc w:val="left"/>
      </w:pPr>
      <w:r>
        <w:rPr>
          <w:rFonts w:ascii="Arial" w:hAnsi="Arial"/>
          <w:color w:val="000000"/>
          <w:sz w:val="22"/>
        </w:rPr>
        <w:t>CYBERSECURITY AND INFRASTRUCTURE SECURITY AGENCY. Counter-Phishing Guidance for Non-Federal Organizations. Washington, DC: CISA, 2023. Disponível em: https://www.cisa.gov/sites/default/files/2023-09/CISA_CEG_Counter-Phishing_Guidance_for_Non_Federal_Orgs%20Aug-23%20Revision.pdf. Acesso em: 19 out. 2026.</w:t>
      </w:r>
    </w:p>
    <w:p>
      <w:pPr>
        <w:pStyle w:val="Corpodetexto"/>
        <w:keepLines/>
        <w:spacing w:line="240" w:lineRule="auto" w:after="140"/>
        <w:ind w:firstLine="0"/>
        <w:jc w:val="left"/>
      </w:pPr>
      <w:r>
        <w:rPr>
          <w:rFonts w:ascii="Arial" w:hAnsi="Arial"/>
          <w:color w:val="000000"/>
          <w:sz w:val="22"/>
        </w:rPr>
        <w:t>FASTIFY. Fastify Documentation. Disponível em: https://fastify.dev/. Acesso em: 19 out. 2026.</w:t>
      </w:r>
    </w:p>
    <w:p>
      <w:pPr>
        <w:pStyle w:val="Corpodetexto"/>
        <w:keepLines/>
        <w:spacing w:line="240" w:lineRule="auto" w:after="140"/>
        <w:ind w:firstLine="0"/>
        <w:jc w:val="left"/>
      </w:pPr>
      <w:r>
        <w:rPr>
          <w:rFonts w:ascii="Arial" w:hAnsi="Arial"/>
          <w:color w:val="000000"/>
          <w:sz w:val="22"/>
        </w:rPr>
        <w:t>INTERNATIONAL ORGANIZATION FOR STANDARDIZATION. ISO/IEC 27001:2022: Information security, cybersecurity and privacy protection - Information security management systems - Requirements. Geneva: ISO, 2022.</w:t>
      </w:r>
    </w:p>
    <w:p>
      <w:pPr>
        <w:pStyle w:val="Corpodetexto"/>
        <w:keepLines/>
        <w:spacing w:line="240" w:lineRule="auto" w:after="140"/>
        <w:ind w:firstLine="0"/>
        <w:jc w:val="left"/>
      </w:pPr>
      <w:r>
        <w:rPr>
          <w:rFonts w:ascii="Arial" w:hAnsi="Arial"/>
          <w:color w:val="000000"/>
          <w:sz w:val="22"/>
        </w:rPr>
        <w:t>MARIADB FOUNDATION. MariaDB Server Documentation. Disponível em: https://mariadb.org/documentation/. Acesso em: 19 out. 2026.</w:t>
      </w:r>
    </w:p>
    <w:p>
      <w:pPr>
        <w:pStyle w:val="Corpodetexto"/>
        <w:keepLines/>
        <w:spacing w:line="240" w:lineRule="auto" w:after="140"/>
        <w:ind w:firstLine="0"/>
        <w:jc w:val="left"/>
      </w:pPr>
      <w:r>
        <w:rPr>
          <w:rFonts w:ascii="Arial" w:hAnsi="Arial"/>
          <w:color w:val="000000"/>
          <w:sz w:val="22"/>
        </w:rPr>
        <w:t>NODE.JS. Node.js Documentation. Disponível em: https://nodejs.org/docs/. Acesso em: 19 out. 2026.</w:t>
      </w:r>
    </w:p>
    <w:p>
      <w:pPr>
        <w:pStyle w:val="Corpodetexto"/>
        <w:keepLines/>
        <w:spacing w:line="240" w:lineRule="auto" w:after="140"/>
        <w:ind w:firstLine="0"/>
        <w:jc w:val="left"/>
      </w:pPr>
      <w:r>
        <w:rPr>
          <w:rFonts w:ascii="Arial" w:hAnsi="Arial"/>
          <w:color w:val="000000"/>
          <w:sz w:val="22"/>
        </w:rPr>
        <w:t>NODEMAILER. Nodemailer Documentation. Disponível em: https://nodemailer.com/. Acesso em: 19 out. 2026.</w:t>
      </w:r>
    </w:p>
    <w:p>
      <w:pPr>
        <w:pStyle w:val="Corpodetexto"/>
        <w:keepLines/>
        <w:spacing w:line="240" w:lineRule="auto" w:after="140"/>
        <w:ind w:firstLine="0"/>
        <w:jc w:val="left"/>
      </w:pPr>
      <w:r>
        <w:rPr>
          <w:rFonts w:ascii="Arial" w:hAnsi="Arial"/>
          <w:color w:val="000000"/>
          <w:sz w:val="22"/>
        </w:rPr>
        <w:t>SEQUELIZE. Sequelize Documentation. Disponível em: https://sequelize.org/docs/v6/. Acesso em: 19 out. 2026.</w:t>
      </w:r>
    </w:p>
    <w:p>
      <w:pPr>
        <w:pStyle w:val="Corpodetexto"/>
        <w:keepLines/>
        <w:spacing w:line="240" w:lineRule="auto" w:after="140"/>
        <w:ind w:firstLine="0"/>
        <w:jc w:val="left"/>
      </w:pPr>
      <w:r>
        <w:rPr>
          <w:rFonts w:ascii="Arial" w:hAnsi="Arial"/>
          <w:color w:val="000000"/>
          <w:sz w:val="22"/>
        </w:rPr>
        <w:t>VITEST. Vitest Guide. Disponível em: https://vitest.dev/guide/. Acesso em: 19 out. 2026.</w:t>
      </w:r>
    </w:p>
    <w:sectPr w:rsidR="00AE740F">
      <w:headerReference w:type="default" r:id="rId10"/>
      <w:footerReference w:type="default" r:id="rId11"/>
      <w:type w:val="continuous"/>
      <w:pgSz w:w="11911" w:h="16838"/>
      <w:pgMar w:top="2001" w:right="709" w:bottom="958" w:left="1559" w:header="0" w:footer="7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5A61F2" w14:textId="77777777" w:rsidR="00833DD7" w:rsidRDefault="00833DD7">
      <w:r>
        <w:separator/>
      </w:r>
    </w:p>
  </w:endnote>
  <w:endnote w:type="continuationSeparator" w:id="0">
    <w:p w14:paraId="0B1DF386" w14:textId="77777777" w:rsidR="00833DD7" w:rsidRDefault="00833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E26B26" w14:textId="77777777" w:rsidR="00AE740F" w:rsidRDefault="00000000">
    <w:pPr>
      <w:pStyle w:val="Corpodetexto"/>
      <w:spacing w:line="200" w:lineRule="exact"/>
      <w:ind w:lef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0534A580" wp14:editId="4FBDC1E4">
              <wp:simplePos x="0" y="0"/>
              <wp:positionH relativeFrom="page">
                <wp:posOffset>13971</wp:posOffset>
              </wp:positionH>
              <wp:positionV relativeFrom="page">
                <wp:posOffset>10079368</wp:posOffset>
              </wp:positionV>
              <wp:extent cx="7546975" cy="60388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6975" cy="6038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6975" h="603885">
                            <a:moveTo>
                              <a:pt x="7546592" y="0"/>
                            </a:moveTo>
                            <a:lnTo>
                              <a:pt x="0" y="0"/>
                            </a:lnTo>
                            <a:lnTo>
                              <a:pt x="0" y="603884"/>
                            </a:lnTo>
                            <a:lnTo>
                              <a:pt x="7546592" y="603884"/>
                            </a:lnTo>
                            <a:lnTo>
                              <a:pt x="7546592" y="0"/>
                            </a:lnTo>
                            <a:close/>
                          </a:path>
                        </a:pathLst>
                      </a:custGeom>
                      <a:solidFill>
                        <a:srgbClr val="838AC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1.1001pt;margin-top:793.651062pt;width:594.219907pt;height:47.55pt;mso-position-horizontal-relative:page;mso-position-vertical-relative:page;z-index:-15855104" id="docshape1" filled="true" fillcolor="#838ac0" stroked="false">
              <v:fill type="solid"/>
              <w10:wrap type="non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46D423" w14:textId="77777777" w:rsidR="00833DD7" w:rsidRDefault="00833DD7">
      <w:r>
        <w:separator/>
      </w:r>
    </w:p>
  </w:footnote>
  <w:footnote w:type="continuationSeparator" w:id="0">
    <w:p w14:paraId="0C9CE7DD" w14:textId="77777777" w:rsidR="00833DD7" w:rsidRDefault="00833D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927BB7" w14:textId="694A8381" w:rsidR="00AE740F" w:rsidRDefault="00AE740F">
    <w:pPr>
      <w:pStyle w:val="Corpodetexto"/>
      <w:spacing w:line="200" w:lineRule="exact"/>
      <w:ind w:left="0"/>
      <w:jc w:val="lef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6B41F2"/>
    <w:multiLevelType w:val="hybridMultilevel"/>
    <w:tmpl w:val="A2ECA298"/>
    <w:lvl w:ilvl="0" w:tplc="17100C98">
      <w:numFmt w:val="bullet"/>
      <w:lvlText w:val="•"/>
      <w:lvlJc w:val="left"/>
      <w:pPr>
        <w:ind w:left="702" w:hanging="279"/>
      </w:pPr>
      <w:rPr>
        <w:rFonts w:ascii="Arial MT" w:eastAsia="Arial MT" w:hAnsi="Arial MT" w:cs="Arial MT" w:hint="default"/>
        <w:spacing w:val="0"/>
        <w:w w:val="100"/>
        <w:lang w:val="pt-PT" w:eastAsia="en-US" w:bidi="ar-SA"/>
      </w:rPr>
    </w:lvl>
    <w:lvl w:ilvl="1" w:tplc="6152204C">
      <w:numFmt w:val="bullet"/>
      <w:lvlText w:val="•"/>
      <w:lvlJc w:val="left"/>
      <w:pPr>
        <w:ind w:left="143" w:hanging="22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8CBEF8DE">
      <w:numFmt w:val="bullet"/>
      <w:lvlText w:val="•"/>
      <w:lvlJc w:val="left"/>
      <w:pPr>
        <w:ind w:left="1693" w:hanging="221"/>
      </w:pPr>
      <w:rPr>
        <w:rFonts w:hint="default"/>
        <w:lang w:val="pt-PT" w:eastAsia="en-US" w:bidi="ar-SA"/>
      </w:rPr>
    </w:lvl>
    <w:lvl w:ilvl="3" w:tplc="EA44E29E">
      <w:numFmt w:val="bullet"/>
      <w:lvlText w:val="•"/>
      <w:lvlJc w:val="left"/>
      <w:pPr>
        <w:ind w:left="2686" w:hanging="221"/>
      </w:pPr>
      <w:rPr>
        <w:rFonts w:hint="default"/>
        <w:lang w:val="pt-PT" w:eastAsia="en-US" w:bidi="ar-SA"/>
      </w:rPr>
    </w:lvl>
    <w:lvl w:ilvl="4" w:tplc="42648062">
      <w:numFmt w:val="bullet"/>
      <w:lvlText w:val="•"/>
      <w:lvlJc w:val="left"/>
      <w:pPr>
        <w:ind w:left="3679" w:hanging="221"/>
      </w:pPr>
      <w:rPr>
        <w:rFonts w:hint="default"/>
        <w:lang w:val="pt-PT" w:eastAsia="en-US" w:bidi="ar-SA"/>
      </w:rPr>
    </w:lvl>
    <w:lvl w:ilvl="5" w:tplc="BDC231BC">
      <w:numFmt w:val="bullet"/>
      <w:lvlText w:val="•"/>
      <w:lvlJc w:val="left"/>
      <w:pPr>
        <w:ind w:left="4673" w:hanging="221"/>
      </w:pPr>
      <w:rPr>
        <w:rFonts w:hint="default"/>
        <w:lang w:val="pt-PT" w:eastAsia="en-US" w:bidi="ar-SA"/>
      </w:rPr>
    </w:lvl>
    <w:lvl w:ilvl="6" w:tplc="70B6674A">
      <w:numFmt w:val="bullet"/>
      <w:lvlText w:val="•"/>
      <w:lvlJc w:val="left"/>
      <w:pPr>
        <w:ind w:left="5666" w:hanging="221"/>
      </w:pPr>
      <w:rPr>
        <w:rFonts w:hint="default"/>
        <w:lang w:val="pt-PT" w:eastAsia="en-US" w:bidi="ar-SA"/>
      </w:rPr>
    </w:lvl>
    <w:lvl w:ilvl="7" w:tplc="0B761C4E">
      <w:numFmt w:val="bullet"/>
      <w:lvlText w:val="•"/>
      <w:lvlJc w:val="left"/>
      <w:pPr>
        <w:ind w:left="6659" w:hanging="221"/>
      </w:pPr>
      <w:rPr>
        <w:rFonts w:hint="default"/>
        <w:lang w:val="pt-PT" w:eastAsia="en-US" w:bidi="ar-SA"/>
      </w:rPr>
    </w:lvl>
    <w:lvl w:ilvl="8" w:tplc="5C20AB52">
      <w:numFmt w:val="bullet"/>
      <w:lvlText w:val="•"/>
      <w:lvlJc w:val="left"/>
      <w:pPr>
        <w:ind w:left="7652" w:hanging="221"/>
      </w:pPr>
      <w:rPr>
        <w:rFonts w:hint="default"/>
        <w:lang w:val="pt-PT" w:eastAsia="en-US" w:bidi="ar-SA"/>
      </w:rPr>
    </w:lvl>
  </w:abstractNum>
  <w:abstractNum w:abstractNumId="1" w15:restartNumberingAfterBreak="0">
    <w:nsid w:val="43CB7551"/>
    <w:multiLevelType w:val="hybridMultilevel"/>
    <w:tmpl w:val="10FC0208"/>
    <w:lvl w:ilvl="0" w:tplc="5FA24BF6">
      <w:numFmt w:val="bullet"/>
      <w:lvlText w:val="•"/>
      <w:lvlJc w:val="left"/>
      <w:pPr>
        <w:ind w:left="702" w:hanging="279"/>
      </w:pPr>
      <w:rPr>
        <w:rFonts w:ascii="Arial MT" w:eastAsia="Arial MT" w:hAnsi="Arial MT" w:cs="Arial MT" w:hint="default"/>
        <w:spacing w:val="0"/>
        <w:w w:val="100"/>
        <w:lang w:val="pt-PT" w:eastAsia="en-US" w:bidi="ar-SA"/>
      </w:rPr>
    </w:lvl>
    <w:lvl w:ilvl="1" w:tplc="A3581A1E">
      <w:numFmt w:val="bullet"/>
      <w:lvlText w:val="•"/>
      <w:lvlJc w:val="left"/>
      <w:pPr>
        <w:ind w:left="1593" w:hanging="279"/>
      </w:pPr>
      <w:rPr>
        <w:rFonts w:hint="default"/>
        <w:lang w:val="pt-PT" w:eastAsia="en-US" w:bidi="ar-SA"/>
      </w:rPr>
    </w:lvl>
    <w:lvl w:ilvl="2" w:tplc="38F0BE20">
      <w:numFmt w:val="bullet"/>
      <w:lvlText w:val="•"/>
      <w:lvlJc w:val="left"/>
      <w:pPr>
        <w:ind w:left="2487" w:hanging="279"/>
      </w:pPr>
      <w:rPr>
        <w:rFonts w:hint="default"/>
        <w:lang w:val="pt-PT" w:eastAsia="en-US" w:bidi="ar-SA"/>
      </w:rPr>
    </w:lvl>
    <w:lvl w:ilvl="3" w:tplc="5A1EAB8A">
      <w:numFmt w:val="bullet"/>
      <w:lvlText w:val="•"/>
      <w:lvlJc w:val="left"/>
      <w:pPr>
        <w:ind w:left="3381" w:hanging="279"/>
      </w:pPr>
      <w:rPr>
        <w:rFonts w:hint="default"/>
        <w:lang w:val="pt-PT" w:eastAsia="en-US" w:bidi="ar-SA"/>
      </w:rPr>
    </w:lvl>
    <w:lvl w:ilvl="4" w:tplc="5792035C">
      <w:numFmt w:val="bullet"/>
      <w:lvlText w:val="•"/>
      <w:lvlJc w:val="left"/>
      <w:pPr>
        <w:ind w:left="4275" w:hanging="279"/>
      </w:pPr>
      <w:rPr>
        <w:rFonts w:hint="default"/>
        <w:lang w:val="pt-PT" w:eastAsia="en-US" w:bidi="ar-SA"/>
      </w:rPr>
    </w:lvl>
    <w:lvl w:ilvl="5" w:tplc="533A5EB8">
      <w:numFmt w:val="bullet"/>
      <w:lvlText w:val="•"/>
      <w:lvlJc w:val="left"/>
      <w:pPr>
        <w:ind w:left="5169" w:hanging="279"/>
      </w:pPr>
      <w:rPr>
        <w:rFonts w:hint="default"/>
        <w:lang w:val="pt-PT" w:eastAsia="en-US" w:bidi="ar-SA"/>
      </w:rPr>
    </w:lvl>
    <w:lvl w:ilvl="6" w:tplc="240E8942">
      <w:numFmt w:val="bullet"/>
      <w:lvlText w:val="•"/>
      <w:lvlJc w:val="left"/>
      <w:pPr>
        <w:ind w:left="6063" w:hanging="279"/>
      </w:pPr>
      <w:rPr>
        <w:rFonts w:hint="default"/>
        <w:lang w:val="pt-PT" w:eastAsia="en-US" w:bidi="ar-SA"/>
      </w:rPr>
    </w:lvl>
    <w:lvl w:ilvl="7" w:tplc="1408D502">
      <w:numFmt w:val="bullet"/>
      <w:lvlText w:val="•"/>
      <w:lvlJc w:val="left"/>
      <w:pPr>
        <w:ind w:left="6957" w:hanging="279"/>
      </w:pPr>
      <w:rPr>
        <w:rFonts w:hint="default"/>
        <w:lang w:val="pt-PT" w:eastAsia="en-US" w:bidi="ar-SA"/>
      </w:rPr>
    </w:lvl>
    <w:lvl w:ilvl="8" w:tplc="2A28A192">
      <w:numFmt w:val="bullet"/>
      <w:lvlText w:val="•"/>
      <w:lvlJc w:val="left"/>
      <w:pPr>
        <w:ind w:left="7851" w:hanging="279"/>
      </w:pPr>
      <w:rPr>
        <w:rFonts w:hint="default"/>
        <w:lang w:val="pt-PT" w:eastAsia="en-US" w:bidi="ar-SA"/>
      </w:rPr>
    </w:lvl>
  </w:abstractNum>
  <w:abstractNum w:abstractNumId="2" w15:restartNumberingAfterBreak="0">
    <w:nsid w:val="4BC51A9E"/>
    <w:multiLevelType w:val="hybridMultilevel"/>
    <w:tmpl w:val="B282DB54"/>
    <w:lvl w:ilvl="0" w:tplc="D152B09C">
      <w:start w:val="1"/>
      <w:numFmt w:val="decimal"/>
      <w:lvlText w:val="%1."/>
      <w:lvlJc w:val="left"/>
      <w:pPr>
        <w:ind w:left="500" w:hanging="35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8"/>
        <w:szCs w:val="28"/>
        <w:lang w:val="pt-PT" w:eastAsia="en-US" w:bidi="ar-SA"/>
      </w:rPr>
    </w:lvl>
    <w:lvl w:ilvl="1" w:tplc="D30C0706">
      <w:numFmt w:val="bullet"/>
      <w:lvlText w:val="•"/>
      <w:lvlJc w:val="left"/>
      <w:pPr>
        <w:ind w:left="995" w:hanging="28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CCEE5C26">
      <w:numFmt w:val="bullet"/>
      <w:lvlText w:val="•"/>
      <w:lvlJc w:val="left"/>
      <w:pPr>
        <w:ind w:left="1959" w:hanging="286"/>
      </w:pPr>
      <w:rPr>
        <w:rFonts w:hint="default"/>
        <w:lang w:val="pt-PT" w:eastAsia="en-US" w:bidi="ar-SA"/>
      </w:rPr>
    </w:lvl>
    <w:lvl w:ilvl="3" w:tplc="7B805A22">
      <w:numFmt w:val="bullet"/>
      <w:lvlText w:val="•"/>
      <w:lvlJc w:val="left"/>
      <w:pPr>
        <w:ind w:left="2919" w:hanging="286"/>
      </w:pPr>
      <w:rPr>
        <w:rFonts w:hint="default"/>
        <w:lang w:val="pt-PT" w:eastAsia="en-US" w:bidi="ar-SA"/>
      </w:rPr>
    </w:lvl>
    <w:lvl w:ilvl="4" w:tplc="51885178">
      <w:numFmt w:val="bullet"/>
      <w:lvlText w:val="•"/>
      <w:lvlJc w:val="left"/>
      <w:pPr>
        <w:ind w:left="3879" w:hanging="286"/>
      </w:pPr>
      <w:rPr>
        <w:rFonts w:hint="default"/>
        <w:lang w:val="pt-PT" w:eastAsia="en-US" w:bidi="ar-SA"/>
      </w:rPr>
    </w:lvl>
    <w:lvl w:ilvl="5" w:tplc="CECE37B4">
      <w:numFmt w:val="bullet"/>
      <w:lvlText w:val="•"/>
      <w:lvlJc w:val="left"/>
      <w:pPr>
        <w:ind w:left="4839" w:hanging="286"/>
      </w:pPr>
      <w:rPr>
        <w:rFonts w:hint="default"/>
        <w:lang w:val="pt-PT" w:eastAsia="en-US" w:bidi="ar-SA"/>
      </w:rPr>
    </w:lvl>
    <w:lvl w:ilvl="6" w:tplc="7D7A3D0A">
      <w:numFmt w:val="bullet"/>
      <w:lvlText w:val="•"/>
      <w:lvlJc w:val="left"/>
      <w:pPr>
        <w:ind w:left="5799" w:hanging="286"/>
      </w:pPr>
      <w:rPr>
        <w:rFonts w:hint="default"/>
        <w:lang w:val="pt-PT" w:eastAsia="en-US" w:bidi="ar-SA"/>
      </w:rPr>
    </w:lvl>
    <w:lvl w:ilvl="7" w:tplc="1B4EF426">
      <w:numFmt w:val="bullet"/>
      <w:lvlText w:val="•"/>
      <w:lvlJc w:val="left"/>
      <w:pPr>
        <w:ind w:left="6759" w:hanging="286"/>
      </w:pPr>
      <w:rPr>
        <w:rFonts w:hint="default"/>
        <w:lang w:val="pt-PT" w:eastAsia="en-US" w:bidi="ar-SA"/>
      </w:rPr>
    </w:lvl>
    <w:lvl w:ilvl="8" w:tplc="206295B0">
      <w:numFmt w:val="bullet"/>
      <w:lvlText w:val="•"/>
      <w:lvlJc w:val="left"/>
      <w:pPr>
        <w:ind w:left="7719" w:hanging="286"/>
      </w:pPr>
      <w:rPr>
        <w:rFonts w:hint="default"/>
        <w:lang w:val="pt-PT" w:eastAsia="en-US" w:bidi="ar-SA"/>
      </w:rPr>
    </w:lvl>
  </w:abstractNum>
  <w:num w:numId="1" w16cid:durableId="545529923">
    <w:abstractNumId w:val="0"/>
  </w:num>
  <w:num w:numId="2" w16cid:durableId="1172835901">
    <w:abstractNumId w:val="1"/>
  </w:num>
  <w:num w:numId="3" w16cid:durableId="166874584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740F"/>
    <w:rsid w:val="00833DD7"/>
    <w:rsid w:val="00A462D9"/>
    <w:rsid w:val="00AA7D27"/>
    <w:rsid w:val="00AE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3052AA"/>
  <w15:docId w15:val="{ACFFCF95-F9CF-834C-96AE-EBAF400AC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498" w:hanging="355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143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43"/>
      <w:jc w:val="both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702" w:hanging="279"/>
    </w:pPr>
  </w:style>
  <w:style w:type="paragraph" w:customStyle="1" w:styleId="TableParagraph">
    <w:name w:val="Table Paragraph"/>
    <w:basedOn w:val="Normal"/>
    <w:uiPriority w:val="1"/>
    <w:qFormat/>
    <w:pPr>
      <w:spacing w:before="77"/>
      <w:ind w:left="2273"/>
    </w:pPr>
  </w:style>
  <w:style w:type="paragraph" w:styleId="Cabealho">
    <w:name w:val="header"/>
    <w:basedOn w:val="Normal"/>
    <w:link w:val="CabealhoChar"/>
    <w:uiPriority w:val="99"/>
    <w:unhideWhenUsed/>
    <w:rsid w:val="00A462D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462D9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A462D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462D9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ara.duarte@afya.com.br" TargetMode="External"/><Relationship Id="rId13" Type="http://schemas.openxmlformats.org/officeDocument/2006/relationships/image" Target="media/image1.jpeg"/><Relationship Id="rId18" Type="http://schemas.openxmlformats.org/officeDocument/2006/relationships/hyperlink" Target="https://guacamole.apache.org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hetzner.com/" TargetMode="External"/><Relationship Id="rId7" Type="http://schemas.openxmlformats.org/officeDocument/2006/relationships/hyperlink" Target="mailto:claudio.castela@afya.com.br" TargetMode="External"/><Relationship Id="rId12" Type="http://schemas.openxmlformats.org/officeDocument/2006/relationships/hyperlink" Target="https://guaca.castelo.cloud/guacamole/" TargetMode="External"/><Relationship Id="rId17" Type="http://schemas.openxmlformats.org/officeDocument/2006/relationships/hyperlink" Target="https://docs.docker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hyperlink" Target="https://www.proxmox.com/en/proxmox-v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yperlink" Target="https://doc.traefik.io/traefi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liluyoud.lacerda@afya.com.br" TargetMode="External"/><Relationship Id="rId14" Type="http://schemas.openxmlformats.org/officeDocument/2006/relationships/image" Target="media/image2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2808</Words>
  <Characters>15167</Characters>
  <Application>Microsoft Office Word</Application>
  <DocSecurity>0</DocSecurity>
  <Lines>126</Lines>
  <Paragraphs>35</Paragraphs>
  <ScaleCrop>false</ScaleCrop>
  <Company/>
  <LinksUpToDate>false</LinksUpToDate>
  <CharactersWithSpaces>17940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2026-10-08T12:21:00Z</dcterms:created>
  <dcterms:modified xsi:type="dcterms:W3CDTF">2026-10-08T12:23:00Z</dcterms:modified>
  <dc:title>Simulação acadêmica controlada de phishing</dc:title>
  <dc:subject>Relato de experiência em segurança da informação</dc:subject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2026-03-13T00:00:00Z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LTSC</vt:lpwstr>
  </property>
</Properties>
</file>