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sz w:val="24"/>
        </w:rPr>
        <w:t>RELATO DE EXPERIÊNCIA</w:t>
      </w:r>
    </w:p>
    <w:p>
      <w:pPr>
        <w:spacing w:before="200" w:after="280"/>
        <w:jc w:val="center"/>
      </w:pPr>
      <w:r>
        <w:rPr>
          <w:rFonts w:ascii="Arial" w:hAnsi="Arial"/>
          <w:b/>
          <w:sz w:val="26"/>
        </w:rPr>
        <w:t>SIMULAÇÃO ACADÊMICA CONTROLADA DE PHISHING: DESENVOLVIMENTO E VALIDAÇÃO DE UMA APLICAÇÃO PARA CONSCIENTIZAÇÃO EM SEGURANÇA DA INFORMAÇÃO</w:t>
      </w:r>
    </w:p>
    <w:p>
      <w:pPr>
        <w:spacing w:after="80"/>
        <w:jc w:val="center"/>
      </w:pPr>
      <w:r>
        <w:rPr>
          <w:b/>
          <w:sz w:val="21"/>
        </w:rPr>
        <w:t>CATEGORIA: RELATO DE EXPERIÊNCIA</w:t>
      </w:r>
    </w:p>
    <w:p>
      <w:pPr>
        <w:spacing w:after="80"/>
        <w:jc w:val="center"/>
      </w:pPr>
      <w:r>
        <w:rPr>
          <w:b w:val="0"/>
          <w:sz w:val="21"/>
        </w:rPr>
        <w:t>ÁREA TEMÁTICA: Segurança da Informação e Educação Tecnológica</w:t>
      </w:r>
    </w:p>
    <w:p>
      <w:pPr>
        <w:spacing w:after="20"/>
        <w:jc w:val="center"/>
      </w:pPr>
      <w:r>
        <w:rPr>
          <w:b w:val="0"/>
          <w:sz w:val="21"/>
        </w:rPr>
        <w:t>Acadêmico(a): [Nome do(a) aluno(a)]</w:t>
      </w:r>
    </w:p>
    <w:p>
      <w:pPr>
        <w:spacing w:after="80"/>
        <w:jc w:val="center"/>
      </w:pPr>
      <w:r>
        <w:rPr>
          <w:b w:val="0"/>
          <w:sz w:val="21"/>
        </w:rPr>
        <w:t>Disciplina: Segurança e Auditoria de Sistemas</w:t>
      </w:r>
    </w:p>
    <w:p>
      <w:pPr>
        <w:spacing w:line="360" w:lineRule="auto" w:after="120"/>
        <w:ind w:firstLine="709"/>
        <w:jc w:val="both"/>
      </w:pPr>
      <w:r>
        <w:rPr>
          <w:b/>
        </w:rPr>
        <w:t>Resumo:</w:t>
      </w:r>
      <w:r>
        <w:t xml:space="preserve"> O phishing é uma técnica de engenharia social que utiliza mensagens e páginas falsas para induzir pessoas a realizar ações inseguras. Este trabalho descreve o desenvolvimento de uma simulação acadêmica controlada que reproduz, com dados fictícios, um fluxo composto por envio autorizado de e-mail, acesso individualizado, formulário de login, registro de eventos, exibição de documento de cobrança não pagável, conscientização e dashboard de métricas agregadas. A solução foi implementada com Node.js, TypeScript, Fastify, MariaDB, Sequelize, HTML, CSS, JavaScript, Nodemailer, Zod e Vitest. O backend valida códigos e CPFs de teste, mascara o CPF antes da persistência, registra apenas o tamanho da senha fictícia e torna os eventos idempotentes por participante. A suíte automatizada atual possui 40 testes aprovados e a compilação TypeScript foi concluída. A etapa comportamental ainda não foi executada e deverá utilizar, no mínimo, cinco participantes voluntários e autorizados; por isso, o trabalho não apresenta taxas reais de clique ou submissão nesta versão.</w:t>
      </w:r>
    </w:p>
    <w:p>
      <w:pPr>
        <w:spacing w:line="360" w:lineRule="auto" w:after="120"/>
        <w:ind w:firstLine="709"/>
        <w:jc w:val="both"/>
      </w:pPr>
      <w:r>
        <w:rPr>
          <w:b/>
        </w:rPr>
        <w:t>Palavras-chave:</w:t>
      </w:r>
      <w:r>
        <w:t xml:space="preserve"> Phishing. Segurança da informação. Engenharia social. Auditoria. Proteção de dados.</w:t>
      </w:r>
    </w:p>
    <w:p>
      <w:pPr>
        <w:pStyle w:val="Heading1"/>
      </w:pPr>
      <w:r>
        <w:t>1. INTRODUÇÃO</w:t>
      </w:r>
    </w:p>
    <w:p>
      <w:pPr>
        <w:spacing w:line="360" w:lineRule="auto" w:after="120"/>
        <w:ind w:firstLine="709"/>
        <w:jc w:val="both"/>
      </w:pPr>
      <w:r>
        <w:t>A segurança da informação envolve medidas técnicas e comportamentais para proteger dados, sistemas e pessoas contra acessos indevidos e fraudes. Entre as ameaças recorrentes está o phishing, forma de engenharia social que explora confiança, urgência, autoridade e aparência visual para levar uma pessoa a acessar links ou fornecer informações em páginas não verificadas.</w:t>
      </w:r>
    </w:p>
    <w:p>
      <w:pPr>
        <w:spacing w:line="360" w:lineRule="auto" w:after="120"/>
        <w:ind w:firstLine="709"/>
        <w:jc w:val="both"/>
      </w:pPr>
      <w:r>
        <w:t>A compreensão desse processo é favorecida por atividades práticas, desde que realizadas com autorização, isolamento, minimização de dados e objetivos pedagógicos definidos. Neste projeto, a aproximação com um cenário real é limitada deliberadamente: somente participantes voluntários recebem o teste, todos utilizam identidades e credenciais fictícias e a aplicação não deve ser publicada abertamente na internet.</w:t>
      </w:r>
    </w:p>
    <w:p>
      <w:pPr>
        <w:spacing w:line="360" w:lineRule="auto" w:after="120"/>
        <w:ind w:firstLine="709"/>
        <w:jc w:val="both"/>
      </w:pPr>
      <w:r>
        <w:t>O objetivo deste relato é apresentar a arquitetura, o fluxo implementado, os mecanismos de proteção e o protocolo de validação da Simulação Acadêmica de Phishing desenvolvida para a disciplina de Segurança e Auditoria de Sistemas. Também são discutidas as limitações atuais do protótipo e os indicadores que poderão ser obtidos em uma execução controlada com, pelo menos, cinco participantes autorizados.</w:t>
      </w:r>
    </w:p>
    <w:p>
      <w:pPr>
        <w:pStyle w:val="Heading1"/>
      </w:pPr>
      <w:r>
        <w:t>2. MATERIAIS E MÉTODOS / PROCEDIMENTOS METODOLÓGICOS</w:t>
      </w:r>
    </w:p>
    <w:p>
      <w:pPr>
        <w:spacing w:line="360" w:lineRule="auto" w:after="120"/>
        <w:ind w:firstLine="709"/>
        <w:jc w:val="both"/>
      </w:pPr>
      <w:r>
        <w:t>O projeto foi desenvolvido para execução local, em laboratório ou em rede acadêmica explicitamente autorizada. A aplicação não consulta bases externas de pessoas, não admite CPF real, não preserva caracteres da senha e não registra endereço IP, geolocalização ou impressão digital do navegador. O código opaco do participante, no formato P001, é usado apenas para correlacionar as etapas do teste sem incluir nome, e-mail ou documento pessoal.</w:t>
      </w:r>
    </w:p>
    <w:p>
      <w:pPr>
        <w:spacing w:line="360" w:lineRule="auto" w:after="120"/>
        <w:ind w:firstLine="709"/>
        <w:jc w:val="both"/>
      </w:pPr>
      <w:r>
        <w:t>A implementação utiliza os seguintes recursos:</w:t>
      </w:r>
    </w:p>
    <w:p>
      <w:pPr>
        <w:pStyle w:val="ListBullet"/>
        <w:spacing w:line="276" w:lineRule="auto" w:after="40"/>
        <w:ind w:left="425" w:hanging="198"/>
      </w:pPr>
      <w:r>
        <w:t>Node.js 22 ou superior, TypeScript em modo estrito e Fastify no servidor;</w:t>
      </w:r>
    </w:p>
    <w:p>
      <w:pPr>
        <w:pStyle w:val="ListBullet"/>
        <w:spacing w:line="276" w:lineRule="auto" w:after="40"/>
        <w:ind w:left="425" w:hanging="198"/>
      </w:pPr>
      <w:r>
        <w:t>MariaDB e Sequelize, com duas tabelas: audit e submissions;</w:t>
      </w:r>
    </w:p>
    <w:p>
      <w:pPr>
        <w:pStyle w:val="ListBullet"/>
        <w:spacing w:line="276" w:lineRule="auto" w:after="40"/>
        <w:ind w:left="425" w:hanging="198"/>
      </w:pPr>
      <w:r>
        <w:t>HTML, CSS e JavaScript sem framework para login, boleto fictício, conscientização e dashboard;</w:t>
      </w:r>
    </w:p>
    <w:p>
      <w:pPr>
        <w:pStyle w:val="ListBullet"/>
        <w:spacing w:line="276" w:lineRule="auto" w:after="40"/>
        <w:ind w:left="425" w:hanging="198"/>
      </w:pPr>
      <w:r>
        <w:t>Zod para validação das entradas no backend;</w:t>
      </w:r>
    </w:p>
    <w:p>
      <w:pPr>
        <w:pStyle w:val="ListBullet"/>
        <w:spacing w:line="276" w:lineRule="auto" w:after="40"/>
        <w:ind w:left="425" w:hanging="198"/>
      </w:pPr>
      <w:r>
        <w:t>Nodemailer com transporte desabilitado por padrão e suporte a Mailpit ou SMTP autorizado;</w:t>
      </w:r>
    </w:p>
    <w:p>
      <w:pPr>
        <w:pStyle w:val="ListBullet"/>
        <w:spacing w:line="276" w:lineRule="auto" w:after="40"/>
        <w:ind w:left="425" w:hanging="198"/>
      </w:pPr>
      <w:r>
        <w:t>Vitest para testes automatizados e TypeScript para lint e compilação.</w:t>
      </w:r>
    </w:p>
    <w:p>
      <w:pPr>
        <w:pStyle w:val="Heading2"/>
      </w:pPr>
      <w:r>
        <w:t>2.1 Arquitetura e fluxo implementado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F5B8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3135"/>
            <w:shd w:fill="2F5B8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Rota ou comando</w:t>
            </w:r>
          </w:p>
        </w:tc>
        <w:tc>
          <w:tcPr>
            <w:tcW w:type="dxa" w:w="3135"/>
            <w:shd w:fill="2F5B8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Estado no protótipo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Saúde da aplicação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GET /health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Envio autorizado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POST /admin/send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Implementado e protegido por token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Login simulado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GET e POST /login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Implementado com validação e mascaramento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Documento fictício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GET /boleto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Implementado; não pagável e sem QR Code válido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Conscientização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GET /awareness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Implementado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Métricas agregadas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GET /dashboard e /api/dashboard/metrics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Implementado; autenticação própria ainda pendente</w:t>
            </w:r>
          </w:p>
        </w:tc>
      </w:tr>
      <w:tr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Limpeza da demonstração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POST /admin/reset-demo e npm run db:reset</w:t>
            </w:r>
          </w:p>
        </w:tc>
        <w:tc>
          <w:tcPr>
            <w:tcW w:type="dxa" w:w="3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Implementado com confirmação</w:t>
            </w:r>
          </w:p>
        </w:tc>
      </w:tr>
    </w:tbl>
    <w:p>
      <w:pPr>
        <w:spacing w:before="60" w:after="140"/>
        <w:jc w:val="center"/>
      </w:pPr>
      <w:r>
        <w:rPr>
          <w:i/>
          <w:sz w:val="18"/>
        </w:rPr>
        <w:t>Quadro 1 — Correspondência entre o relatório e o estado atual do código.</w:t>
      </w:r>
    </w:p>
    <w:p>
      <w:pPr>
        <w:spacing w:line="360" w:lineRule="auto" w:after="120"/>
        <w:ind w:firstLine="709"/>
        <w:jc w:val="both"/>
      </w:pPr>
      <w:r>
        <w:t>O fluxo começa em POST /admin/send, rota protegida por token administrativo e limitada a destinatários autorizados. O link individual direciona para GET /login?p=P001. No primeiro acesso válido, o evento link_clicked é registrado. A submissão do formulário ocorre em POST /login; o servidor aceita somente códigos e CPFs fictícios presentes nas listas de teste, aplica o mascaramento antes da persistência e registra form_submitted uma única vez. Em seguida, o participante é direcionado para GET /boleto, que exibe documento deliberadamente inválido e não pagável, e depois para GET /awareness, com os sinais do cenário e a resposta recomendada.</w:t>
      </w:r>
    </w:p>
    <w:p>
      <w:pPr>
        <w:pStyle w:val="Heading2"/>
      </w:pPr>
      <w:r>
        <w:t>2.2 Proteção de dados e auditoria</w:t>
      </w:r>
    </w:p>
    <w:p>
      <w:pPr>
        <w:spacing w:line="360" w:lineRule="auto" w:after="120"/>
        <w:ind w:firstLine="709"/>
        <w:jc w:val="both"/>
      </w:pPr>
      <w:r>
        <w:t>A tabela audit armazena somente o código opaco do participante, o tipo do evento e o horário. Uma restrição de unicidade impede que o mesmo participante aumente repetidamente o mesmo indicador. A tabela submissions mantém, no máximo, uma submissão por código e recebe apenas o CPF no formato ***.***.***-09 e uma descrição como [8 caracteres capturados]. O corpo da requisição, cookies, autorização e segredos são ocultados dos logs do Fastify.</w:t>
      </w:r>
    </w:p>
    <w:p>
      <w:pPr>
        <w:spacing w:line="360" w:lineRule="auto" w:after="120"/>
        <w:ind w:firstLine="709"/>
        <w:jc w:val="both"/>
      </w:pPr>
      <w:r>
        <w:t>O envio externo permanece desabilitado no arquivo de exemplo. Quando a demonstração utiliza e-mail, o destinatário precisa estar na allowlist ou receber autorização temporária, vinculada a um participante e de uso único. As rotas administrativas de envio, autorização temporária e limpeza exigem Bearer Token. Segredos permanecem no arquivo .env local, que não deve ser versionado.</w:t>
      </w:r>
    </w:p>
    <w:p>
      <w:pPr>
        <w:pStyle w:val="Heading2"/>
      </w:pPr>
      <w:r>
        <w:t>2.3 Protocolo de teste</w:t>
      </w:r>
    </w:p>
    <w:p>
      <w:pPr>
        <w:spacing w:line="360" w:lineRule="auto" w:after="120"/>
        <w:ind w:firstLine="709"/>
        <w:jc w:val="both"/>
      </w:pPr>
      <w:r>
        <w:t>A validação foi dividida em duas frentes. A primeira é técnica e automatizada: os testes verificam mascaramento, idempotência, validação das listas permitidas, bloqueio de acesso administrativo não autenticado, cálculo de métricas, páginas públicas e caráter não pagável do documento fictício. A segunda é uma demonstração comportamental, ainda pendente, com amostra mínima de cinco participantes voluntários e autorizados. Cada participante deverá receber um código opaco e dados inteiramente fictícios.</w:t>
      </w:r>
    </w:p>
    <w:p>
      <w:pPr>
        <w:spacing w:line="360" w:lineRule="auto" w:after="120"/>
        <w:ind w:firstLine="709"/>
        <w:jc w:val="both"/>
      </w:pPr>
      <w:r>
        <w:t>Na demonstração, serão registrados somente os eventos email_sent, link_clicked e form_submitted. As métricas planejadas são total de envios, total de pessoas que clicaram, total de formulários enviados, taxa de clique, taxa de submissão e conversão após o clique. Recarregamentos de página não devem aumentar os totais. O banco deverá ser verificado antes e limpo após a atividade, preservando apenas evidências agregadas e capturas sem dados pessoais para o artigo.</w:t>
      </w:r>
    </w:p>
    <w:p>
      <w:pPr>
        <w:pStyle w:val="Heading1"/>
      </w:pPr>
      <w:r>
        <w:t>3. RESULTADOS E DISCUSSÃO</w:t>
      </w:r>
    </w:p>
    <w:p>
      <w:pPr>
        <w:spacing w:line="360" w:lineRule="auto" w:after="120"/>
        <w:ind w:firstLine="709"/>
        <w:jc w:val="both"/>
      </w:pPr>
      <w:r>
        <w:t>No estado atual, o fluxo local completo está implementado: envio controlado, link individual, login simulado, persistência mascarada, boleto fictício, página de conscientização, dashboard agregado e rotina de limpeza. Em 19 de outubro de 2026, a suíte do repositório concluiu 40 testes automatizados distribuídos em 13 arquivos, e a compilação TypeScript foi finalizada sem erros. Esses resultados comprovam a consistência técnica do protótipo, mas não substituem a observação de participantes na etapa acadêmica.</w:t>
      </w:r>
    </w:p>
    <w:p>
      <w:pPr>
        <w:spacing w:line="360" w:lineRule="auto" w:after="120"/>
        <w:ind w:firstLine="709"/>
        <w:jc w:val="both"/>
      </w:pPr>
      <w:r>
        <w:t>O dashboard calcula as taxas com participantes únicos e trata denominadores iguais a zero. Ele atualiza os resultados automaticamente e apresenta um funil com e-mails enviados, links acessados e formulários submetidos. Como a etapa com, no mínimo, cinco participantes ainda não foi realizada, não são apresentadas porcentagens comportamentais nesta versão; qualquer número preenchido antes da coleta seria meramente hipotético.</w:t>
      </w:r>
    </w:p>
    <w:p>
      <w:pPr>
        <w:spacing w:line="360" w:lineRule="auto" w:after="120"/>
        <w:ind w:firstLine="709"/>
        <w:jc w:val="both"/>
      </w:pPr>
      <w:r>
        <w:t>A principal limitação técnica identificada é que GET /dashboard e GET /api/dashboard/metrics ainda não possuem autenticação própria. Embora retornem somente valores agregados e o uso previsto seja local, essas rotas devem receber controle de acesso antes de qualquer utilização em rede. Também é necessário confirmar autorização para a identidade visual usada na página de login; na ausência dessa autorização, os elementos institucionais devem ser substituídos por marca fictícia, como já ocorre no boleto demonstrativo.</w:t>
      </w:r>
    </w:p>
    <w:p>
      <w:pPr>
        <w:spacing w:line="360" w:lineRule="auto" w:after="120"/>
        <w:ind w:firstLine="709"/>
        <w:jc w:val="both"/>
      </w:pPr>
      <w:r>
        <w:t>Outra limitação é o tamanho reduzido da demonstração. Uma amostra mínima de cinco participantes permite validar o fluxo e produzir um relato exploratório, mas não sustenta generalizações sobre toda a comunidade acadêmica. A análise final deverá apresentar os totais observados, falsos positivos, falsos negativos, falhas operacionais e eventuais desistências, sem identificar individualmente os participantes.</w:t>
      </w:r>
    </w:p>
    <w:p>
      <w:pPr>
        <w:pStyle w:val="Heading1"/>
      </w:pPr>
      <w:r>
        <w:t>4. CONSIDERAÇÕES FINAIS</w:t>
      </w:r>
    </w:p>
    <w:p>
      <w:pPr>
        <w:spacing w:line="360" w:lineRule="auto" w:after="120"/>
        <w:ind w:firstLine="709"/>
        <w:jc w:val="both"/>
      </w:pPr>
      <w:r>
        <w:t>A Simulação Acadêmica Controlada de Phishing integra desenvolvimento de software, auditoria e conscientização em um único fluxo observável. O protótipo atual já executa as etapas centrais e incorpora controles importantes: dados fictícios, minimização da coleta, mascaramento antes da persistência, eventos idempotentes, allowlist de destinatários, envio externo desabilitado por padrão e limpeza da base de demonstração.</w:t>
      </w:r>
    </w:p>
    <w:p>
      <w:pPr>
        <w:spacing w:line="360" w:lineRule="auto" w:after="120"/>
        <w:ind w:firstLine="709"/>
        <w:jc w:val="both"/>
      </w:pPr>
      <w:r>
        <w:t>Os resultados técnicos confirmam que a aplicação está apta para continuar a validação local. A conclusão do relato, contudo, depende da execução supervisionada com pelo menos cinco participantes autorizados e do preenchimento das métricas reais, sem fabricação de resultados. Antes dessa etapa, recomenda-se proteger o dashboard, confirmar ou substituir a identidade visual institucional e registrar formalmente o consentimento e o escopo da atividade.</w:t>
      </w:r>
    </w:p>
    <w:p>
      <w:pPr>
        <w:pStyle w:val="Heading1"/>
        <w:pageBreakBefore/>
      </w:pPr>
      <w:r>
        <w:t>REFERÊNCIAS</w:t>
      </w:r>
    </w:p>
    <w:p>
      <w:pPr>
        <w:spacing w:line="240" w:lineRule="auto" w:after="100"/>
        <w:jc w:val="left"/>
      </w:pPr>
      <w:r>
        <w:t>FASTIFY. Fastify: documentação oficial. Disponível em: https://fastify.dev/. Acesso em: 19 out. 2026.</w:t>
      </w:r>
    </w:p>
    <w:p>
      <w:pPr>
        <w:spacing w:line="240" w:lineRule="auto" w:after="100"/>
        <w:jc w:val="left"/>
      </w:pPr>
      <w:r>
        <w:t>MARIADB FOUNDATION. MariaDB Server Documentation. Disponível em: https://mariadb.org/documentation/. Acesso em: 19 out. 2026.</w:t>
      </w:r>
    </w:p>
    <w:p>
      <w:pPr>
        <w:spacing w:line="240" w:lineRule="auto" w:after="100"/>
        <w:jc w:val="left"/>
      </w:pPr>
      <w:r>
        <w:t>NODE.JS. Node.js Documentation. Disponível em: https://nodejs.org/docs/. Acesso em: 19 out. 2026.</w:t>
      </w:r>
    </w:p>
    <w:p>
      <w:pPr>
        <w:spacing w:line="240" w:lineRule="auto" w:after="100"/>
        <w:jc w:val="left"/>
      </w:pPr>
      <w:r>
        <w:t>NODEMAILER. Nodemailer Documentation. Disponível em: https://nodemailer.com/. Acesso em: 19 out. 2026.</w:t>
      </w:r>
    </w:p>
    <w:p>
      <w:pPr>
        <w:spacing w:line="240" w:lineRule="auto" w:after="100"/>
        <w:jc w:val="left"/>
      </w:pPr>
      <w:r>
        <w:t>SEQUELIZE. Sequelize Documentation. Disponível em: https://sequelize.org/docs/v6/. Acesso em: 19 out. 2026.</w:t>
      </w:r>
    </w:p>
    <w:p>
      <w:pPr>
        <w:spacing w:line="240" w:lineRule="auto" w:after="100"/>
        <w:jc w:val="left"/>
      </w:pPr>
      <w:r>
        <w:t>VITEST. Vitest Guide. Disponível em: https://vitest.dev/guide/. Acesso em: 19 out. 2026.</w:t>
      </w:r>
    </w:p>
    <w:sectPr w:rsidR="00FC693F" w:rsidRPr="0006063C" w:rsidSect="00034616">
      <w:footerReference w:type="default" r:id="rId9"/>
      <w:pgSz w:w="12240" w:h="15840"/>
      <w:pgMar w:top="1304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F5B8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B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Simulação Acadêmica Controlada de Phishing: desenvolvimento e validação</dc:title>
  <dc:subject>Relato de experiência — Segurança e Auditoria de Sistemas</dc:subject>
  <dc:creator>python-docx</dc:creator>
  <cp:keywords>phishing, segurança da informação, auditoria, conscientização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