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05" w:rsidRPr="004B3CC2" w:rsidRDefault="007A6705" w:rsidP="004B3CC2">
      <w:pPr>
        <w:rPr>
          <w:lang w:val="sk-SK"/>
        </w:rPr>
      </w:pPr>
    </w:p>
    <w:p w:rsidR="007A6705" w:rsidRPr="00A53B9D" w:rsidRDefault="007A6705">
      <w:pPr>
        <w:pStyle w:val="Nadpis1"/>
        <w:jc w:val="center"/>
        <w:rPr>
          <w:sz w:val="22"/>
          <w:szCs w:val="22"/>
          <w:u w:val="none"/>
        </w:rPr>
      </w:pPr>
      <w:r w:rsidRPr="00A53B9D">
        <w:rPr>
          <w:sz w:val="22"/>
          <w:szCs w:val="22"/>
          <w:u w:val="none"/>
        </w:rPr>
        <w:t>SÚHRN CHARAKTERISTICKÝCH VLASTNOSTÍ LIEKU</w:t>
      </w: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>
      <w:pPr>
        <w:ind w:right="-1"/>
        <w:jc w:val="both"/>
        <w:rPr>
          <w:b/>
          <w:caps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1. </w:t>
      </w:r>
      <w:r w:rsidRPr="00A53B9D">
        <w:rPr>
          <w:b/>
          <w:caps/>
          <w:sz w:val="22"/>
          <w:szCs w:val="22"/>
          <w:lang w:val="sk-SK"/>
        </w:rPr>
        <w:t>Názov lieku</w:t>
      </w: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E03229">
      <w:pPr>
        <w:spacing w:before="60"/>
        <w:jc w:val="both"/>
        <w:rPr>
          <w:b/>
          <w:color w:val="000000"/>
          <w:sz w:val="22"/>
          <w:szCs w:val="22"/>
          <w:lang w:val="sk-SK"/>
        </w:rPr>
      </w:pPr>
      <w:proofErr w:type="spellStart"/>
      <w:r w:rsidRPr="004B3CC2">
        <w:rPr>
          <w:b/>
          <w:color w:val="000000"/>
          <w:sz w:val="22"/>
          <w:szCs w:val="22"/>
          <w:lang w:val="sk-SK"/>
        </w:rPr>
        <w:t>Salofalk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500 mg </w:t>
      </w:r>
      <w:proofErr w:type="spellStart"/>
      <w:r w:rsidRPr="004B3CC2">
        <w:rPr>
          <w:b/>
          <w:color w:val="000000"/>
          <w:sz w:val="22"/>
          <w:szCs w:val="22"/>
          <w:lang w:val="sk-SK"/>
        </w:rPr>
        <w:t>gastrorezistentný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</w:t>
      </w:r>
      <w:proofErr w:type="spellStart"/>
      <w:r w:rsidRPr="004B3CC2">
        <w:rPr>
          <w:b/>
          <w:color w:val="000000"/>
          <w:sz w:val="22"/>
          <w:szCs w:val="22"/>
          <w:lang w:val="sk-SK"/>
        </w:rPr>
        <w:t>granulát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s predĺženým uvoľňovaním</w:t>
      </w:r>
    </w:p>
    <w:p w:rsidR="007A6705" w:rsidRPr="004B3CC2" w:rsidRDefault="007A6705" w:rsidP="00E03229">
      <w:pPr>
        <w:spacing w:before="60"/>
        <w:jc w:val="both"/>
        <w:rPr>
          <w:b/>
          <w:color w:val="000000"/>
          <w:sz w:val="22"/>
          <w:szCs w:val="22"/>
          <w:lang w:val="sk-SK"/>
        </w:rPr>
      </w:pPr>
      <w:proofErr w:type="spellStart"/>
      <w:r w:rsidRPr="004B3CC2">
        <w:rPr>
          <w:b/>
          <w:color w:val="000000"/>
          <w:sz w:val="22"/>
          <w:szCs w:val="22"/>
          <w:lang w:val="sk-SK"/>
        </w:rPr>
        <w:t>Salofalk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1000 mg </w:t>
      </w:r>
      <w:proofErr w:type="spellStart"/>
      <w:r w:rsidRPr="004B3CC2">
        <w:rPr>
          <w:b/>
          <w:color w:val="000000"/>
          <w:sz w:val="22"/>
          <w:szCs w:val="22"/>
          <w:lang w:val="sk-SK"/>
        </w:rPr>
        <w:t>gastrorezistentný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</w:t>
      </w:r>
      <w:proofErr w:type="spellStart"/>
      <w:r w:rsidRPr="004B3CC2">
        <w:rPr>
          <w:b/>
          <w:color w:val="000000"/>
          <w:sz w:val="22"/>
          <w:szCs w:val="22"/>
          <w:lang w:val="sk-SK"/>
        </w:rPr>
        <w:t>granulát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s predĺženým uvoľňovaním</w:t>
      </w:r>
    </w:p>
    <w:p w:rsidR="007A6705" w:rsidRPr="004B3CC2" w:rsidRDefault="007A6705" w:rsidP="00E03229">
      <w:pPr>
        <w:spacing w:before="60"/>
        <w:jc w:val="both"/>
        <w:rPr>
          <w:b/>
          <w:color w:val="000000"/>
          <w:sz w:val="22"/>
          <w:szCs w:val="22"/>
          <w:lang w:val="sk-SK"/>
        </w:rPr>
      </w:pPr>
      <w:proofErr w:type="spellStart"/>
      <w:r w:rsidRPr="004B3CC2">
        <w:rPr>
          <w:b/>
          <w:color w:val="000000"/>
          <w:sz w:val="22"/>
          <w:szCs w:val="22"/>
          <w:lang w:val="sk-SK"/>
        </w:rPr>
        <w:t>Salofalk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1,5 g"/>
        </w:smartTagPr>
        <w:r w:rsidRPr="004B3CC2">
          <w:rPr>
            <w:b/>
            <w:color w:val="000000"/>
            <w:sz w:val="22"/>
            <w:szCs w:val="22"/>
            <w:lang w:val="sk-SK"/>
          </w:rPr>
          <w:t>1,5 g</w:t>
        </w:r>
      </w:smartTag>
      <w:r w:rsidRPr="004B3CC2">
        <w:rPr>
          <w:b/>
          <w:color w:val="000000"/>
          <w:sz w:val="22"/>
          <w:szCs w:val="22"/>
          <w:lang w:val="sk-SK"/>
        </w:rPr>
        <w:t xml:space="preserve"> </w:t>
      </w:r>
      <w:proofErr w:type="spellStart"/>
      <w:r w:rsidRPr="004B3CC2">
        <w:rPr>
          <w:b/>
          <w:color w:val="000000"/>
          <w:sz w:val="22"/>
          <w:szCs w:val="22"/>
          <w:lang w:val="sk-SK"/>
        </w:rPr>
        <w:t>gastrorezistentný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</w:t>
      </w:r>
      <w:proofErr w:type="spellStart"/>
      <w:r w:rsidRPr="004B3CC2">
        <w:rPr>
          <w:b/>
          <w:color w:val="000000"/>
          <w:sz w:val="22"/>
          <w:szCs w:val="22"/>
          <w:lang w:val="sk-SK"/>
        </w:rPr>
        <w:t>granulát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s predĺženým uvoľňovaním</w:t>
      </w:r>
    </w:p>
    <w:p w:rsidR="007A6705" w:rsidRPr="004B3CC2" w:rsidRDefault="007A6705" w:rsidP="00E03229">
      <w:pPr>
        <w:spacing w:before="60"/>
        <w:jc w:val="both"/>
        <w:rPr>
          <w:b/>
          <w:color w:val="000000"/>
          <w:sz w:val="22"/>
          <w:szCs w:val="22"/>
          <w:lang w:val="sk-SK"/>
        </w:rPr>
      </w:pPr>
      <w:proofErr w:type="spellStart"/>
      <w:r w:rsidRPr="004B3CC2">
        <w:rPr>
          <w:b/>
          <w:color w:val="000000"/>
          <w:sz w:val="22"/>
          <w:szCs w:val="22"/>
          <w:lang w:val="sk-SK"/>
        </w:rPr>
        <w:t>Salofalk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4B3CC2">
          <w:rPr>
            <w:b/>
            <w:color w:val="000000"/>
            <w:sz w:val="22"/>
            <w:szCs w:val="22"/>
            <w:lang w:val="sk-SK"/>
          </w:rPr>
          <w:t>3 g</w:t>
        </w:r>
      </w:smartTag>
      <w:r w:rsidRPr="004B3CC2">
        <w:rPr>
          <w:b/>
          <w:color w:val="000000"/>
          <w:sz w:val="22"/>
          <w:szCs w:val="22"/>
          <w:lang w:val="sk-SK"/>
        </w:rPr>
        <w:t xml:space="preserve"> </w:t>
      </w:r>
      <w:proofErr w:type="spellStart"/>
      <w:r w:rsidRPr="004B3CC2">
        <w:rPr>
          <w:b/>
          <w:color w:val="000000"/>
          <w:sz w:val="22"/>
          <w:szCs w:val="22"/>
          <w:lang w:val="sk-SK"/>
        </w:rPr>
        <w:t>gastrorezistentný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</w:t>
      </w:r>
      <w:proofErr w:type="spellStart"/>
      <w:r w:rsidRPr="004B3CC2">
        <w:rPr>
          <w:b/>
          <w:color w:val="000000"/>
          <w:sz w:val="22"/>
          <w:szCs w:val="22"/>
          <w:lang w:val="sk-SK"/>
        </w:rPr>
        <w:t>granulát</w:t>
      </w:r>
      <w:proofErr w:type="spellEnd"/>
      <w:r w:rsidRPr="004B3CC2">
        <w:rPr>
          <w:b/>
          <w:color w:val="000000"/>
          <w:sz w:val="22"/>
          <w:szCs w:val="22"/>
          <w:lang w:val="sk-SK"/>
        </w:rPr>
        <w:t xml:space="preserve"> s predĺženým uvoľňovaním</w:t>
      </w:r>
    </w:p>
    <w:p w:rsidR="007A6705" w:rsidRPr="00A53B9D" w:rsidRDefault="007A6705">
      <w:pPr>
        <w:ind w:right="-1"/>
        <w:jc w:val="both"/>
        <w:rPr>
          <w:b/>
          <w:sz w:val="22"/>
          <w:szCs w:val="22"/>
          <w:u w:val="single"/>
          <w:lang w:val="sk-SK"/>
        </w:rPr>
      </w:pPr>
    </w:p>
    <w:p w:rsidR="007A6705" w:rsidRPr="00A53B9D" w:rsidRDefault="007A6705">
      <w:pPr>
        <w:ind w:right="-1"/>
        <w:jc w:val="both"/>
        <w:rPr>
          <w:b/>
          <w:sz w:val="22"/>
          <w:szCs w:val="22"/>
          <w:u w:val="single"/>
          <w:lang w:val="sk-SK"/>
        </w:rPr>
      </w:pPr>
    </w:p>
    <w:p w:rsidR="007A6705" w:rsidRPr="004469AB" w:rsidRDefault="007A6705">
      <w:pPr>
        <w:ind w:right="-1"/>
        <w:jc w:val="both"/>
        <w:rPr>
          <w:sz w:val="22"/>
          <w:szCs w:val="22"/>
          <w:lang w:val="sk-SK"/>
        </w:rPr>
      </w:pPr>
      <w:r w:rsidRPr="004469AB">
        <w:rPr>
          <w:b/>
          <w:sz w:val="22"/>
          <w:szCs w:val="22"/>
          <w:lang w:val="sk-SK"/>
        </w:rPr>
        <w:t xml:space="preserve">2. </w:t>
      </w:r>
      <w:r w:rsidRPr="004469AB">
        <w:rPr>
          <w:b/>
          <w:caps/>
          <w:sz w:val="22"/>
          <w:szCs w:val="22"/>
          <w:lang w:val="sk-SK"/>
        </w:rPr>
        <w:t>Kvalitatívne a kvantitatívne zloženie</w:t>
      </w: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E03229">
      <w:pPr>
        <w:pStyle w:val="Normlnysozarkami1"/>
        <w:ind w:left="0"/>
        <w:rPr>
          <w:bCs/>
          <w:lang w:val="sk-SK"/>
        </w:rPr>
      </w:pPr>
      <w:r w:rsidRPr="00A53B9D">
        <w:rPr>
          <w:bCs/>
          <w:lang w:val="sk-SK"/>
        </w:rPr>
        <w:t xml:space="preserve">Jedno vrecko </w:t>
      </w:r>
      <w:proofErr w:type="spellStart"/>
      <w:r w:rsidRPr="00A53B9D">
        <w:rPr>
          <w:bCs/>
          <w:lang w:val="sk-SK"/>
        </w:rPr>
        <w:t>Salofalku</w:t>
      </w:r>
      <w:proofErr w:type="spellEnd"/>
      <w:r w:rsidRPr="00A53B9D">
        <w:rPr>
          <w:bCs/>
          <w:lang w:val="sk-SK"/>
        </w:rPr>
        <w:t xml:space="preserve"> 500 mg </w:t>
      </w:r>
      <w:proofErr w:type="spellStart"/>
      <w:r w:rsidRPr="00A53B9D">
        <w:rPr>
          <w:bCs/>
          <w:lang w:val="sk-SK"/>
        </w:rPr>
        <w:t>granulátu</w:t>
      </w:r>
      <w:proofErr w:type="spellEnd"/>
      <w:r w:rsidRPr="00A53B9D">
        <w:rPr>
          <w:bCs/>
          <w:lang w:val="sk-SK"/>
        </w:rPr>
        <w:t xml:space="preserve"> obsahuje 500 mg </w:t>
      </w:r>
      <w:proofErr w:type="spellStart"/>
      <w:r w:rsidRPr="00A53B9D">
        <w:rPr>
          <w:bCs/>
          <w:lang w:val="sk-SK"/>
        </w:rPr>
        <w:t>mesalazínu</w:t>
      </w:r>
      <w:proofErr w:type="spellEnd"/>
      <w:r>
        <w:rPr>
          <w:bCs/>
          <w:lang w:val="sk-SK"/>
        </w:rPr>
        <w:t>.</w:t>
      </w:r>
    </w:p>
    <w:p w:rsidR="007A6705" w:rsidRPr="00A53B9D" w:rsidRDefault="007A6705" w:rsidP="00E03229">
      <w:pPr>
        <w:pStyle w:val="Normlnysozarkami1"/>
        <w:ind w:left="0"/>
        <w:rPr>
          <w:bCs/>
          <w:lang w:val="sk-SK"/>
        </w:rPr>
      </w:pPr>
      <w:r w:rsidRPr="00A53B9D">
        <w:rPr>
          <w:bCs/>
          <w:lang w:val="sk-SK"/>
        </w:rPr>
        <w:t xml:space="preserve">Jedno vrecko </w:t>
      </w:r>
      <w:proofErr w:type="spellStart"/>
      <w:r w:rsidRPr="00A53B9D">
        <w:rPr>
          <w:bCs/>
          <w:lang w:val="sk-SK"/>
        </w:rPr>
        <w:t>Salofalku</w:t>
      </w:r>
      <w:proofErr w:type="spellEnd"/>
      <w:r w:rsidRPr="00A53B9D">
        <w:rPr>
          <w:bCs/>
          <w:lang w:val="sk-SK"/>
        </w:rPr>
        <w:t xml:space="preserve"> 1000 mg </w:t>
      </w:r>
      <w:proofErr w:type="spellStart"/>
      <w:r w:rsidRPr="00A53B9D">
        <w:rPr>
          <w:bCs/>
          <w:lang w:val="sk-SK"/>
        </w:rPr>
        <w:t>granulátu</w:t>
      </w:r>
      <w:proofErr w:type="spellEnd"/>
      <w:r w:rsidRPr="00A53B9D">
        <w:rPr>
          <w:bCs/>
          <w:lang w:val="sk-SK"/>
        </w:rPr>
        <w:t xml:space="preserve"> obsahuje 1000 mg </w:t>
      </w:r>
      <w:proofErr w:type="spellStart"/>
      <w:r w:rsidRPr="00A53B9D">
        <w:rPr>
          <w:bCs/>
          <w:lang w:val="sk-SK"/>
        </w:rPr>
        <w:t>mesalazínu</w:t>
      </w:r>
      <w:proofErr w:type="spellEnd"/>
      <w:r>
        <w:rPr>
          <w:bCs/>
          <w:lang w:val="sk-SK"/>
        </w:rPr>
        <w:t>.</w:t>
      </w:r>
    </w:p>
    <w:p w:rsidR="007A6705" w:rsidRPr="00A53B9D" w:rsidRDefault="007A6705" w:rsidP="00E03229">
      <w:pPr>
        <w:pStyle w:val="Normlnysozarkami1"/>
        <w:ind w:left="0"/>
        <w:rPr>
          <w:bCs/>
          <w:lang w:val="sk-SK"/>
        </w:rPr>
      </w:pPr>
      <w:r w:rsidRPr="00A53B9D">
        <w:rPr>
          <w:bCs/>
          <w:lang w:val="sk-SK"/>
        </w:rPr>
        <w:t xml:space="preserve">Jedno vrecko </w:t>
      </w:r>
      <w:proofErr w:type="spellStart"/>
      <w:r w:rsidRPr="00A53B9D">
        <w:rPr>
          <w:bCs/>
          <w:lang w:val="sk-SK"/>
        </w:rPr>
        <w:t>Salofalku</w:t>
      </w:r>
      <w:proofErr w:type="spellEnd"/>
      <w:r w:rsidRPr="00A53B9D">
        <w:rPr>
          <w:bCs/>
          <w:lang w:val="sk-SK"/>
        </w:rPr>
        <w:t xml:space="preserve"> </w:t>
      </w:r>
      <w:smartTag w:uri="urn:schemas-microsoft-com:office:smarttags" w:element="metricconverter">
        <w:smartTagPr>
          <w:attr w:name="ProductID" w:val="1,5 g"/>
        </w:smartTagPr>
        <w:r w:rsidRPr="00A53B9D">
          <w:rPr>
            <w:bCs/>
            <w:lang w:val="sk-SK"/>
          </w:rPr>
          <w:t>1,5 g</w:t>
        </w:r>
      </w:smartTag>
      <w:r w:rsidRPr="00A53B9D">
        <w:rPr>
          <w:bCs/>
          <w:lang w:val="sk-SK"/>
        </w:rPr>
        <w:t xml:space="preserve">  </w:t>
      </w:r>
      <w:proofErr w:type="spellStart"/>
      <w:r w:rsidRPr="00A53B9D">
        <w:rPr>
          <w:bCs/>
          <w:lang w:val="sk-SK"/>
        </w:rPr>
        <w:t>granulátu</w:t>
      </w:r>
      <w:proofErr w:type="spellEnd"/>
      <w:r w:rsidRPr="00A53B9D">
        <w:rPr>
          <w:bCs/>
          <w:lang w:val="sk-SK"/>
        </w:rPr>
        <w:t xml:space="preserve"> obsahuje </w:t>
      </w:r>
      <w:smartTag w:uri="urn:schemas-microsoft-com:office:smarttags" w:element="metricconverter">
        <w:smartTagPr>
          <w:attr w:name="ProductID" w:val="1,5 g"/>
        </w:smartTagPr>
        <w:r w:rsidRPr="00A53B9D">
          <w:rPr>
            <w:bCs/>
            <w:lang w:val="sk-SK"/>
          </w:rPr>
          <w:t>1,5 g</w:t>
        </w:r>
      </w:smartTag>
      <w:r w:rsidRPr="00A53B9D">
        <w:rPr>
          <w:bCs/>
          <w:lang w:val="sk-SK"/>
        </w:rPr>
        <w:t xml:space="preserve"> </w:t>
      </w:r>
      <w:proofErr w:type="spellStart"/>
      <w:r w:rsidRPr="00A53B9D">
        <w:rPr>
          <w:bCs/>
          <w:lang w:val="sk-SK"/>
        </w:rPr>
        <w:t>mesalazínu</w:t>
      </w:r>
      <w:proofErr w:type="spellEnd"/>
      <w:r>
        <w:rPr>
          <w:bCs/>
          <w:lang w:val="sk-SK"/>
        </w:rPr>
        <w:t>.</w:t>
      </w:r>
    </w:p>
    <w:p w:rsidR="007A6705" w:rsidRPr="00A53B9D" w:rsidRDefault="007A6705" w:rsidP="00E03229">
      <w:pPr>
        <w:pStyle w:val="Normlnysozarkami1"/>
        <w:ind w:left="0"/>
        <w:rPr>
          <w:bCs/>
          <w:lang w:val="sk-SK"/>
        </w:rPr>
      </w:pPr>
      <w:r w:rsidRPr="00A53B9D">
        <w:rPr>
          <w:bCs/>
          <w:lang w:val="sk-SK"/>
        </w:rPr>
        <w:t xml:space="preserve">Jedno vrecko </w:t>
      </w:r>
      <w:proofErr w:type="spellStart"/>
      <w:r w:rsidRPr="00A53B9D">
        <w:rPr>
          <w:bCs/>
          <w:lang w:val="sk-SK"/>
        </w:rPr>
        <w:t>Salofalku</w:t>
      </w:r>
      <w:proofErr w:type="spellEnd"/>
      <w:r w:rsidRPr="00A53B9D">
        <w:rPr>
          <w:bCs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A53B9D">
          <w:rPr>
            <w:bCs/>
            <w:lang w:val="sk-SK"/>
          </w:rPr>
          <w:t>3 g</w:t>
        </w:r>
      </w:smartTag>
      <w:r w:rsidRPr="00A53B9D">
        <w:rPr>
          <w:bCs/>
          <w:lang w:val="sk-SK"/>
        </w:rPr>
        <w:t xml:space="preserve"> </w:t>
      </w:r>
      <w:proofErr w:type="spellStart"/>
      <w:r w:rsidRPr="00A53B9D">
        <w:rPr>
          <w:bCs/>
          <w:lang w:val="sk-SK"/>
        </w:rPr>
        <w:t>granulátu</w:t>
      </w:r>
      <w:proofErr w:type="spellEnd"/>
      <w:r w:rsidRPr="00A53B9D">
        <w:rPr>
          <w:bCs/>
          <w:lang w:val="sk-SK"/>
        </w:rPr>
        <w:t xml:space="preserve"> obsahuje </w:t>
      </w:r>
      <w:smartTag w:uri="urn:schemas-microsoft-com:office:smarttags" w:element="metricconverter">
        <w:smartTagPr>
          <w:attr w:name="ProductID" w:val="3 g"/>
        </w:smartTagPr>
        <w:r w:rsidRPr="00A53B9D">
          <w:rPr>
            <w:bCs/>
            <w:lang w:val="sk-SK"/>
          </w:rPr>
          <w:t>3 g</w:t>
        </w:r>
      </w:smartTag>
      <w:r w:rsidRPr="00A53B9D">
        <w:rPr>
          <w:bCs/>
          <w:lang w:val="sk-SK"/>
        </w:rPr>
        <w:t xml:space="preserve"> </w:t>
      </w:r>
      <w:proofErr w:type="spellStart"/>
      <w:r w:rsidRPr="00A53B9D">
        <w:rPr>
          <w:bCs/>
          <w:lang w:val="sk-SK"/>
        </w:rPr>
        <w:t>mesalazínu</w:t>
      </w:r>
      <w:proofErr w:type="spellEnd"/>
      <w:r>
        <w:rPr>
          <w:bCs/>
          <w:lang w:val="sk-SK"/>
        </w:rPr>
        <w:t xml:space="preserve">. </w:t>
      </w: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9166CE">
      <w:pPr>
        <w:pStyle w:val="Normlnysozarkami1"/>
        <w:ind w:left="0"/>
        <w:rPr>
          <w:bCs/>
          <w:lang w:val="sk-SK"/>
        </w:rPr>
      </w:pPr>
      <w:r w:rsidRPr="00A53B9D">
        <w:rPr>
          <w:bCs/>
          <w:lang w:val="sk-SK"/>
        </w:rPr>
        <w:t xml:space="preserve">Pomocné látky so známym účinkom: </w:t>
      </w:r>
    </w:p>
    <w:p w:rsidR="007A6705" w:rsidRPr="004B3CC2" w:rsidRDefault="007A6705" w:rsidP="009166CE">
      <w:pPr>
        <w:pStyle w:val="Normlnysozarkami1"/>
        <w:ind w:left="0"/>
        <w:rPr>
          <w:bCs/>
          <w:lang w:val="sk-SK"/>
        </w:rPr>
      </w:pPr>
      <w:r w:rsidRPr="00A53B9D">
        <w:rPr>
          <w:bCs/>
          <w:lang w:val="sk-SK"/>
        </w:rPr>
        <w:t xml:space="preserve">Jedno vrecko </w:t>
      </w:r>
      <w:proofErr w:type="spellStart"/>
      <w:r w:rsidRPr="00A53B9D">
        <w:rPr>
          <w:bCs/>
          <w:lang w:val="sk-SK"/>
        </w:rPr>
        <w:t>Salofalku</w:t>
      </w:r>
      <w:proofErr w:type="spellEnd"/>
      <w:r w:rsidRPr="00A53B9D">
        <w:rPr>
          <w:bCs/>
          <w:lang w:val="sk-SK"/>
        </w:rPr>
        <w:t xml:space="preserve"> 500</w:t>
      </w:r>
      <w:r w:rsidRPr="005E60E0">
        <w:rPr>
          <w:bCs/>
          <w:lang w:val="sk-SK"/>
        </w:rPr>
        <w:t xml:space="preserve"> mg </w:t>
      </w:r>
      <w:proofErr w:type="spellStart"/>
      <w:r w:rsidRPr="005E60E0">
        <w:rPr>
          <w:bCs/>
          <w:lang w:val="sk-SK"/>
        </w:rPr>
        <w:t>granulátu</w:t>
      </w:r>
      <w:proofErr w:type="spellEnd"/>
      <w:r w:rsidRPr="005E60E0">
        <w:rPr>
          <w:bCs/>
          <w:lang w:val="sk-SK"/>
        </w:rPr>
        <w:t xml:space="preserve"> obsahuje 1,0 </w:t>
      </w:r>
      <w:r w:rsidRPr="004B3CC2">
        <w:rPr>
          <w:bCs/>
          <w:lang w:val="sk-SK"/>
        </w:rPr>
        <w:t xml:space="preserve">mg </w:t>
      </w:r>
      <w:proofErr w:type="spellStart"/>
      <w:r w:rsidRPr="004B3CC2">
        <w:rPr>
          <w:bCs/>
          <w:lang w:val="sk-SK"/>
        </w:rPr>
        <w:t>aspartámu</w:t>
      </w:r>
      <w:proofErr w:type="spellEnd"/>
      <w:r>
        <w:rPr>
          <w:bCs/>
          <w:lang w:val="sk-SK"/>
        </w:rPr>
        <w:t xml:space="preserve"> a 0,02mg </w:t>
      </w:r>
      <w:proofErr w:type="spellStart"/>
      <w:r>
        <w:rPr>
          <w:bCs/>
          <w:lang w:val="sk-SK"/>
        </w:rPr>
        <w:t>sachrózy</w:t>
      </w:r>
      <w:proofErr w:type="spellEnd"/>
      <w:r w:rsidRPr="004B3CC2">
        <w:rPr>
          <w:bCs/>
          <w:lang w:val="sk-SK"/>
        </w:rPr>
        <w:t>.</w:t>
      </w:r>
    </w:p>
    <w:p w:rsidR="007A6705" w:rsidRPr="004B3CC2" w:rsidRDefault="007A6705" w:rsidP="009166CE">
      <w:pPr>
        <w:pStyle w:val="Normlnysozarkami1"/>
        <w:ind w:left="0"/>
        <w:rPr>
          <w:bCs/>
          <w:lang w:val="sk-SK"/>
        </w:rPr>
      </w:pPr>
      <w:r w:rsidRPr="004B3CC2">
        <w:rPr>
          <w:bCs/>
          <w:lang w:val="sk-SK"/>
        </w:rPr>
        <w:t xml:space="preserve">Jedno vrecko </w:t>
      </w:r>
      <w:proofErr w:type="spellStart"/>
      <w:r w:rsidRPr="004B3CC2">
        <w:rPr>
          <w:bCs/>
          <w:lang w:val="sk-SK"/>
        </w:rPr>
        <w:t>Salofalku</w:t>
      </w:r>
      <w:proofErr w:type="spellEnd"/>
      <w:r w:rsidRPr="004B3CC2">
        <w:rPr>
          <w:bCs/>
          <w:lang w:val="sk-SK"/>
        </w:rPr>
        <w:t xml:space="preserve"> 1000 mg </w:t>
      </w:r>
      <w:proofErr w:type="spellStart"/>
      <w:r w:rsidRPr="004B3CC2">
        <w:rPr>
          <w:bCs/>
          <w:lang w:val="sk-SK"/>
        </w:rPr>
        <w:t>granulátu</w:t>
      </w:r>
      <w:proofErr w:type="spellEnd"/>
      <w:r w:rsidRPr="004B3CC2">
        <w:rPr>
          <w:bCs/>
          <w:lang w:val="sk-SK"/>
        </w:rPr>
        <w:t xml:space="preserve"> obsahuje 2,0 mg </w:t>
      </w:r>
      <w:proofErr w:type="spellStart"/>
      <w:r w:rsidRPr="004B3CC2">
        <w:rPr>
          <w:bCs/>
          <w:lang w:val="sk-SK"/>
        </w:rPr>
        <w:t>aspartámu</w:t>
      </w:r>
      <w:proofErr w:type="spellEnd"/>
      <w:r>
        <w:rPr>
          <w:bCs/>
          <w:lang w:val="sk-SK"/>
        </w:rPr>
        <w:t xml:space="preserve"> a 0,04mg sacharózy</w:t>
      </w:r>
      <w:r w:rsidRPr="004B3CC2">
        <w:rPr>
          <w:bCs/>
          <w:lang w:val="sk-SK"/>
        </w:rPr>
        <w:t>.</w:t>
      </w:r>
    </w:p>
    <w:p w:rsidR="007A6705" w:rsidRPr="004B3CC2" w:rsidRDefault="007A6705" w:rsidP="009166CE">
      <w:pPr>
        <w:pStyle w:val="Normlnysozarkami1"/>
        <w:ind w:left="0"/>
        <w:rPr>
          <w:bCs/>
          <w:lang w:val="sk-SK"/>
        </w:rPr>
      </w:pPr>
      <w:r w:rsidRPr="004B3CC2">
        <w:rPr>
          <w:bCs/>
          <w:lang w:val="sk-SK"/>
        </w:rPr>
        <w:t xml:space="preserve">Jedno vrecko </w:t>
      </w:r>
      <w:proofErr w:type="spellStart"/>
      <w:r w:rsidRPr="004B3CC2">
        <w:rPr>
          <w:bCs/>
          <w:lang w:val="sk-SK"/>
        </w:rPr>
        <w:t>Salofalku</w:t>
      </w:r>
      <w:proofErr w:type="spellEnd"/>
      <w:r w:rsidRPr="004B3CC2">
        <w:rPr>
          <w:bCs/>
          <w:lang w:val="sk-SK"/>
        </w:rPr>
        <w:t xml:space="preserve"> </w:t>
      </w:r>
      <w:smartTag w:uri="urn:schemas-microsoft-com:office:smarttags" w:element="metricconverter">
        <w:smartTagPr>
          <w:attr w:name="ProductID" w:val="1,5 g"/>
        </w:smartTagPr>
        <w:r w:rsidRPr="004B3CC2">
          <w:rPr>
            <w:bCs/>
            <w:lang w:val="sk-SK"/>
          </w:rPr>
          <w:t>1,5 g</w:t>
        </w:r>
      </w:smartTag>
      <w:r w:rsidRPr="004B3CC2">
        <w:rPr>
          <w:bCs/>
          <w:lang w:val="sk-SK"/>
        </w:rPr>
        <w:t xml:space="preserve">  </w:t>
      </w:r>
      <w:proofErr w:type="spellStart"/>
      <w:r w:rsidRPr="004B3CC2">
        <w:rPr>
          <w:bCs/>
          <w:lang w:val="sk-SK"/>
        </w:rPr>
        <w:t>granulátu</w:t>
      </w:r>
      <w:proofErr w:type="spellEnd"/>
      <w:r w:rsidRPr="004B3CC2">
        <w:rPr>
          <w:bCs/>
          <w:lang w:val="sk-SK"/>
        </w:rPr>
        <w:t xml:space="preserve"> obsahuje 3,0 mg </w:t>
      </w:r>
      <w:proofErr w:type="spellStart"/>
      <w:r w:rsidRPr="004B3CC2">
        <w:rPr>
          <w:bCs/>
          <w:lang w:val="sk-SK"/>
        </w:rPr>
        <w:t>aspartámu</w:t>
      </w:r>
      <w:proofErr w:type="spellEnd"/>
      <w:r>
        <w:rPr>
          <w:bCs/>
          <w:lang w:val="sk-SK"/>
        </w:rPr>
        <w:t xml:space="preserve"> a 0,06mg sacharózy</w:t>
      </w:r>
      <w:r w:rsidRPr="004B3CC2">
        <w:rPr>
          <w:bCs/>
          <w:lang w:val="sk-SK"/>
        </w:rPr>
        <w:t>.</w:t>
      </w:r>
    </w:p>
    <w:p w:rsidR="007A6705" w:rsidRPr="004B3CC2" w:rsidRDefault="007A6705" w:rsidP="009166CE">
      <w:pPr>
        <w:pStyle w:val="Normlnysozarkami1"/>
        <w:ind w:left="0"/>
        <w:rPr>
          <w:bCs/>
          <w:lang w:val="sk-SK"/>
        </w:rPr>
      </w:pPr>
      <w:r w:rsidRPr="004B3CC2">
        <w:rPr>
          <w:bCs/>
          <w:lang w:val="sk-SK"/>
        </w:rPr>
        <w:t xml:space="preserve">Jedno vrecko </w:t>
      </w:r>
      <w:proofErr w:type="spellStart"/>
      <w:r w:rsidRPr="004B3CC2">
        <w:rPr>
          <w:bCs/>
          <w:lang w:val="sk-SK"/>
        </w:rPr>
        <w:t>Salofalku</w:t>
      </w:r>
      <w:proofErr w:type="spellEnd"/>
      <w:r w:rsidRPr="004B3CC2">
        <w:rPr>
          <w:bCs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4B3CC2">
          <w:rPr>
            <w:bCs/>
            <w:lang w:val="sk-SK"/>
          </w:rPr>
          <w:t>3 g</w:t>
        </w:r>
      </w:smartTag>
      <w:r w:rsidRPr="004B3CC2">
        <w:rPr>
          <w:bCs/>
          <w:lang w:val="sk-SK"/>
        </w:rPr>
        <w:t xml:space="preserve"> </w:t>
      </w:r>
      <w:proofErr w:type="spellStart"/>
      <w:r w:rsidRPr="004B3CC2">
        <w:rPr>
          <w:bCs/>
          <w:lang w:val="sk-SK"/>
        </w:rPr>
        <w:t>granulátu</w:t>
      </w:r>
      <w:proofErr w:type="spellEnd"/>
      <w:r w:rsidRPr="004B3CC2">
        <w:rPr>
          <w:bCs/>
          <w:lang w:val="sk-SK"/>
        </w:rPr>
        <w:t xml:space="preserve"> obsahuje 6,0 mg </w:t>
      </w:r>
      <w:proofErr w:type="spellStart"/>
      <w:r w:rsidRPr="004B3CC2">
        <w:rPr>
          <w:bCs/>
          <w:lang w:val="sk-SK"/>
        </w:rPr>
        <w:t>aspartámu</w:t>
      </w:r>
      <w:proofErr w:type="spellEnd"/>
      <w:r>
        <w:rPr>
          <w:bCs/>
          <w:lang w:val="sk-SK"/>
        </w:rPr>
        <w:t xml:space="preserve"> a 0,12mg sacharózy</w:t>
      </w:r>
      <w:r w:rsidRPr="004B3CC2">
        <w:rPr>
          <w:bCs/>
          <w:lang w:val="sk-SK"/>
        </w:rPr>
        <w:t>.</w:t>
      </w:r>
    </w:p>
    <w:p w:rsidR="007A6705" w:rsidRPr="004B3CC2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9166CE">
      <w:pPr>
        <w:pStyle w:val="Normlnysozarkami1"/>
        <w:ind w:left="0"/>
        <w:rPr>
          <w:bCs/>
          <w:lang w:val="sk-SK"/>
        </w:rPr>
      </w:pPr>
      <w:r w:rsidRPr="004B3CC2">
        <w:rPr>
          <w:bCs/>
          <w:lang w:val="sk-SK"/>
        </w:rPr>
        <w:t>Úplný zoznam pomocných látok, pozri časť  6.1</w:t>
      </w:r>
    </w:p>
    <w:p w:rsidR="007A6705" w:rsidRPr="004B3CC2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b/>
          <w:sz w:val="22"/>
          <w:szCs w:val="22"/>
          <w:lang w:val="sk-SK"/>
        </w:rPr>
        <w:t xml:space="preserve">3. </w:t>
      </w:r>
      <w:r w:rsidRPr="004B3CC2">
        <w:rPr>
          <w:b/>
          <w:caps/>
          <w:sz w:val="22"/>
          <w:szCs w:val="22"/>
          <w:lang w:val="sk-SK"/>
        </w:rPr>
        <w:t>Lieková forma</w:t>
      </w:r>
    </w:p>
    <w:p w:rsidR="007A6705" w:rsidRPr="004B3CC2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9166CE">
      <w:pPr>
        <w:pStyle w:val="Normlnysozarkami1"/>
        <w:ind w:left="0"/>
        <w:rPr>
          <w:lang w:val="sk-SK"/>
        </w:rPr>
      </w:pPr>
      <w:proofErr w:type="spellStart"/>
      <w:r w:rsidRPr="004B3CC2">
        <w:rPr>
          <w:color w:val="000000"/>
          <w:lang w:val="sk-SK"/>
        </w:rPr>
        <w:t>Gastrorezistentný</w:t>
      </w:r>
      <w:proofErr w:type="spellEnd"/>
      <w:r w:rsidRPr="004B3CC2">
        <w:rPr>
          <w:color w:val="000000"/>
          <w:lang w:val="sk-SK"/>
        </w:rPr>
        <w:t xml:space="preserve"> </w:t>
      </w:r>
      <w:proofErr w:type="spellStart"/>
      <w:r w:rsidRPr="004B3CC2">
        <w:rPr>
          <w:color w:val="000000"/>
          <w:lang w:val="sk-SK"/>
        </w:rPr>
        <w:t>granulát</w:t>
      </w:r>
      <w:proofErr w:type="spellEnd"/>
      <w:r w:rsidRPr="004B3CC2">
        <w:rPr>
          <w:color w:val="000000"/>
          <w:lang w:val="sk-SK"/>
        </w:rPr>
        <w:t xml:space="preserve"> s predĺženým uvoľňovaním.</w:t>
      </w:r>
      <w:r w:rsidRPr="00A53B9D" w:rsidDel="002E01CB">
        <w:rPr>
          <w:lang w:val="sk-SK"/>
        </w:rPr>
        <w:t xml:space="preserve"> </w:t>
      </w:r>
    </w:p>
    <w:p w:rsidR="007A6705" w:rsidRPr="00A53B9D" w:rsidRDefault="007A6705" w:rsidP="00DA5956">
      <w:pPr>
        <w:pStyle w:val="Normlnysozarkami1"/>
        <w:ind w:left="0"/>
        <w:rPr>
          <w:lang w:val="sk-SK"/>
        </w:rPr>
      </w:pPr>
      <w:r w:rsidRPr="00A53B9D">
        <w:rPr>
          <w:lang w:val="sk-SK"/>
        </w:rPr>
        <w:t xml:space="preserve">Sivobiele granuly </w:t>
      </w:r>
      <w:proofErr w:type="spellStart"/>
      <w:r w:rsidRPr="00A53B9D">
        <w:rPr>
          <w:lang w:val="sk-SK"/>
        </w:rPr>
        <w:t>tyčinkovitého</w:t>
      </w:r>
      <w:proofErr w:type="spellEnd"/>
      <w:r w:rsidRPr="00A53B9D">
        <w:rPr>
          <w:lang w:val="sk-SK"/>
        </w:rPr>
        <w:t xml:space="preserve"> alebo guľatého tvaru.</w:t>
      </w:r>
    </w:p>
    <w:p w:rsidR="007A6705" w:rsidRPr="004469AB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>
      <w:pPr>
        <w:ind w:right="-1"/>
        <w:jc w:val="both"/>
        <w:rPr>
          <w:caps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4. </w:t>
      </w:r>
      <w:r w:rsidRPr="00A53B9D">
        <w:rPr>
          <w:b/>
          <w:caps/>
          <w:sz w:val="22"/>
          <w:szCs w:val="22"/>
          <w:lang w:val="sk-SK"/>
        </w:rPr>
        <w:t>Klinické údaje</w:t>
      </w: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4.1 Terapeutické indikácie</w:t>
      </w:r>
    </w:p>
    <w:p w:rsidR="007A6705" w:rsidRPr="005E60E0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5E60E0" w:rsidRDefault="007A6705" w:rsidP="009166CE">
      <w:pPr>
        <w:pStyle w:val="Normlnysozarkami1"/>
        <w:ind w:left="0"/>
        <w:rPr>
          <w:lang w:val="sk-SK"/>
        </w:rPr>
      </w:pPr>
      <w:r w:rsidRPr="005E60E0">
        <w:rPr>
          <w:lang w:val="sk-SK"/>
        </w:rPr>
        <w:t xml:space="preserve">Liečba akútnych epizód a udržanie </w:t>
      </w:r>
      <w:proofErr w:type="spellStart"/>
      <w:r w:rsidRPr="005E60E0">
        <w:rPr>
          <w:lang w:val="sk-SK"/>
        </w:rPr>
        <w:t>remisie</w:t>
      </w:r>
      <w:proofErr w:type="spellEnd"/>
      <w:r w:rsidRPr="005E60E0">
        <w:rPr>
          <w:lang w:val="sk-SK"/>
        </w:rPr>
        <w:t xml:space="preserve"> </w:t>
      </w:r>
      <w:proofErr w:type="spellStart"/>
      <w:r w:rsidRPr="005E60E0">
        <w:rPr>
          <w:lang w:val="sk-SK"/>
        </w:rPr>
        <w:t>ulceróznej</w:t>
      </w:r>
      <w:proofErr w:type="spellEnd"/>
      <w:r w:rsidRPr="005E60E0">
        <w:rPr>
          <w:lang w:val="sk-SK"/>
        </w:rPr>
        <w:t xml:space="preserve"> </w:t>
      </w:r>
      <w:proofErr w:type="spellStart"/>
      <w:r w:rsidRPr="005E60E0">
        <w:rPr>
          <w:lang w:val="sk-SK"/>
        </w:rPr>
        <w:t>kolitídy</w:t>
      </w:r>
      <w:proofErr w:type="spellEnd"/>
      <w:r w:rsidRPr="005E60E0">
        <w:rPr>
          <w:lang w:val="sk-SK"/>
        </w:rPr>
        <w:t>.</w:t>
      </w:r>
    </w:p>
    <w:p w:rsidR="007A6705" w:rsidRPr="004B3CC2" w:rsidRDefault="007A6705">
      <w:pPr>
        <w:ind w:right="-1"/>
        <w:jc w:val="both"/>
        <w:rPr>
          <w:b/>
          <w:sz w:val="22"/>
          <w:szCs w:val="22"/>
          <w:lang w:val="sk-SK"/>
        </w:rPr>
      </w:pPr>
    </w:p>
    <w:p w:rsidR="007A6705" w:rsidRPr="004B3CC2" w:rsidRDefault="007A6705">
      <w:pPr>
        <w:ind w:right="-1"/>
        <w:jc w:val="both"/>
        <w:rPr>
          <w:b/>
          <w:sz w:val="22"/>
          <w:szCs w:val="22"/>
          <w:lang w:val="sk-SK"/>
        </w:rPr>
      </w:pPr>
      <w:r w:rsidRPr="004B3CC2">
        <w:rPr>
          <w:b/>
          <w:sz w:val="22"/>
          <w:szCs w:val="22"/>
          <w:lang w:val="sk-SK"/>
        </w:rPr>
        <w:t>4.2 Dávkovanie a spôsob podávania</w:t>
      </w:r>
    </w:p>
    <w:p w:rsidR="007A6705" w:rsidRPr="004B3CC2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E50CDD">
      <w:pPr>
        <w:jc w:val="both"/>
        <w:rPr>
          <w:sz w:val="22"/>
          <w:szCs w:val="22"/>
          <w:u w:val="single"/>
          <w:lang w:val="sk-SK"/>
        </w:rPr>
      </w:pPr>
      <w:r w:rsidRPr="004B3CC2">
        <w:rPr>
          <w:sz w:val="22"/>
          <w:szCs w:val="22"/>
          <w:u w:val="single"/>
          <w:lang w:val="sk-SK"/>
        </w:rPr>
        <w:t>Dávkovanie</w:t>
      </w:r>
    </w:p>
    <w:p w:rsidR="007A6705" w:rsidRPr="004B3CC2" w:rsidRDefault="007A6705" w:rsidP="00E50CDD">
      <w:pPr>
        <w:jc w:val="both"/>
        <w:rPr>
          <w:sz w:val="22"/>
          <w:szCs w:val="22"/>
          <w:u w:val="single"/>
          <w:lang w:val="sk-SK"/>
        </w:rPr>
      </w:pPr>
    </w:p>
    <w:p w:rsidR="007A6705" w:rsidRPr="004B3CC2" w:rsidRDefault="007A6705" w:rsidP="00E50CDD">
      <w:pPr>
        <w:jc w:val="both"/>
        <w:rPr>
          <w:i/>
          <w:sz w:val="22"/>
          <w:szCs w:val="22"/>
          <w:lang w:val="sk-SK"/>
        </w:rPr>
      </w:pPr>
      <w:r w:rsidRPr="004B3CC2">
        <w:rPr>
          <w:i/>
          <w:sz w:val="22"/>
          <w:szCs w:val="22"/>
          <w:lang w:val="sk-SK"/>
        </w:rPr>
        <w:t>Dospelí a starší pacienti</w:t>
      </w:r>
    </w:p>
    <w:p w:rsidR="007A6705" w:rsidRPr="004B3CC2" w:rsidRDefault="007A6705" w:rsidP="00E50CDD">
      <w:pPr>
        <w:jc w:val="both"/>
        <w:rPr>
          <w:sz w:val="22"/>
          <w:szCs w:val="22"/>
          <w:lang w:val="sk-SK"/>
        </w:rPr>
      </w:pPr>
    </w:p>
    <w:p w:rsidR="007A6705" w:rsidRPr="004B3CC2" w:rsidRDefault="007A6705" w:rsidP="00E50CDD">
      <w:pPr>
        <w:jc w:val="both"/>
        <w:rPr>
          <w:sz w:val="22"/>
          <w:szCs w:val="22"/>
          <w:u w:val="single"/>
          <w:lang w:val="sk-SK"/>
        </w:rPr>
      </w:pPr>
      <w:r w:rsidRPr="004B3CC2">
        <w:rPr>
          <w:sz w:val="22"/>
          <w:szCs w:val="22"/>
          <w:u w:val="single"/>
          <w:lang w:val="sk-SK"/>
        </w:rPr>
        <w:t xml:space="preserve">Liečba akútnych epizód </w:t>
      </w:r>
      <w:proofErr w:type="spellStart"/>
      <w:r w:rsidRPr="004B3CC2">
        <w:rPr>
          <w:sz w:val="22"/>
          <w:szCs w:val="22"/>
          <w:u w:val="single"/>
          <w:lang w:val="sk-SK"/>
        </w:rPr>
        <w:t>ulceróznej</w:t>
      </w:r>
      <w:proofErr w:type="spellEnd"/>
      <w:r w:rsidRPr="004B3CC2">
        <w:rPr>
          <w:sz w:val="22"/>
          <w:szCs w:val="22"/>
          <w:u w:val="single"/>
          <w:lang w:val="sk-SK"/>
        </w:rPr>
        <w:t xml:space="preserve"> </w:t>
      </w:r>
      <w:proofErr w:type="spellStart"/>
      <w:r w:rsidRPr="004B3CC2">
        <w:rPr>
          <w:sz w:val="22"/>
          <w:szCs w:val="22"/>
          <w:u w:val="single"/>
          <w:lang w:val="sk-SK"/>
        </w:rPr>
        <w:t>kolitídy</w:t>
      </w:r>
      <w:proofErr w:type="spellEnd"/>
      <w:r w:rsidRPr="004B3CC2">
        <w:rPr>
          <w:sz w:val="22"/>
          <w:szCs w:val="22"/>
          <w:u w:val="single"/>
          <w:lang w:val="sk-SK"/>
        </w:rPr>
        <w:t>:</w:t>
      </w:r>
    </w:p>
    <w:p w:rsidR="007A6705" w:rsidRPr="004B3CC2" w:rsidRDefault="007A6705" w:rsidP="00710BA5">
      <w:pPr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lastRenderedPageBreak/>
        <w:t xml:space="preserve">V závislosti od individuálneho klinického stavu pacienta jedenkrát denne 1 vrecko </w:t>
      </w:r>
      <w:proofErr w:type="spellStart"/>
      <w:r w:rsidRPr="004B3CC2">
        <w:rPr>
          <w:sz w:val="22"/>
          <w:szCs w:val="22"/>
          <w:lang w:val="sk-SK"/>
        </w:rPr>
        <w:t>Salofalku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4B3CC2">
          <w:rPr>
            <w:sz w:val="22"/>
            <w:szCs w:val="22"/>
            <w:lang w:val="sk-SK"/>
          </w:rPr>
          <w:t>3 g</w:t>
        </w:r>
      </w:smartTag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granulátu</w:t>
      </w:r>
      <w:proofErr w:type="spellEnd"/>
      <w:r w:rsidRPr="004B3CC2">
        <w:rPr>
          <w:sz w:val="22"/>
          <w:szCs w:val="22"/>
          <w:lang w:val="sk-SK"/>
        </w:rPr>
        <w:t xml:space="preserve">, prípadne 1 alebo 2 vrecúška </w:t>
      </w:r>
      <w:proofErr w:type="spellStart"/>
      <w:r w:rsidRPr="004B3CC2">
        <w:rPr>
          <w:sz w:val="22"/>
          <w:szCs w:val="22"/>
          <w:lang w:val="sk-SK"/>
        </w:rPr>
        <w:t>Salofalku</w:t>
      </w:r>
      <w:proofErr w:type="spellEnd"/>
      <w:r w:rsidRPr="004B3CC2">
        <w:rPr>
          <w:sz w:val="22"/>
          <w:szCs w:val="22"/>
          <w:lang w:val="sk-SK"/>
        </w:rPr>
        <w:t xml:space="preserve"> 1,5g </w:t>
      </w:r>
      <w:proofErr w:type="spellStart"/>
      <w:r w:rsidRPr="004B3CC2">
        <w:rPr>
          <w:sz w:val="22"/>
          <w:szCs w:val="22"/>
          <w:lang w:val="sk-SK"/>
        </w:rPr>
        <w:t>granulátu</w:t>
      </w:r>
      <w:proofErr w:type="spellEnd"/>
      <w:r w:rsidRPr="004B3CC2">
        <w:rPr>
          <w:sz w:val="22"/>
          <w:szCs w:val="22"/>
          <w:lang w:val="sk-SK"/>
        </w:rPr>
        <w:t xml:space="preserve">, alebo 3 vrecúška </w:t>
      </w:r>
      <w:proofErr w:type="spellStart"/>
      <w:r w:rsidRPr="004B3CC2">
        <w:rPr>
          <w:sz w:val="22"/>
          <w:szCs w:val="22"/>
          <w:lang w:val="sk-SK"/>
        </w:rPr>
        <w:t>Salofalku</w:t>
      </w:r>
      <w:proofErr w:type="spellEnd"/>
      <w:r w:rsidRPr="004B3CC2">
        <w:rPr>
          <w:sz w:val="22"/>
          <w:szCs w:val="22"/>
          <w:lang w:val="sk-SK"/>
        </w:rPr>
        <w:t xml:space="preserve"> 1000 mg </w:t>
      </w:r>
      <w:proofErr w:type="spellStart"/>
      <w:r w:rsidRPr="004B3CC2">
        <w:rPr>
          <w:sz w:val="22"/>
          <w:szCs w:val="22"/>
          <w:lang w:val="sk-SK"/>
        </w:rPr>
        <w:t>granulátu</w:t>
      </w:r>
      <w:proofErr w:type="spellEnd"/>
      <w:r w:rsidRPr="004B3CC2">
        <w:rPr>
          <w:sz w:val="22"/>
          <w:szCs w:val="22"/>
          <w:lang w:val="sk-SK"/>
        </w:rPr>
        <w:t xml:space="preserve"> alebo 3 vrecúška </w:t>
      </w:r>
      <w:proofErr w:type="spellStart"/>
      <w:r w:rsidRPr="004B3CC2">
        <w:rPr>
          <w:sz w:val="22"/>
          <w:szCs w:val="22"/>
          <w:lang w:val="sk-SK"/>
        </w:rPr>
        <w:t>Salofalku</w:t>
      </w:r>
      <w:proofErr w:type="spellEnd"/>
      <w:r w:rsidRPr="004B3CC2">
        <w:rPr>
          <w:sz w:val="22"/>
          <w:szCs w:val="22"/>
          <w:lang w:val="sk-SK"/>
        </w:rPr>
        <w:t xml:space="preserve"> 500 mg </w:t>
      </w:r>
      <w:proofErr w:type="spellStart"/>
      <w:r w:rsidRPr="004B3CC2">
        <w:rPr>
          <w:sz w:val="22"/>
          <w:szCs w:val="22"/>
          <w:lang w:val="sk-SK"/>
        </w:rPr>
        <w:t>granulátu</w:t>
      </w:r>
      <w:proofErr w:type="spellEnd"/>
      <w:r w:rsidRPr="004B3CC2">
        <w:rPr>
          <w:sz w:val="22"/>
          <w:szCs w:val="22"/>
          <w:lang w:val="sk-SK"/>
        </w:rPr>
        <w:t xml:space="preserve"> ( čo zodpovedá  </w:t>
      </w:r>
      <w:smartTag w:uri="urn:schemas-microsoft-com:office:smarttags" w:element="metricconverter">
        <w:smartTagPr>
          <w:attr w:name="ProductID" w:val="1,5 g"/>
        </w:smartTagPr>
        <w:r w:rsidRPr="004B3CC2">
          <w:rPr>
            <w:sz w:val="22"/>
            <w:szCs w:val="22"/>
            <w:lang w:val="sk-SK"/>
          </w:rPr>
          <w:t>1,5 g</w:t>
        </w:r>
      </w:smartTag>
      <w:r w:rsidRPr="004B3CC2">
        <w:rPr>
          <w:sz w:val="22"/>
          <w:szCs w:val="22"/>
          <w:lang w:val="sk-SK"/>
        </w:rPr>
        <w:t xml:space="preserve">  – </w:t>
      </w:r>
      <w:smartTag w:uri="urn:schemas-microsoft-com:office:smarttags" w:element="metricconverter">
        <w:smartTagPr>
          <w:attr w:name="ProductID" w:val="3 g"/>
        </w:smartTagPr>
        <w:r w:rsidRPr="004B3CC2">
          <w:rPr>
            <w:sz w:val="22"/>
            <w:szCs w:val="22"/>
            <w:lang w:val="sk-SK"/>
          </w:rPr>
          <w:t>3 g</w:t>
        </w:r>
      </w:smartTag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mesalazínu</w:t>
      </w:r>
      <w:proofErr w:type="spellEnd"/>
      <w:r w:rsidRPr="004B3CC2">
        <w:rPr>
          <w:sz w:val="22"/>
          <w:szCs w:val="22"/>
          <w:lang w:val="sk-SK"/>
        </w:rPr>
        <w:t xml:space="preserve"> denne). Liek sa má užívať ráno.</w:t>
      </w:r>
    </w:p>
    <w:p w:rsidR="007A6705" w:rsidRPr="004B3CC2" w:rsidRDefault="007A6705" w:rsidP="00710BA5">
      <w:pPr>
        <w:jc w:val="both"/>
        <w:rPr>
          <w:sz w:val="22"/>
          <w:szCs w:val="22"/>
          <w:lang w:val="sk-SK"/>
        </w:rPr>
      </w:pPr>
    </w:p>
    <w:p w:rsidR="007A6705" w:rsidRPr="004B3CC2" w:rsidRDefault="007A6705" w:rsidP="00710BA5">
      <w:pPr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Ak to pacientovi viac vyhovuje,  môže užiť predpísanú dennú dávku rozdelenú na tri jednotlivé dávky počas dňa (trikrát denne 1 vrecko </w:t>
      </w:r>
      <w:proofErr w:type="spellStart"/>
      <w:r w:rsidRPr="004B3CC2">
        <w:rPr>
          <w:sz w:val="22"/>
          <w:szCs w:val="22"/>
          <w:lang w:val="sk-SK"/>
        </w:rPr>
        <w:t>Salofalku</w:t>
      </w:r>
      <w:proofErr w:type="spellEnd"/>
      <w:r w:rsidRPr="004B3CC2">
        <w:rPr>
          <w:sz w:val="22"/>
          <w:szCs w:val="22"/>
          <w:lang w:val="sk-SK"/>
        </w:rPr>
        <w:t xml:space="preserve"> 500 mg </w:t>
      </w:r>
      <w:proofErr w:type="spellStart"/>
      <w:r w:rsidRPr="004B3CC2">
        <w:rPr>
          <w:sz w:val="22"/>
          <w:szCs w:val="22"/>
          <w:lang w:val="sk-SK"/>
        </w:rPr>
        <w:t>granulátu</w:t>
      </w:r>
      <w:proofErr w:type="spellEnd"/>
      <w:r w:rsidRPr="004B3CC2">
        <w:rPr>
          <w:sz w:val="22"/>
          <w:szCs w:val="22"/>
          <w:lang w:val="sk-SK"/>
        </w:rPr>
        <w:t xml:space="preserve"> alebo trikrát denne 1 vrecko </w:t>
      </w:r>
      <w:proofErr w:type="spellStart"/>
      <w:r w:rsidRPr="004B3CC2">
        <w:rPr>
          <w:sz w:val="22"/>
          <w:szCs w:val="22"/>
          <w:lang w:val="sk-SK"/>
        </w:rPr>
        <w:t>Salofalku</w:t>
      </w:r>
      <w:proofErr w:type="spellEnd"/>
      <w:r w:rsidRPr="004B3CC2">
        <w:rPr>
          <w:sz w:val="22"/>
          <w:szCs w:val="22"/>
          <w:lang w:val="sk-SK"/>
        </w:rPr>
        <w:t xml:space="preserve"> 1000 mg </w:t>
      </w:r>
      <w:proofErr w:type="spellStart"/>
      <w:r w:rsidRPr="004B3CC2">
        <w:rPr>
          <w:sz w:val="22"/>
          <w:szCs w:val="22"/>
          <w:lang w:val="sk-SK"/>
        </w:rPr>
        <w:t>granulátu</w:t>
      </w:r>
      <w:proofErr w:type="spellEnd"/>
      <w:r w:rsidRPr="004B3CC2">
        <w:rPr>
          <w:sz w:val="22"/>
          <w:szCs w:val="22"/>
          <w:lang w:val="sk-SK"/>
        </w:rPr>
        <w:t>.</w:t>
      </w:r>
    </w:p>
    <w:p w:rsidR="007A6705" w:rsidRPr="004B3CC2" w:rsidRDefault="007A6705" w:rsidP="00D966AE">
      <w:pPr>
        <w:pStyle w:val="Normlnysozarkami1"/>
        <w:ind w:left="0"/>
        <w:rPr>
          <w:lang w:val="sk-SK"/>
        </w:rPr>
      </w:pPr>
      <w:r w:rsidRPr="004B3CC2">
        <w:rPr>
          <w:lang w:val="sk-SK"/>
        </w:rPr>
        <w:t xml:space="preserve">    </w:t>
      </w:r>
    </w:p>
    <w:p w:rsidR="007A6705" w:rsidRPr="004B3CC2" w:rsidRDefault="007A6705" w:rsidP="00D966AE">
      <w:pPr>
        <w:pStyle w:val="Normlnysozarkami1"/>
        <w:ind w:left="0"/>
        <w:rPr>
          <w:u w:val="single"/>
          <w:lang w:val="sk-SK"/>
        </w:rPr>
      </w:pPr>
      <w:r w:rsidRPr="004B3CC2">
        <w:rPr>
          <w:u w:val="single"/>
          <w:lang w:val="sk-SK"/>
        </w:rPr>
        <w:t xml:space="preserve">Udržanie </w:t>
      </w:r>
      <w:proofErr w:type="spellStart"/>
      <w:r w:rsidRPr="004B3CC2">
        <w:rPr>
          <w:u w:val="single"/>
          <w:lang w:val="sk-SK"/>
        </w:rPr>
        <w:t>remisie</w:t>
      </w:r>
      <w:proofErr w:type="spellEnd"/>
      <w:r w:rsidRPr="004B3CC2">
        <w:rPr>
          <w:u w:val="single"/>
          <w:lang w:val="sk-SK"/>
        </w:rPr>
        <w:t xml:space="preserve"> </w:t>
      </w:r>
      <w:proofErr w:type="spellStart"/>
      <w:r w:rsidRPr="004B3CC2">
        <w:rPr>
          <w:u w:val="single"/>
          <w:lang w:val="sk-SK"/>
        </w:rPr>
        <w:t>ulceróznej</w:t>
      </w:r>
      <w:proofErr w:type="spellEnd"/>
      <w:r w:rsidRPr="004B3CC2">
        <w:rPr>
          <w:u w:val="single"/>
          <w:lang w:val="sk-SK"/>
        </w:rPr>
        <w:t xml:space="preserve"> </w:t>
      </w:r>
      <w:proofErr w:type="spellStart"/>
      <w:r w:rsidRPr="004B3CC2">
        <w:rPr>
          <w:u w:val="single"/>
          <w:lang w:val="sk-SK"/>
        </w:rPr>
        <w:t>kolitídy</w:t>
      </w:r>
      <w:proofErr w:type="spellEnd"/>
      <w:r w:rsidRPr="004B3CC2">
        <w:rPr>
          <w:u w:val="single"/>
          <w:lang w:val="sk-SK"/>
        </w:rPr>
        <w:t>:</w:t>
      </w:r>
    </w:p>
    <w:p w:rsidR="007A6705" w:rsidRPr="004B3CC2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Štandardná liečba je </w:t>
      </w:r>
      <w:smartTag w:uri="urn:schemas-microsoft-com:office:smarttags" w:element="metricconverter">
        <w:smartTagPr>
          <w:attr w:name="ProductID" w:val="0,5 g"/>
        </w:smartTagPr>
        <w:r w:rsidRPr="004B3CC2">
          <w:rPr>
            <w:sz w:val="22"/>
            <w:szCs w:val="22"/>
            <w:lang w:val="sk-SK"/>
          </w:rPr>
          <w:t>0,5</w:t>
        </w:r>
        <w:r>
          <w:rPr>
            <w:sz w:val="22"/>
            <w:szCs w:val="22"/>
            <w:lang w:val="sk-SK"/>
          </w:rPr>
          <w:t xml:space="preserve"> </w:t>
        </w:r>
        <w:r w:rsidRPr="00A53B9D">
          <w:rPr>
            <w:sz w:val="22"/>
            <w:szCs w:val="22"/>
            <w:lang w:val="sk-SK"/>
          </w:rPr>
          <w:t>g</w:t>
        </w:r>
      </w:smartTag>
      <w:r w:rsidRPr="00A53B9D">
        <w:rPr>
          <w:sz w:val="22"/>
          <w:szCs w:val="22"/>
          <w:lang w:val="sk-SK"/>
        </w:rPr>
        <w:t xml:space="preserve"> </w:t>
      </w:r>
      <w:proofErr w:type="spellStart"/>
      <w:r w:rsidRPr="00A53B9D">
        <w:rPr>
          <w:sz w:val="22"/>
          <w:szCs w:val="22"/>
          <w:lang w:val="sk-SK"/>
        </w:rPr>
        <w:t>mesalazínu</w:t>
      </w:r>
      <w:proofErr w:type="spellEnd"/>
      <w:r w:rsidRPr="00A53B9D">
        <w:rPr>
          <w:sz w:val="22"/>
          <w:szCs w:val="22"/>
          <w:lang w:val="sk-SK"/>
        </w:rPr>
        <w:t xml:space="preserve"> trikrát denne (ráno, na obed a večer), čo predstavuje celkovú  dávku </w:t>
      </w:r>
      <w:smartTag w:uri="urn:schemas-microsoft-com:office:smarttags" w:element="metricconverter">
        <w:smartTagPr>
          <w:attr w:name="ProductID" w:val="1,5 g"/>
        </w:smartTagPr>
        <w:r w:rsidRPr="00A53B9D">
          <w:rPr>
            <w:sz w:val="22"/>
            <w:szCs w:val="22"/>
            <w:lang w:val="sk-SK"/>
          </w:rPr>
          <w:t>1,5 g</w:t>
        </w:r>
      </w:smartTag>
      <w:r w:rsidRPr="00A53B9D">
        <w:rPr>
          <w:sz w:val="22"/>
          <w:szCs w:val="22"/>
          <w:lang w:val="sk-SK"/>
        </w:rPr>
        <w:t xml:space="preserve"> </w:t>
      </w:r>
      <w:proofErr w:type="spellStart"/>
      <w:r w:rsidRPr="00A53B9D">
        <w:rPr>
          <w:sz w:val="22"/>
          <w:szCs w:val="22"/>
          <w:lang w:val="sk-SK"/>
        </w:rPr>
        <w:t>mesalazínu</w:t>
      </w:r>
      <w:proofErr w:type="spellEnd"/>
      <w:r w:rsidRPr="00A53B9D">
        <w:rPr>
          <w:sz w:val="22"/>
          <w:szCs w:val="22"/>
          <w:lang w:val="sk-SK"/>
        </w:rPr>
        <w:t xml:space="preserve"> na deň.</w:t>
      </w: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>
      <w:pPr>
        <w:ind w:right="-1"/>
        <w:jc w:val="both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U pacientov </w:t>
      </w:r>
      <w:r w:rsidRPr="00A53B9D">
        <w:rPr>
          <w:sz w:val="22"/>
          <w:szCs w:val="22"/>
          <w:lang w:val="sk-SK"/>
        </w:rPr>
        <w:t>so zvýšeným rizikom opätovného zhoršenia zdravotného stavu alebo pacient</w:t>
      </w:r>
      <w:r>
        <w:rPr>
          <w:sz w:val="22"/>
          <w:szCs w:val="22"/>
          <w:lang w:val="sk-SK"/>
        </w:rPr>
        <w:t>ov</w:t>
      </w:r>
      <w:r w:rsidRPr="00A53B9D">
        <w:rPr>
          <w:sz w:val="22"/>
          <w:szCs w:val="22"/>
          <w:lang w:val="sk-SK"/>
        </w:rPr>
        <w:t xml:space="preserve">, ktorí </w:t>
      </w:r>
      <w:r>
        <w:rPr>
          <w:sz w:val="22"/>
          <w:szCs w:val="22"/>
          <w:lang w:val="sk-SK"/>
        </w:rPr>
        <w:t xml:space="preserve">majú problémy dodržiavať </w:t>
      </w:r>
      <w:r w:rsidRPr="00A53B9D">
        <w:rPr>
          <w:sz w:val="22"/>
          <w:szCs w:val="22"/>
          <w:lang w:val="sk-SK"/>
        </w:rPr>
        <w:t xml:space="preserve">dávkovanie trikrát denne, </w:t>
      </w:r>
      <w:r>
        <w:rPr>
          <w:sz w:val="22"/>
          <w:szCs w:val="22"/>
          <w:lang w:val="sk-SK"/>
        </w:rPr>
        <w:t>je možné</w:t>
      </w:r>
      <w:r w:rsidRPr="00A53B9D">
        <w:rPr>
          <w:sz w:val="22"/>
          <w:szCs w:val="22"/>
          <w:lang w:val="sk-SK"/>
        </w:rPr>
        <w:t xml:space="preserve"> zmen</w:t>
      </w:r>
      <w:r>
        <w:rPr>
          <w:sz w:val="22"/>
          <w:szCs w:val="22"/>
          <w:lang w:val="sk-SK"/>
        </w:rPr>
        <w:t>iť</w:t>
      </w:r>
      <w:r w:rsidRPr="00A53B9D">
        <w:rPr>
          <w:sz w:val="22"/>
          <w:szCs w:val="22"/>
          <w:lang w:val="sk-SK"/>
        </w:rPr>
        <w:t xml:space="preserve"> dávkovanie na jednu dávku </w:t>
      </w:r>
      <w:smartTag w:uri="urn:schemas-microsoft-com:office:smarttags" w:element="metricconverter">
        <w:smartTagPr>
          <w:attr w:name="ProductID" w:val="3,0 g"/>
        </w:smartTagPr>
        <w:r w:rsidRPr="00A53B9D">
          <w:rPr>
            <w:sz w:val="22"/>
            <w:szCs w:val="22"/>
            <w:lang w:val="sk-SK"/>
          </w:rPr>
          <w:t>3,0</w:t>
        </w:r>
        <w:r>
          <w:rPr>
            <w:sz w:val="22"/>
            <w:szCs w:val="22"/>
            <w:lang w:val="sk-SK"/>
          </w:rPr>
          <w:t xml:space="preserve"> </w:t>
        </w:r>
        <w:r w:rsidRPr="00A53B9D">
          <w:rPr>
            <w:sz w:val="22"/>
            <w:szCs w:val="22"/>
            <w:lang w:val="sk-SK"/>
          </w:rPr>
          <w:t>g</w:t>
        </w:r>
      </w:smartTag>
      <w:r w:rsidRPr="00A53B9D">
        <w:rPr>
          <w:sz w:val="22"/>
          <w:szCs w:val="22"/>
          <w:lang w:val="sk-SK"/>
        </w:rPr>
        <w:t xml:space="preserve"> </w:t>
      </w:r>
      <w:proofErr w:type="spellStart"/>
      <w:r w:rsidRPr="00A53B9D">
        <w:rPr>
          <w:sz w:val="22"/>
          <w:szCs w:val="22"/>
          <w:lang w:val="sk-SK"/>
        </w:rPr>
        <w:t>mesalazínu</w:t>
      </w:r>
      <w:proofErr w:type="spellEnd"/>
      <w:r w:rsidRPr="00A53B9D">
        <w:rPr>
          <w:sz w:val="22"/>
          <w:szCs w:val="22"/>
          <w:lang w:val="sk-SK"/>
        </w:rPr>
        <w:t xml:space="preserve"> podanú </w:t>
      </w:r>
      <w:r>
        <w:rPr>
          <w:sz w:val="22"/>
          <w:szCs w:val="22"/>
          <w:lang w:val="sk-SK"/>
        </w:rPr>
        <w:t xml:space="preserve">prednostne </w:t>
      </w:r>
      <w:r w:rsidRPr="00A53B9D">
        <w:rPr>
          <w:sz w:val="22"/>
          <w:szCs w:val="22"/>
          <w:lang w:val="sk-SK"/>
        </w:rPr>
        <w:t>ráno.</w:t>
      </w:r>
    </w:p>
    <w:p w:rsidR="007A6705" w:rsidRPr="004469AB" w:rsidRDefault="007A6705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>
      <w:pPr>
        <w:ind w:right="-1"/>
        <w:jc w:val="both"/>
        <w:rPr>
          <w:sz w:val="22"/>
          <w:szCs w:val="22"/>
          <w:u w:val="single"/>
          <w:lang w:val="sk-SK"/>
        </w:rPr>
      </w:pPr>
      <w:r w:rsidRPr="00A53B9D">
        <w:rPr>
          <w:sz w:val="22"/>
          <w:szCs w:val="22"/>
          <w:u w:val="single"/>
          <w:lang w:val="sk-SK"/>
        </w:rPr>
        <w:t>Pediatrická populácia:</w:t>
      </w:r>
    </w:p>
    <w:p w:rsidR="007A6705" w:rsidRPr="004B3CC2" w:rsidRDefault="007A6705" w:rsidP="00662C84">
      <w:pPr>
        <w:pStyle w:val="Bezriadkovania"/>
        <w:rPr>
          <w:lang w:val="sk-SK"/>
        </w:rPr>
      </w:pPr>
      <w:r w:rsidRPr="004B3CC2">
        <w:rPr>
          <w:lang w:val="sk-SK"/>
        </w:rPr>
        <w:t xml:space="preserve">Účinok na deti (vek 6 – 18 rokov) nie je dostatočne zdokumentovaný. </w:t>
      </w:r>
    </w:p>
    <w:p w:rsidR="007A6705" w:rsidRPr="004B3CC2" w:rsidRDefault="007A6705" w:rsidP="00662C84">
      <w:pPr>
        <w:pStyle w:val="Bezriadkovania"/>
        <w:rPr>
          <w:lang w:val="sk-SK"/>
        </w:rPr>
      </w:pPr>
    </w:p>
    <w:p w:rsidR="007A6705" w:rsidRPr="00A53B9D" w:rsidRDefault="007A6705" w:rsidP="00FE17D3">
      <w:pPr>
        <w:ind w:right="-1"/>
        <w:jc w:val="both"/>
        <w:rPr>
          <w:sz w:val="22"/>
          <w:szCs w:val="22"/>
          <w:u w:val="single"/>
          <w:lang w:val="sk-SK"/>
        </w:rPr>
      </w:pPr>
      <w:r w:rsidRPr="00A53B9D">
        <w:rPr>
          <w:sz w:val="22"/>
          <w:szCs w:val="22"/>
          <w:u w:val="single"/>
          <w:lang w:val="sk-SK"/>
        </w:rPr>
        <w:t>Deti vo veku  6 rokov a staršie:</w:t>
      </w:r>
    </w:p>
    <w:p w:rsidR="007A6705" w:rsidRPr="00A53B9D" w:rsidRDefault="007A6705" w:rsidP="00FE17D3">
      <w:pPr>
        <w:pStyle w:val="Zkladntext3"/>
        <w:rPr>
          <w:rFonts w:ascii="Times New Roman" w:hAnsi="Times New Roman" w:cs="Times New Roman"/>
          <w:color w:val="auto"/>
          <w:sz w:val="22"/>
          <w:szCs w:val="22"/>
        </w:rPr>
      </w:pPr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V závislosti od individuálneho klinického stavu  sa užíva počas </w:t>
      </w:r>
      <w:r w:rsidRPr="004B3CC2">
        <w:rPr>
          <w:rFonts w:ascii="Times New Roman" w:hAnsi="Times New Roman" w:cs="Times New Roman"/>
          <w:b/>
          <w:color w:val="auto"/>
          <w:sz w:val="22"/>
          <w:szCs w:val="22"/>
        </w:rPr>
        <w:t>akútneho štádia</w:t>
      </w:r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 na začiatku 30-50 mg </w:t>
      </w:r>
      <w:proofErr w:type="spellStart"/>
      <w:r w:rsidRPr="00A53B9D">
        <w:rPr>
          <w:rFonts w:ascii="Times New Roman" w:hAnsi="Times New Roman" w:cs="Times New Roman"/>
          <w:color w:val="auto"/>
          <w:sz w:val="22"/>
          <w:szCs w:val="22"/>
        </w:rPr>
        <w:t>mesalazínu</w:t>
      </w:r>
      <w:proofErr w:type="spellEnd"/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 na kg telesnej hmotnosti denne, najlepšie ráno alebo v rozdelených dávkach. Maximálna dávka: 75 mg/kg/deň. Celková dávka </w:t>
      </w:r>
      <w:proofErr w:type="spellStart"/>
      <w:r w:rsidRPr="00A53B9D">
        <w:rPr>
          <w:rFonts w:ascii="Times New Roman" w:hAnsi="Times New Roman" w:cs="Times New Roman"/>
          <w:color w:val="auto"/>
          <w:sz w:val="22"/>
          <w:szCs w:val="22"/>
        </w:rPr>
        <w:t>mesalazínu</w:t>
      </w:r>
      <w:proofErr w:type="spellEnd"/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 nesmie presiahnuť odporúčanú dávku pre dospelých.</w:t>
      </w:r>
    </w:p>
    <w:p w:rsidR="007A6705" w:rsidRPr="00A53B9D" w:rsidRDefault="007A6705" w:rsidP="00FE17D3">
      <w:pPr>
        <w:pStyle w:val="Zkladntext3"/>
        <w:rPr>
          <w:rFonts w:ascii="Times New Roman" w:hAnsi="Times New Roman" w:cs="Times New Roman"/>
          <w:color w:val="auto"/>
          <w:sz w:val="22"/>
          <w:szCs w:val="22"/>
        </w:rPr>
      </w:pPr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V závislosti od individuálneho klinického stavu sa na </w:t>
      </w:r>
      <w:r w:rsidRPr="004B3CC2">
        <w:rPr>
          <w:rFonts w:ascii="Times New Roman" w:hAnsi="Times New Roman" w:cs="Times New Roman"/>
          <w:b/>
          <w:color w:val="auto"/>
          <w:sz w:val="22"/>
          <w:szCs w:val="22"/>
        </w:rPr>
        <w:t xml:space="preserve">udržanie </w:t>
      </w:r>
      <w:proofErr w:type="spellStart"/>
      <w:r w:rsidRPr="004B3CC2">
        <w:rPr>
          <w:rFonts w:ascii="Times New Roman" w:hAnsi="Times New Roman" w:cs="Times New Roman"/>
          <w:b/>
          <w:color w:val="auto"/>
          <w:sz w:val="22"/>
          <w:szCs w:val="22"/>
        </w:rPr>
        <w:t>remisie</w:t>
      </w:r>
      <w:proofErr w:type="spellEnd"/>
      <w:r w:rsidRPr="004B3CC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užíva na začiatku 15-30 mg </w:t>
      </w:r>
      <w:proofErr w:type="spellStart"/>
      <w:r w:rsidRPr="00A53B9D">
        <w:rPr>
          <w:rFonts w:ascii="Times New Roman" w:hAnsi="Times New Roman" w:cs="Times New Roman"/>
          <w:color w:val="auto"/>
          <w:sz w:val="22"/>
          <w:szCs w:val="22"/>
        </w:rPr>
        <w:t>mesalazínu</w:t>
      </w:r>
      <w:proofErr w:type="spellEnd"/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 na kg telesnej hmotnosti denne, v rozdelených  dávkach.</w:t>
      </w:r>
      <w:r w:rsidRPr="00A53B9D">
        <w:rPr>
          <w:rFonts w:ascii="Times New Roman" w:hAnsi="Times New Roman" w:cs="Times New Roman"/>
          <w:sz w:val="22"/>
          <w:szCs w:val="22"/>
        </w:rPr>
        <w:t xml:space="preserve"> </w:t>
      </w:r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Celková dávka </w:t>
      </w:r>
      <w:proofErr w:type="spellStart"/>
      <w:r w:rsidRPr="00A53B9D">
        <w:rPr>
          <w:rFonts w:ascii="Times New Roman" w:hAnsi="Times New Roman" w:cs="Times New Roman"/>
          <w:color w:val="auto"/>
          <w:sz w:val="22"/>
          <w:szCs w:val="22"/>
        </w:rPr>
        <w:t>mesalazínu</w:t>
      </w:r>
      <w:proofErr w:type="spellEnd"/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 nesmie presiahnuť odporúčanú dávku pre dospelých.</w:t>
      </w:r>
    </w:p>
    <w:p w:rsidR="007A6705" w:rsidRPr="004469AB" w:rsidRDefault="007A6705" w:rsidP="00FE17D3">
      <w:pPr>
        <w:ind w:right="-1"/>
        <w:jc w:val="both"/>
        <w:rPr>
          <w:sz w:val="22"/>
          <w:szCs w:val="22"/>
          <w:lang w:val="sk-SK"/>
        </w:rPr>
      </w:pPr>
      <w:r w:rsidRPr="004469AB">
        <w:rPr>
          <w:sz w:val="22"/>
          <w:szCs w:val="22"/>
          <w:lang w:val="sk-SK"/>
        </w:rPr>
        <w:t xml:space="preserve">Vo všeobecnosti užívajú deti s telesnou hmotnosťou do </w:t>
      </w:r>
      <w:smartTag w:uri="urn:schemas-microsoft-com:office:smarttags" w:element="metricconverter">
        <w:smartTagPr>
          <w:attr w:name="ProductID" w:val="40 kg"/>
        </w:smartTagPr>
        <w:r w:rsidRPr="004469AB">
          <w:rPr>
            <w:sz w:val="22"/>
            <w:szCs w:val="22"/>
            <w:lang w:val="sk-SK"/>
          </w:rPr>
          <w:t>40 kg</w:t>
        </w:r>
      </w:smartTag>
      <w:r w:rsidRPr="004469AB">
        <w:rPr>
          <w:sz w:val="22"/>
          <w:szCs w:val="22"/>
          <w:lang w:val="sk-SK"/>
        </w:rPr>
        <w:t xml:space="preserve"> polovičnú dávku z dávky u dospelého a deti nad </w:t>
      </w:r>
      <w:smartTag w:uri="urn:schemas-microsoft-com:office:smarttags" w:element="metricconverter">
        <w:smartTagPr>
          <w:attr w:name="ProductID" w:val="40 kg"/>
        </w:smartTagPr>
        <w:r w:rsidRPr="004469AB">
          <w:rPr>
            <w:sz w:val="22"/>
            <w:szCs w:val="22"/>
            <w:lang w:val="sk-SK"/>
          </w:rPr>
          <w:t>40 kg</w:t>
        </w:r>
      </w:smartTag>
      <w:r w:rsidRPr="004469AB">
        <w:rPr>
          <w:sz w:val="22"/>
          <w:szCs w:val="22"/>
          <w:lang w:val="sk-SK"/>
        </w:rPr>
        <w:t xml:space="preserve"> môžu užívať normálnu dávku ako u dospelých. </w:t>
      </w:r>
    </w:p>
    <w:p w:rsidR="007A6705" w:rsidRPr="00A53B9D" w:rsidRDefault="007A6705" w:rsidP="00FE17D3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564029">
      <w:pPr>
        <w:jc w:val="both"/>
        <w:rPr>
          <w:sz w:val="22"/>
          <w:szCs w:val="22"/>
          <w:u w:val="single"/>
          <w:lang w:val="sk-SK"/>
        </w:rPr>
      </w:pPr>
      <w:r w:rsidRPr="004B3CC2">
        <w:rPr>
          <w:sz w:val="22"/>
          <w:szCs w:val="22"/>
          <w:u w:val="single"/>
          <w:lang w:val="sk-SK"/>
        </w:rPr>
        <w:t>Spôsob pod</w:t>
      </w:r>
      <w:r>
        <w:rPr>
          <w:sz w:val="22"/>
          <w:szCs w:val="22"/>
          <w:u w:val="single"/>
          <w:lang w:val="sk-SK"/>
        </w:rPr>
        <w:t>áv</w:t>
      </w:r>
      <w:r w:rsidRPr="004B3CC2">
        <w:rPr>
          <w:sz w:val="22"/>
          <w:szCs w:val="22"/>
          <w:u w:val="single"/>
          <w:lang w:val="sk-SK"/>
        </w:rPr>
        <w:t>ania:</w:t>
      </w:r>
    </w:p>
    <w:p w:rsidR="007A6705" w:rsidRPr="00A53B9D" w:rsidRDefault="007A6705" w:rsidP="00FE17D3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FE17D3">
      <w:pPr>
        <w:ind w:right="-1"/>
        <w:jc w:val="both"/>
        <w:rPr>
          <w:sz w:val="22"/>
          <w:szCs w:val="22"/>
          <w:lang w:val="sk-SK"/>
        </w:rPr>
      </w:pPr>
      <w:proofErr w:type="spellStart"/>
      <w:r w:rsidRPr="00A53B9D">
        <w:rPr>
          <w:sz w:val="22"/>
          <w:szCs w:val="22"/>
          <w:lang w:val="sk-SK"/>
        </w:rPr>
        <w:t>Granulát</w:t>
      </w:r>
      <w:proofErr w:type="spellEnd"/>
      <w:r w:rsidRPr="00A53B9D">
        <w:rPr>
          <w:sz w:val="22"/>
          <w:szCs w:val="22"/>
          <w:lang w:val="sk-SK"/>
        </w:rPr>
        <w:t xml:space="preserve"> vo vrecúšku  sa nemá žuvať. </w:t>
      </w:r>
      <w:proofErr w:type="spellStart"/>
      <w:r w:rsidRPr="00A53B9D">
        <w:rPr>
          <w:sz w:val="22"/>
          <w:szCs w:val="22"/>
          <w:lang w:val="sk-SK"/>
        </w:rPr>
        <w:t>Granulát</w:t>
      </w:r>
      <w:proofErr w:type="spellEnd"/>
      <w:r w:rsidRPr="004469AB">
        <w:rPr>
          <w:sz w:val="22"/>
          <w:szCs w:val="22"/>
          <w:lang w:val="sk-SK"/>
        </w:rPr>
        <w:t xml:space="preserve"> sa má položiť na jazyk a prehltnúť, bez žuvania a zapiť dostatočným množstvom vo</w:t>
      </w:r>
      <w:r w:rsidRPr="00A53B9D">
        <w:rPr>
          <w:sz w:val="22"/>
          <w:szCs w:val="22"/>
          <w:lang w:val="sk-SK"/>
        </w:rPr>
        <w:t>dy.</w:t>
      </w:r>
    </w:p>
    <w:p w:rsidR="007A6705" w:rsidRPr="00A53B9D" w:rsidRDefault="007A6705" w:rsidP="00FE17D3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F279E8">
      <w:pPr>
        <w:jc w:val="both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 xml:space="preserve">Liečba akútnych zápalových epizód a dlhodobá liečba </w:t>
      </w:r>
      <w:r w:rsidRPr="005E60E0">
        <w:rPr>
          <w:sz w:val="22"/>
          <w:szCs w:val="22"/>
          <w:lang w:val="sk-SK"/>
        </w:rPr>
        <w:t xml:space="preserve"> </w:t>
      </w:r>
      <w:r w:rsidRPr="004B3CC2">
        <w:rPr>
          <w:sz w:val="22"/>
          <w:szCs w:val="22"/>
          <w:lang w:val="sk-SK"/>
        </w:rPr>
        <w:t>musia  byť vykonávané pravidelne a dôsledne, pretože iba týmto spôsobom môže byť dosiahnuté úspešné uzdravenie.</w:t>
      </w:r>
    </w:p>
    <w:p w:rsidR="007A6705" w:rsidRPr="004B3CC2" w:rsidRDefault="007A6705" w:rsidP="00FE17D3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8A52F1">
      <w:pPr>
        <w:pStyle w:val="Normlnysozarkami1"/>
        <w:ind w:left="0"/>
        <w:rPr>
          <w:lang w:val="sk-SK"/>
        </w:rPr>
      </w:pPr>
      <w:r w:rsidRPr="004B3CC2">
        <w:rPr>
          <w:lang w:val="sk-SK"/>
        </w:rPr>
        <w:t>O dĺžke liečby rozhoduje ošetrujúci lekár.</w:t>
      </w:r>
    </w:p>
    <w:p w:rsidR="007A6705" w:rsidRPr="004B3CC2" w:rsidRDefault="007A6705" w:rsidP="00FE17D3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CF755E">
      <w:pPr>
        <w:ind w:right="-1"/>
        <w:jc w:val="both"/>
        <w:rPr>
          <w:b/>
          <w:sz w:val="22"/>
          <w:szCs w:val="22"/>
          <w:lang w:val="sk-SK"/>
        </w:rPr>
      </w:pPr>
      <w:r w:rsidRPr="004B3CC2">
        <w:rPr>
          <w:b/>
          <w:sz w:val="22"/>
          <w:szCs w:val="22"/>
          <w:lang w:val="sk-SK"/>
        </w:rPr>
        <w:t>4.3 Kontraindikácie</w:t>
      </w:r>
    </w:p>
    <w:p w:rsidR="007A6705" w:rsidRPr="004B3CC2" w:rsidRDefault="007A6705" w:rsidP="00CF755E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CF755E">
      <w:pPr>
        <w:ind w:right="-1"/>
        <w:jc w:val="both"/>
        <w:rPr>
          <w:sz w:val="22"/>
          <w:szCs w:val="22"/>
          <w:lang w:val="sk-SK"/>
        </w:rPr>
      </w:pP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</w:t>
      </w:r>
      <w:proofErr w:type="spellEnd"/>
      <w:r w:rsidRPr="004B3CC2">
        <w:rPr>
          <w:sz w:val="22"/>
          <w:szCs w:val="22"/>
          <w:lang w:val="sk-SK"/>
        </w:rPr>
        <w:t xml:space="preserve"> sa nesmie používať pri:</w:t>
      </w:r>
    </w:p>
    <w:p w:rsidR="007A6705" w:rsidRPr="00A53B9D" w:rsidRDefault="007A6705" w:rsidP="00CF755E">
      <w:pPr>
        <w:numPr>
          <w:ilvl w:val="0"/>
          <w:numId w:val="1"/>
        </w:numPr>
        <w:tabs>
          <w:tab w:val="clear" w:pos="1770"/>
          <w:tab w:val="num" w:pos="851"/>
        </w:tabs>
        <w:ind w:left="851"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precitlivenosti na účinnú látku, na </w:t>
      </w:r>
      <w:proofErr w:type="spellStart"/>
      <w:r w:rsidRPr="004B3CC2">
        <w:rPr>
          <w:sz w:val="22"/>
          <w:szCs w:val="22"/>
          <w:lang w:val="sk-SK"/>
        </w:rPr>
        <w:t>salicyláty</w:t>
      </w:r>
      <w:proofErr w:type="spellEnd"/>
      <w:r w:rsidRPr="004B3CC2">
        <w:rPr>
          <w:sz w:val="22"/>
          <w:szCs w:val="22"/>
          <w:lang w:val="sk-SK"/>
        </w:rPr>
        <w:t xml:space="preserve"> alebo na </w:t>
      </w:r>
      <w:r w:rsidRPr="004B3CC2">
        <w:rPr>
          <w:noProof/>
          <w:sz w:val="22"/>
          <w:szCs w:val="22"/>
          <w:lang w:val="sk-SK"/>
        </w:rPr>
        <w:t>ktorúkoľvek</w:t>
      </w:r>
      <w:r w:rsidRPr="004B3CC2">
        <w:rPr>
          <w:sz w:val="22"/>
          <w:szCs w:val="22"/>
          <w:lang w:val="sk-SK"/>
        </w:rPr>
        <w:t xml:space="preserve"> z pomocných látok </w:t>
      </w:r>
      <w:r w:rsidRPr="004B3CC2">
        <w:rPr>
          <w:noProof/>
          <w:sz w:val="22"/>
          <w:szCs w:val="22"/>
          <w:lang w:val="sk-SK"/>
        </w:rPr>
        <w:t>uvedených</w:t>
      </w:r>
      <w:r w:rsidRPr="004B3CC2">
        <w:rPr>
          <w:noProof/>
          <w:lang w:val="sk-SK"/>
        </w:rPr>
        <w:t xml:space="preserve"> </w:t>
      </w:r>
      <w:r w:rsidRPr="00A53B9D">
        <w:rPr>
          <w:sz w:val="22"/>
          <w:szCs w:val="22"/>
          <w:lang w:val="sk-SK"/>
        </w:rPr>
        <w:t>v časti 6.1;</w:t>
      </w:r>
    </w:p>
    <w:p w:rsidR="007A6705" w:rsidRPr="004469AB" w:rsidRDefault="007A6705" w:rsidP="00CF755E">
      <w:pPr>
        <w:numPr>
          <w:ilvl w:val="0"/>
          <w:numId w:val="1"/>
        </w:numPr>
        <w:tabs>
          <w:tab w:val="clear" w:pos="1770"/>
          <w:tab w:val="num" w:pos="851"/>
        </w:tabs>
        <w:ind w:left="851" w:right="-1"/>
        <w:jc w:val="both"/>
        <w:rPr>
          <w:sz w:val="22"/>
          <w:szCs w:val="22"/>
          <w:lang w:val="sk-SK"/>
        </w:rPr>
      </w:pPr>
      <w:r w:rsidRPr="004469AB">
        <w:rPr>
          <w:sz w:val="22"/>
          <w:szCs w:val="22"/>
          <w:lang w:val="sk-SK"/>
        </w:rPr>
        <w:t>ťažkých poruchách funkcie pečene a obličiek;</w:t>
      </w:r>
    </w:p>
    <w:p w:rsidR="007A6705" w:rsidRPr="004B3CC2" w:rsidRDefault="007A6705" w:rsidP="00662C84">
      <w:pPr>
        <w:pStyle w:val="Bezriadkovania"/>
        <w:rPr>
          <w:lang w:val="sk-SK"/>
        </w:rPr>
      </w:pPr>
    </w:p>
    <w:p w:rsidR="007A6705" w:rsidRPr="004B3CC2" w:rsidRDefault="007A6705" w:rsidP="00662C84">
      <w:pPr>
        <w:pStyle w:val="Bezriadkovania"/>
        <w:rPr>
          <w:lang w:val="sk-SK"/>
        </w:rPr>
      </w:pPr>
    </w:p>
    <w:p w:rsidR="007A6705" w:rsidRPr="00A53B9D" w:rsidRDefault="007A6705" w:rsidP="00714FE2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4.4 Osobitné upozornenia a opatrenia pri používaní</w:t>
      </w:r>
    </w:p>
    <w:p w:rsidR="007A6705" w:rsidRPr="00A53B9D" w:rsidRDefault="007A6705" w:rsidP="00714FE2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714FE2">
      <w:pPr>
        <w:ind w:right="-1"/>
        <w:jc w:val="both"/>
        <w:rPr>
          <w:sz w:val="22"/>
          <w:szCs w:val="22"/>
          <w:lang w:val="sk-SK"/>
        </w:rPr>
      </w:pPr>
      <w:r w:rsidRPr="004469AB">
        <w:rPr>
          <w:sz w:val="22"/>
          <w:szCs w:val="22"/>
          <w:lang w:val="sk-SK"/>
        </w:rPr>
        <w:lastRenderedPageBreak/>
        <w:t xml:space="preserve">Podľa zváženia ošetrujúceho lekára sa majú urobiť pred liečbou a počas liečby vyšetrenia krvi (diferenciálny krvný obraz; pečeňové funkcie ako ALT alebo AST; sérový </w:t>
      </w:r>
      <w:proofErr w:type="spellStart"/>
      <w:r w:rsidRPr="004469AB">
        <w:rPr>
          <w:sz w:val="22"/>
          <w:szCs w:val="22"/>
          <w:lang w:val="sk-SK"/>
        </w:rPr>
        <w:t>kreatinín</w:t>
      </w:r>
      <w:proofErr w:type="spellEnd"/>
      <w:r w:rsidRPr="004469AB">
        <w:rPr>
          <w:sz w:val="22"/>
          <w:szCs w:val="22"/>
          <w:lang w:val="sk-SK"/>
        </w:rPr>
        <w:t>) a moču (testovacie prúžky / sed</w:t>
      </w:r>
      <w:r w:rsidRPr="00A53B9D">
        <w:rPr>
          <w:sz w:val="22"/>
          <w:szCs w:val="22"/>
          <w:lang w:val="sk-SK"/>
        </w:rPr>
        <w:t xml:space="preserve">iment). Kontrolné vyšetrenia sa odporúčajú urobiť 14 dní po začatí liečby, potom ešte 2-krát až 3-krát v intervaloch 4 týždne. </w:t>
      </w:r>
    </w:p>
    <w:p w:rsidR="007A6705" w:rsidRPr="00A53B9D" w:rsidRDefault="007A6705" w:rsidP="00714FE2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714FE2">
      <w:pPr>
        <w:ind w:right="-1"/>
        <w:jc w:val="both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>Pri normálnych nálezoch sú potrebné ďalšie kontrolné vyšetrenia raz za štvrť roka, pri výskyte ďalších chorobných príznakov okamžite.</w:t>
      </w:r>
    </w:p>
    <w:p w:rsidR="007A6705" w:rsidRPr="00A53B9D" w:rsidRDefault="007A6705" w:rsidP="00714FE2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714FE2">
      <w:pPr>
        <w:pStyle w:val="Zkladntext3"/>
        <w:rPr>
          <w:rFonts w:ascii="Times New Roman" w:hAnsi="Times New Roman" w:cs="Times New Roman"/>
          <w:color w:val="auto"/>
          <w:sz w:val="22"/>
          <w:szCs w:val="22"/>
        </w:rPr>
      </w:pPr>
      <w:r w:rsidRPr="00A53B9D">
        <w:rPr>
          <w:rFonts w:ascii="Times New Roman" w:hAnsi="Times New Roman" w:cs="Times New Roman"/>
          <w:color w:val="auto"/>
          <w:sz w:val="22"/>
          <w:szCs w:val="22"/>
        </w:rPr>
        <w:t>Opatrnosť je nutná u pacientov s pečeňovou dysfunkciou.</w:t>
      </w:r>
    </w:p>
    <w:p w:rsidR="007A6705" w:rsidRPr="005E60E0" w:rsidRDefault="007A6705" w:rsidP="00714FE2">
      <w:pPr>
        <w:pStyle w:val="Zkladntext3"/>
        <w:rPr>
          <w:rFonts w:ascii="Times New Roman" w:hAnsi="Times New Roman" w:cs="Times New Roman"/>
          <w:color w:val="auto"/>
          <w:sz w:val="22"/>
          <w:szCs w:val="22"/>
        </w:rPr>
      </w:pPr>
    </w:p>
    <w:p w:rsidR="007A6705" w:rsidRPr="004B3CC2" w:rsidRDefault="007A6705" w:rsidP="00714FE2">
      <w:pPr>
        <w:pStyle w:val="Zkladntext2"/>
        <w:rPr>
          <w:rFonts w:ascii="Times New Roman" w:hAnsi="Times New Roman" w:cs="Times New Roman"/>
          <w:sz w:val="22"/>
          <w:szCs w:val="22"/>
        </w:rPr>
      </w:pPr>
      <w:proofErr w:type="spellStart"/>
      <w:r w:rsidRPr="004B3CC2">
        <w:rPr>
          <w:rFonts w:ascii="Times New Roman" w:hAnsi="Times New Roman" w:cs="Times New Roman"/>
          <w:sz w:val="22"/>
          <w:szCs w:val="22"/>
        </w:rPr>
        <w:t>Salofalk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granulát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nemajú užívať pacienti s 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renálnou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dysfunkciou.</w:t>
      </w:r>
      <w:r w:rsidRPr="004B3CC2">
        <w:rPr>
          <w:rFonts w:ascii="Times New Roman" w:hAnsi="Times New Roman" w:cs="Times New Roman"/>
          <w:position w:val="4"/>
          <w:sz w:val="22"/>
          <w:szCs w:val="22"/>
        </w:rPr>
        <w:t xml:space="preserve"> </w:t>
      </w:r>
      <w:r w:rsidRPr="004B3CC2">
        <w:rPr>
          <w:rFonts w:ascii="Times New Roman" w:hAnsi="Times New Roman" w:cs="Times New Roman"/>
          <w:sz w:val="22"/>
          <w:szCs w:val="22"/>
        </w:rPr>
        <w:t xml:space="preserve">U pacientov, u ktorých sa počas liečby objaví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renálna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dysfunkcia, môže ísť o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nefrotoxicitu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spôsobenú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mesalazínom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>.</w:t>
      </w:r>
    </w:p>
    <w:p w:rsidR="007A6705" w:rsidRPr="004B3CC2" w:rsidRDefault="007A6705" w:rsidP="00714FE2">
      <w:pPr>
        <w:pStyle w:val="Zkladntext2"/>
        <w:rPr>
          <w:rFonts w:ascii="Times New Roman" w:hAnsi="Times New Roman" w:cs="Times New Roman"/>
          <w:sz w:val="22"/>
          <w:szCs w:val="22"/>
        </w:rPr>
      </w:pPr>
    </w:p>
    <w:p w:rsidR="007A6705" w:rsidRPr="004B3CC2" w:rsidRDefault="007A6705" w:rsidP="00714FE2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Pri poruchách funkcie pľúc, najmä pri bronchiálnej astme, je v priebehu užívania 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granulátu</w:t>
      </w:r>
      <w:proofErr w:type="spellEnd"/>
      <w:r w:rsidRPr="004B3CC2">
        <w:rPr>
          <w:sz w:val="22"/>
          <w:szCs w:val="22"/>
          <w:lang w:val="sk-SK"/>
        </w:rPr>
        <w:t xml:space="preserve">  potrebné dôsledné sledovanie.</w:t>
      </w:r>
    </w:p>
    <w:p w:rsidR="007A6705" w:rsidRPr="004B3CC2" w:rsidRDefault="007A6705" w:rsidP="00714FE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714FE2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U pacientov so známou precitlivenosťou na lieky s obsahom </w:t>
      </w:r>
      <w:proofErr w:type="spellStart"/>
      <w:r w:rsidRPr="004B3CC2">
        <w:rPr>
          <w:sz w:val="22"/>
          <w:szCs w:val="22"/>
          <w:lang w:val="sk-SK"/>
        </w:rPr>
        <w:t>sulfasalazínu</w:t>
      </w:r>
      <w:proofErr w:type="spellEnd"/>
      <w:r w:rsidRPr="004B3CC2">
        <w:rPr>
          <w:sz w:val="22"/>
          <w:szCs w:val="22"/>
          <w:lang w:val="sk-SK"/>
        </w:rPr>
        <w:t xml:space="preserve"> sa má liečba 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granulátom</w:t>
      </w:r>
      <w:proofErr w:type="spellEnd"/>
      <w:r w:rsidRPr="004B3CC2">
        <w:rPr>
          <w:sz w:val="22"/>
          <w:szCs w:val="22"/>
          <w:lang w:val="sk-SK"/>
        </w:rPr>
        <w:t xml:space="preserve"> začať len pod prísnym lekárskym dozorom. Pri výskyte akútnych prejavov intolerancie, napríklad brušných kŕčov, akútnych bolestí brucha, horúčky, úporných bolestí hlavy a kožných vyrážok, sa musí liečba okamžite prerušiť.</w:t>
      </w:r>
    </w:p>
    <w:p w:rsidR="007A6705" w:rsidRPr="004B3CC2" w:rsidRDefault="007A6705" w:rsidP="00714FE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714FE2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U pacientov trpiacich </w:t>
      </w:r>
      <w:proofErr w:type="spellStart"/>
      <w:r w:rsidRPr="004B3CC2">
        <w:rPr>
          <w:sz w:val="22"/>
          <w:szCs w:val="22"/>
          <w:lang w:val="sk-SK"/>
        </w:rPr>
        <w:t>fenylketonúriou</w:t>
      </w:r>
      <w:proofErr w:type="spellEnd"/>
      <w:r w:rsidRPr="004B3CC2">
        <w:rPr>
          <w:sz w:val="22"/>
          <w:szCs w:val="22"/>
          <w:lang w:val="sk-SK"/>
        </w:rPr>
        <w:t xml:space="preserve"> treba vziať do úvahy, že 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</w:t>
      </w:r>
      <w:proofErr w:type="spellEnd"/>
      <w:r w:rsidRPr="004B3CC2">
        <w:rPr>
          <w:sz w:val="22"/>
          <w:szCs w:val="22"/>
          <w:lang w:val="sk-SK"/>
        </w:rPr>
        <w:t xml:space="preserve"> obsahuje </w:t>
      </w:r>
      <w:proofErr w:type="spellStart"/>
      <w:r w:rsidRPr="004B3CC2">
        <w:rPr>
          <w:sz w:val="22"/>
          <w:szCs w:val="22"/>
          <w:lang w:val="sk-SK"/>
        </w:rPr>
        <w:t>aspartám</w:t>
      </w:r>
      <w:proofErr w:type="spellEnd"/>
      <w:r w:rsidRPr="004B3CC2">
        <w:rPr>
          <w:sz w:val="22"/>
          <w:szCs w:val="22"/>
          <w:lang w:val="sk-SK"/>
        </w:rPr>
        <w:t xml:space="preserve"> ako sladidlo v množstve zodpovedajúcom  0,56 mg (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500 mg </w:t>
      </w:r>
      <w:proofErr w:type="spellStart"/>
      <w:r w:rsidRPr="004B3CC2">
        <w:rPr>
          <w:sz w:val="22"/>
          <w:szCs w:val="22"/>
          <w:lang w:val="sk-SK"/>
        </w:rPr>
        <w:t>granulát</w:t>
      </w:r>
      <w:proofErr w:type="spellEnd"/>
      <w:r w:rsidRPr="004B3CC2">
        <w:rPr>
          <w:sz w:val="22"/>
          <w:szCs w:val="22"/>
          <w:lang w:val="sk-SK"/>
        </w:rPr>
        <w:t>), 1,12 mg (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1000 mg </w:t>
      </w:r>
      <w:proofErr w:type="spellStart"/>
      <w:r w:rsidRPr="004B3CC2">
        <w:rPr>
          <w:sz w:val="22"/>
          <w:szCs w:val="22"/>
          <w:lang w:val="sk-SK"/>
        </w:rPr>
        <w:t>granulát</w:t>
      </w:r>
      <w:proofErr w:type="spellEnd"/>
      <w:r w:rsidRPr="004B3CC2">
        <w:rPr>
          <w:sz w:val="22"/>
          <w:szCs w:val="22"/>
          <w:lang w:val="sk-SK"/>
        </w:rPr>
        <w:t>), 1,68 mg (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500 mg </w:t>
      </w:r>
      <w:proofErr w:type="spellStart"/>
      <w:r w:rsidRPr="004B3CC2">
        <w:rPr>
          <w:sz w:val="22"/>
          <w:szCs w:val="22"/>
          <w:lang w:val="sk-SK"/>
        </w:rPr>
        <w:t>granulát</w:t>
      </w:r>
      <w:proofErr w:type="spellEnd"/>
      <w:r w:rsidRPr="004B3CC2">
        <w:rPr>
          <w:sz w:val="22"/>
          <w:szCs w:val="22"/>
          <w:lang w:val="sk-SK"/>
        </w:rPr>
        <w:t>) a 3,36 mg (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4B3CC2">
          <w:rPr>
            <w:sz w:val="22"/>
            <w:szCs w:val="22"/>
            <w:lang w:val="sk-SK"/>
          </w:rPr>
          <w:t>3 g</w:t>
        </w:r>
      </w:smartTag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</w:t>
      </w:r>
      <w:proofErr w:type="spellEnd"/>
      <w:r w:rsidRPr="004B3CC2">
        <w:rPr>
          <w:sz w:val="22"/>
          <w:szCs w:val="22"/>
          <w:lang w:val="sk-SK"/>
        </w:rPr>
        <w:t xml:space="preserve">) </w:t>
      </w:r>
      <w:proofErr w:type="spellStart"/>
      <w:r w:rsidRPr="004B3CC2">
        <w:rPr>
          <w:sz w:val="22"/>
          <w:szCs w:val="22"/>
          <w:lang w:val="sk-SK"/>
        </w:rPr>
        <w:t>fenylalanínu</w:t>
      </w:r>
      <w:proofErr w:type="spellEnd"/>
      <w:r w:rsidRPr="004B3CC2">
        <w:rPr>
          <w:sz w:val="22"/>
          <w:szCs w:val="22"/>
          <w:lang w:val="sk-SK"/>
        </w:rPr>
        <w:t>.</w:t>
      </w:r>
    </w:p>
    <w:p w:rsidR="007A6705" w:rsidRDefault="007A6705" w:rsidP="00714FE2">
      <w:pPr>
        <w:ind w:right="-1"/>
        <w:jc w:val="both"/>
        <w:rPr>
          <w:sz w:val="22"/>
          <w:szCs w:val="22"/>
          <w:lang w:val="sk-SK"/>
        </w:rPr>
      </w:pPr>
    </w:p>
    <w:p w:rsidR="007A6705" w:rsidRDefault="007A6705" w:rsidP="00753688">
      <w:pPr>
        <w:ind w:right="-1"/>
        <w:jc w:val="both"/>
        <w:rPr>
          <w:sz w:val="22"/>
          <w:szCs w:val="22"/>
          <w:lang w:val="sk-SK"/>
        </w:rPr>
      </w:pPr>
      <w:proofErr w:type="spellStart"/>
      <w:r>
        <w:rPr>
          <w:sz w:val="22"/>
          <w:szCs w:val="22"/>
          <w:lang w:val="sk-SK"/>
        </w:rPr>
        <w:t>Salofalk</w:t>
      </w:r>
      <w:proofErr w:type="spellEnd"/>
      <w:r>
        <w:rPr>
          <w:sz w:val="22"/>
          <w:szCs w:val="22"/>
          <w:lang w:val="sk-SK"/>
        </w:rPr>
        <w:t xml:space="preserve"> </w:t>
      </w:r>
      <w:proofErr w:type="spellStart"/>
      <w:r>
        <w:rPr>
          <w:sz w:val="22"/>
          <w:szCs w:val="22"/>
          <w:lang w:val="sk-SK"/>
        </w:rPr>
        <w:t>granulát</w:t>
      </w:r>
      <w:proofErr w:type="spellEnd"/>
      <w:r>
        <w:rPr>
          <w:sz w:val="22"/>
          <w:szCs w:val="22"/>
          <w:lang w:val="sk-SK"/>
        </w:rPr>
        <w:t xml:space="preserve"> obsahuje </w:t>
      </w:r>
      <w:proofErr w:type="spellStart"/>
      <w:r>
        <w:rPr>
          <w:sz w:val="22"/>
          <w:szCs w:val="22"/>
          <w:lang w:val="sk-SK"/>
        </w:rPr>
        <w:t>sachrózu</w:t>
      </w:r>
      <w:proofErr w:type="spellEnd"/>
      <w:r>
        <w:rPr>
          <w:sz w:val="22"/>
          <w:szCs w:val="22"/>
          <w:lang w:val="sk-SK"/>
        </w:rPr>
        <w:t xml:space="preserve">. Pacienti so zriedkavými dedičnými problémami intolerancie fruktózy, </w:t>
      </w:r>
      <w:proofErr w:type="spellStart"/>
      <w:r>
        <w:rPr>
          <w:sz w:val="22"/>
          <w:szCs w:val="22"/>
          <w:lang w:val="sk-SK"/>
        </w:rPr>
        <w:t>glukózo-galaktózovej</w:t>
      </w:r>
      <w:proofErr w:type="spellEnd"/>
      <w:r>
        <w:rPr>
          <w:sz w:val="22"/>
          <w:szCs w:val="22"/>
          <w:lang w:val="sk-SK"/>
        </w:rPr>
        <w:t xml:space="preserve"> </w:t>
      </w:r>
      <w:proofErr w:type="spellStart"/>
      <w:r>
        <w:rPr>
          <w:sz w:val="22"/>
          <w:szCs w:val="22"/>
          <w:lang w:val="sk-SK"/>
        </w:rPr>
        <w:t>malabsorpcie</w:t>
      </w:r>
      <w:proofErr w:type="spellEnd"/>
      <w:r>
        <w:rPr>
          <w:sz w:val="22"/>
          <w:szCs w:val="22"/>
          <w:lang w:val="sk-SK"/>
        </w:rPr>
        <w:t xml:space="preserve"> alebo deficitu </w:t>
      </w:r>
      <w:proofErr w:type="spellStart"/>
      <w:r>
        <w:rPr>
          <w:sz w:val="22"/>
          <w:szCs w:val="22"/>
          <w:lang w:val="sk-SK"/>
        </w:rPr>
        <w:t>sacharázy</w:t>
      </w:r>
      <w:proofErr w:type="spellEnd"/>
      <w:r>
        <w:rPr>
          <w:sz w:val="22"/>
          <w:szCs w:val="22"/>
          <w:lang w:val="sk-SK"/>
        </w:rPr>
        <w:t xml:space="preserve"> a </w:t>
      </w:r>
      <w:proofErr w:type="spellStart"/>
      <w:r>
        <w:rPr>
          <w:sz w:val="22"/>
          <w:szCs w:val="22"/>
          <w:lang w:val="sk-SK"/>
        </w:rPr>
        <w:t>izomaltázy</w:t>
      </w:r>
      <w:proofErr w:type="spellEnd"/>
      <w:r>
        <w:rPr>
          <w:sz w:val="22"/>
          <w:szCs w:val="22"/>
          <w:lang w:val="sk-SK"/>
        </w:rPr>
        <w:t xml:space="preserve"> nesmú užívať tento liek.</w:t>
      </w:r>
    </w:p>
    <w:p w:rsidR="007A6705" w:rsidRPr="00A53B9D" w:rsidRDefault="007A6705" w:rsidP="00714FE2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5588C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4.5 Liekové a iné interakcie</w:t>
      </w:r>
    </w:p>
    <w:p w:rsidR="007A6705" w:rsidRPr="004469AB" w:rsidRDefault="007A6705" w:rsidP="00C5588C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5588C">
      <w:pPr>
        <w:pStyle w:val="Zkladntext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>Neboli vykonané špecifické štúdie interakcií.</w:t>
      </w:r>
    </w:p>
    <w:p w:rsidR="007A6705" w:rsidRPr="00A53B9D" w:rsidRDefault="007A6705" w:rsidP="00C5588C">
      <w:pPr>
        <w:ind w:right="-1"/>
        <w:jc w:val="both"/>
        <w:rPr>
          <w:sz w:val="22"/>
          <w:szCs w:val="22"/>
          <w:lang w:val="sk-SK"/>
        </w:rPr>
      </w:pPr>
    </w:p>
    <w:p w:rsidR="00BD592A" w:rsidRDefault="007A6705">
      <w:pPr>
        <w:pStyle w:val="Zkladntext"/>
        <w:numPr>
          <w:ilvl w:val="0"/>
          <w:numId w:val="3"/>
        </w:numPr>
        <w:rPr>
          <w:sz w:val="22"/>
          <w:szCs w:val="22"/>
          <w:lang w:val="sk-SK"/>
        </w:rPr>
      </w:pPr>
      <w:proofErr w:type="spellStart"/>
      <w:r w:rsidRPr="00A53B9D">
        <w:rPr>
          <w:sz w:val="22"/>
          <w:szCs w:val="22"/>
          <w:lang w:val="sk-SK"/>
        </w:rPr>
        <w:t>Laktulóza</w:t>
      </w:r>
      <w:proofErr w:type="spellEnd"/>
      <w:r w:rsidRPr="00A53B9D">
        <w:rPr>
          <w:sz w:val="22"/>
          <w:szCs w:val="22"/>
          <w:lang w:val="sk-SK"/>
        </w:rPr>
        <w:t xml:space="preserve"> alebo podobné prípravky, ktoré znižujú pH stolice:</w:t>
      </w:r>
    </w:p>
    <w:p w:rsidR="007A6705" w:rsidRPr="004B3CC2" w:rsidRDefault="007A6705" w:rsidP="00C5588C">
      <w:pPr>
        <w:pStyle w:val="Zkladntext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 xml:space="preserve">Môže dôjsť k zníženému uvoľňovaniu </w:t>
      </w:r>
      <w:proofErr w:type="spellStart"/>
      <w:r w:rsidRPr="00A53B9D">
        <w:rPr>
          <w:sz w:val="22"/>
          <w:szCs w:val="22"/>
          <w:lang w:val="sk-SK"/>
        </w:rPr>
        <w:t>mesalazínu</w:t>
      </w:r>
      <w:proofErr w:type="spellEnd"/>
      <w:r w:rsidRPr="00A53B9D">
        <w:rPr>
          <w:sz w:val="22"/>
          <w:szCs w:val="22"/>
          <w:lang w:val="sk-SK"/>
        </w:rPr>
        <w:t xml:space="preserve"> z </w:t>
      </w:r>
      <w:proofErr w:type="spellStart"/>
      <w:r w:rsidRPr="00A53B9D">
        <w:rPr>
          <w:sz w:val="22"/>
          <w:szCs w:val="22"/>
          <w:lang w:val="sk-SK"/>
        </w:rPr>
        <w:t>granulátu</w:t>
      </w:r>
      <w:proofErr w:type="spellEnd"/>
      <w:r w:rsidRPr="00A53B9D">
        <w:rPr>
          <w:sz w:val="22"/>
          <w:szCs w:val="22"/>
          <w:lang w:val="sk-SK"/>
        </w:rPr>
        <w:t xml:space="preserve"> </w:t>
      </w:r>
      <w:r w:rsidRPr="005E60E0">
        <w:rPr>
          <w:sz w:val="22"/>
          <w:szCs w:val="22"/>
          <w:lang w:val="sk-SK"/>
        </w:rPr>
        <w:t>v</w:t>
      </w:r>
      <w:r w:rsidRPr="004B3CC2">
        <w:rPr>
          <w:sz w:val="22"/>
          <w:szCs w:val="22"/>
          <w:lang w:val="sk-SK"/>
        </w:rPr>
        <w:t xml:space="preserve"> závislosti od zníženého pH, ktoré môže byť znížené v dôsledku mikrobiálneho metabolizmu </w:t>
      </w:r>
      <w:proofErr w:type="spellStart"/>
      <w:r w:rsidRPr="004B3CC2">
        <w:rPr>
          <w:sz w:val="22"/>
          <w:szCs w:val="22"/>
          <w:lang w:val="sk-SK"/>
        </w:rPr>
        <w:t>laktulózy</w:t>
      </w:r>
      <w:proofErr w:type="spellEnd"/>
      <w:r w:rsidRPr="004B3CC2">
        <w:rPr>
          <w:sz w:val="22"/>
          <w:szCs w:val="22"/>
          <w:lang w:val="sk-SK"/>
        </w:rPr>
        <w:t>.</w:t>
      </w:r>
    </w:p>
    <w:p w:rsidR="007A6705" w:rsidRPr="004B3CC2" w:rsidRDefault="007A6705" w:rsidP="00C5588C">
      <w:pPr>
        <w:pStyle w:val="Zkladntext"/>
        <w:rPr>
          <w:sz w:val="22"/>
          <w:szCs w:val="22"/>
          <w:lang w:val="sk-SK"/>
        </w:rPr>
      </w:pPr>
    </w:p>
    <w:p w:rsidR="007A6705" w:rsidRPr="004B3CC2" w:rsidRDefault="007A6705" w:rsidP="00C5588C">
      <w:pPr>
        <w:pStyle w:val="Zkladntext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U pacientov, ktorí sú súbežne liečení </w:t>
      </w:r>
      <w:proofErr w:type="spellStart"/>
      <w:r w:rsidRPr="004B3CC2">
        <w:rPr>
          <w:sz w:val="22"/>
          <w:szCs w:val="22"/>
          <w:lang w:val="sk-SK"/>
        </w:rPr>
        <w:t>azatioprínom</w:t>
      </w:r>
      <w:proofErr w:type="spellEnd"/>
      <w:r w:rsidRPr="004B3CC2">
        <w:rPr>
          <w:sz w:val="22"/>
          <w:szCs w:val="22"/>
          <w:lang w:val="sk-SK"/>
        </w:rPr>
        <w:t xml:space="preserve">,  6-merkaptopurínom alebo </w:t>
      </w:r>
      <w:proofErr w:type="spellStart"/>
      <w:r w:rsidRPr="004B3CC2">
        <w:rPr>
          <w:sz w:val="22"/>
          <w:szCs w:val="22"/>
          <w:lang w:val="sk-SK"/>
        </w:rPr>
        <w:t>tioguanínom</w:t>
      </w:r>
      <w:proofErr w:type="spellEnd"/>
      <w:r w:rsidRPr="004B3CC2">
        <w:rPr>
          <w:sz w:val="22"/>
          <w:szCs w:val="22"/>
          <w:lang w:val="sk-SK"/>
        </w:rPr>
        <w:t xml:space="preserve">, je potrebné počítať s možným zvýšením </w:t>
      </w:r>
      <w:proofErr w:type="spellStart"/>
      <w:r w:rsidRPr="004B3CC2">
        <w:rPr>
          <w:sz w:val="22"/>
          <w:szCs w:val="22"/>
          <w:lang w:val="sk-SK"/>
        </w:rPr>
        <w:t>myelosupresívneho</w:t>
      </w:r>
      <w:proofErr w:type="spellEnd"/>
      <w:r w:rsidRPr="004B3CC2">
        <w:rPr>
          <w:sz w:val="22"/>
          <w:szCs w:val="22"/>
          <w:lang w:val="sk-SK"/>
        </w:rPr>
        <w:t xml:space="preserve"> účinku </w:t>
      </w:r>
      <w:proofErr w:type="spellStart"/>
      <w:r w:rsidRPr="004B3CC2">
        <w:rPr>
          <w:sz w:val="22"/>
          <w:szCs w:val="22"/>
          <w:lang w:val="sk-SK"/>
        </w:rPr>
        <w:t>azatioprínu</w:t>
      </w:r>
      <w:proofErr w:type="spellEnd"/>
      <w:r w:rsidRPr="004B3CC2">
        <w:rPr>
          <w:sz w:val="22"/>
          <w:szCs w:val="22"/>
          <w:lang w:val="sk-SK"/>
        </w:rPr>
        <w:t xml:space="preserve">,  6-merkaptopurínu alebo </w:t>
      </w:r>
      <w:proofErr w:type="spellStart"/>
      <w:r w:rsidRPr="004B3CC2">
        <w:rPr>
          <w:sz w:val="22"/>
          <w:szCs w:val="22"/>
          <w:lang w:val="sk-SK"/>
        </w:rPr>
        <w:t>tioguanínu</w:t>
      </w:r>
      <w:proofErr w:type="spellEnd"/>
      <w:r w:rsidRPr="004B3CC2">
        <w:rPr>
          <w:sz w:val="22"/>
          <w:szCs w:val="22"/>
          <w:lang w:val="sk-SK"/>
        </w:rPr>
        <w:t>.</w:t>
      </w:r>
    </w:p>
    <w:p w:rsidR="007A6705" w:rsidRPr="004B3CC2" w:rsidRDefault="007A6705" w:rsidP="00C5588C">
      <w:pPr>
        <w:pStyle w:val="Zkladntext"/>
        <w:rPr>
          <w:sz w:val="22"/>
          <w:szCs w:val="22"/>
          <w:lang w:val="sk-SK"/>
        </w:rPr>
      </w:pPr>
    </w:p>
    <w:p w:rsidR="007A6705" w:rsidRPr="004B3CC2" w:rsidRDefault="007A6705" w:rsidP="00C5588C">
      <w:pPr>
        <w:pStyle w:val="Zkladntext"/>
        <w:rPr>
          <w:sz w:val="22"/>
          <w:szCs w:val="22"/>
          <w:lang w:val="sk-SK"/>
        </w:rPr>
      </w:pPr>
      <w:proofErr w:type="spellStart"/>
      <w:r w:rsidRPr="004B3CC2">
        <w:rPr>
          <w:sz w:val="22"/>
          <w:szCs w:val="22"/>
          <w:lang w:val="sk-SK"/>
        </w:rPr>
        <w:t>Mesalazín</w:t>
      </w:r>
      <w:proofErr w:type="spellEnd"/>
      <w:r w:rsidRPr="004B3CC2">
        <w:rPr>
          <w:sz w:val="22"/>
          <w:szCs w:val="22"/>
          <w:lang w:val="sk-SK"/>
        </w:rPr>
        <w:t xml:space="preserve"> môže  znížiť </w:t>
      </w:r>
      <w:proofErr w:type="spellStart"/>
      <w:r w:rsidRPr="004B3CC2">
        <w:rPr>
          <w:sz w:val="22"/>
          <w:szCs w:val="22"/>
          <w:lang w:val="sk-SK"/>
        </w:rPr>
        <w:t>antikoagulačný</w:t>
      </w:r>
      <w:proofErr w:type="spellEnd"/>
      <w:r w:rsidRPr="004B3CC2">
        <w:rPr>
          <w:sz w:val="22"/>
          <w:szCs w:val="22"/>
          <w:lang w:val="sk-SK"/>
        </w:rPr>
        <w:t xml:space="preserve"> účinok </w:t>
      </w:r>
      <w:proofErr w:type="spellStart"/>
      <w:r w:rsidRPr="004B3CC2">
        <w:rPr>
          <w:sz w:val="22"/>
          <w:szCs w:val="22"/>
          <w:lang w:val="sk-SK"/>
        </w:rPr>
        <w:t>warfarínu</w:t>
      </w:r>
      <w:proofErr w:type="spellEnd"/>
      <w:r w:rsidRPr="004B3CC2">
        <w:rPr>
          <w:sz w:val="22"/>
          <w:szCs w:val="22"/>
          <w:lang w:val="sk-SK"/>
        </w:rPr>
        <w:t>.</w:t>
      </w:r>
    </w:p>
    <w:p w:rsidR="007A6705" w:rsidRPr="004B3CC2" w:rsidRDefault="007A6705" w:rsidP="00714FE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6943C2">
      <w:pPr>
        <w:ind w:right="-1"/>
        <w:jc w:val="both"/>
        <w:rPr>
          <w:b/>
          <w:sz w:val="22"/>
          <w:szCs w:val="22"/>
          <w:lang w:val="sk-SK"/>
        </w:rPr>
      </w:pPr>
      <w:r w:rsidRPr="004B3CC2">
        <w:rPr>
          <w:b/>
          <w:sz w:val="22"/>
          <w:szCs w:val="22"/>
          <w:lang w:val="sk-SK"/>
        </w:rPr>
        <w:t xml:space="preserve">4.6 </w:t>
      </w:r>
      <w:proofErr w:type="spellStart"/>
      <w:r w:rsidRPr="004B3CC2">
        <w:rPr>
          <w:b/>
          <w:sz w:val="22"/>
          <w:szCs w:val="22"/>
          <w:lang w:val="sk-SK"/>
        </w:rPr>
        <w:t>Fertilita</w:t>
      </w:r>
      <w:proofErr w:type="spellEnd"/>
      <w:r w:rsidRPr="004B3CC2">
        <w:rPr>
          <w:b/>
          <w:sz w:val="22"/>
          <w:szCs w:val="22"/>
          <w:lang w:val="sk-SK"/>
        </w:rPr>
        <w:t>, gravidita a laktácia</w:t>
      </w: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6943C2">
      <w:pPr>
        <w:ind w:right="-1"/>
        <w:jc w:val="both"/>
        <w:rPr>
          <w:i/>
          <w:sz w:val="22"/>
          <w:szCs w:val="22"/>
          <w:lang w:val="sk-SK"/>
        </w:rPr>
      </w:pPr>
      <w:r w:rsidRPr="004B3CC2">
        <w:rPr>
          <w:i/>
          <w:sz w:val="22"/>
          <w:szCs w:val="22"/>
          <w:lang w:val="sk-SK"/>
        </w:rPr>
        <w:t>Gravidita</w:t>
      </w: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O užívaní 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granulátu</w:t>
      </w:r>
      <w:proofErr w:type="spellEnd"/>
      <w:r w:rsidRPr="004B3CC2">
        <w:rPr>
          <w:sz w:val="22"/>
          <w:szCs w:val="22"/>
          <w:lang w:val="sk-SK"/>
        </w:rPr>
        <w:t xml:space="preserve"> u tehotných žien nie sú dostatočné údaje. U limitovaného počtu tehotných žien, ktoré boli liečené </w:t>
      </w:r>
      <w:proofErr w:type="spellStart"/>
      <w:r w:rsidRPr="004B3CC2">
        <w:rPr>
          <w:sz w:val="22"/>
          <w:szCs w:val="22"/>
          <w:lang w:val="sk-SK"/>
        </w:rPr>
        <w:t>mesalazínom</w:t>
      </w:r>
      <w:proofErr w:type="spellEnd"/>
      <w:r w:rsidRPr="004B3CC2">
        <w:rPr>
          <w:sz w:val="22"/>
          <w:szCs w:val="22"/>
          <w:lang w:val="sk-SK"/>
        </w:rPr>
        <w:t xml:space="preserve">, neboli pozorované žiadne negatívne účinky na priebeh tehotenstva alebo na zdravie plodu a novorodenca. Žiadne relevantné epidemiologické údaje nie sú momentálne dostupné. Objavil sa jeden izolovaný prípad </w:t>
      </w:r>
      <w:proofErr w:type="spellStart"/>
      <w:r w:rsidRPr="004B3CC2">
        <w:rPr>
          <w:sz w:val="22"/>
          <w:szCs w:val="22"/>
          <w:lang w:val="sk-SK"/>
        </w:rPr>
        <w:t>renálneho</w:t>
      </w:r>
      <w:proofErr w:type="spellEnd"/>
      <w:r w:rsidRPr="004B3CC2">
        <w:rPr>
          <w:sz w:val="22"/>
          <w:szCs w:val="22"/>
          <w:lang w:val="sk-SK"/>
        </w:rPr>
        <w:t xml:space="preserve"> zlyhania u novorodenca ženy, ktorá počas tehotenstva užívala dlhodobo vysoké dávky </w:t>
      </w:r>
      <w:proofErr w:type="spellStart"/>
      <w:r w:rsidRPr="004B3CC2">
        <w:rPr>
          <w:sz w:val="22"/>
          <w:szCs w:val="22"/>
          <w:lang w:val="sk-SK"/>
        </w:rPr>
        <w:t>mesalazínu</w:t>
      </w:r>
      <w:proofErr w:type="spellEnd"/>
      <w:r w:rsidRPr="004B3CC2">
        <w:rPr>
          <w:sz w:val="22"/>
          <w:szCs w:val="22"/>
          <w:lang w:val="sk-SK"/>
        </w:rPr>
        <w:t xml:space="preserve"> (2-4 g/deň </w:t>
      </w:r>
      <w:proofErr w:type="spellStart"/>
      <w:r w:rsidRPr="004B3CC2">
        <w:rPr>
          <w:sz w:val="22"/>
          <w:szCs w:val="22"/>
          <w:lang w:val="sk-SK"/>
        </w:rPr>
        <w:t>p.o</w:t>
      </w:r>
      <w:proofErr w:type="spellEnd"/>
      <w:r w:rsidRPr="004B3CC2">
        <w:rPr>
          <w:sz w:val="22"/>
          <w:szCs w:val="22"/>
          <w:lang w:val="sk-SK"/>
        </w:rPr>
        <w:t>.).</w:t>
      </w: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Štúdie na zvieratách po perorálnom podaní </w:t>
      </w:r>
      <w:proofErr w:type="spellStart"/>
      <w:r w:rsidRPr="004B3CC2">
        <w:rPr>
          <w:sz w:val="22"/>
          <w:szCs w:val="22"/>
          <w:lang w:val="sk-SK"/>
        </w:rPr>
        <w:t>mesalazínu</w:t>
      </w:r>
      <w:proofErr w:type="spellEnd"/>
      <w:r w:rsidRPr="004B3CC2">
        <w:rPr>
          <w:sz w:val="22"/>
          <w:szCs w:val="22"/>
          <w:lang w:val="sk-SK"/>
        </w:rPr>
        <w:t xml:space="preserve"> nepreukázali žiadne priame alebo nepriame negatívne účinky na tehotenstvo, embryonálny vývoj, vývoj plodu, pôrod alebo </w:t>
      </w:r>
      <w:proofErr w:type="spellStart"/>
      <w:r w:rsidRPr="004B3CC2">
        <w:rPr>
          <w:sz w:val="22"/>
          <w:szCs w:val="22"/>
          <w:lang w:val="sk-SK"/>
        </w:rPr>
        <w:t>postnatálny</w:t>
      </w:r>
      <w:proofErr w:type="spellEnd"/>
      <w:r w:rsidRPr="004B3CC2">
        <w:rPr>
          <w:sz w:val="22"/>
          <w:szCs w:val="22"/>
          <w:lang w:val="sk-SK"/>
        </w:rPr>
        <w:t xml:space="preserve"> vývoj novorodenca.</w:t>
      </w: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Napriek tomu sa v tehotenstve má 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</w:t>
      </w:r>
      <w:proofErr w:type="spellEnd"/>
      <w:r w:rsidRPr="004B3CC2">
        <w:rPr>
          <w:sz w:val="22"/>
          <w:szCs w:val="22"/>
          <w:lang w:val="sk-SK"/>
        </w:rPr>
        <w:t xml:space="preserve"> používať iba v prípade, ak prínos významne preváži možné riziko.</w:t>
      </w: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6943C2">
      <w:pPr>
        <w:ind w:right="-1"/>
        <w:jc w:val="both"/>
        <w:rPr>
          <w:i/>
          <w:sz w:val="22"/>
          <w:szCs w:val="22"/>
          <w:lang w:val="sk-SK"/>
        </w:rPr>
      </w:pPr>
      <w:r w:rsidRPr="004B3CC2">
        <w:rPr>
          <w:i/>
          <w:sz w:val="22"/>
          <w:szCs w:val="22"/>
          <w:lang w:val="sk-SK"/>
        </w:rPr>
        <w:t>Laktácia</w:t>
      </w: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N-acetyl-5-aminosalicylová kyselina a malé množstvo </w:t>
      </w:r>
      <w:proofErr w:type="spellStart"/>
      <w:r w:rsidRPr="004B3CC2">
        <w:rPr>
          <w:sz w:val="22"/>
          <w:szCs w:val="22"/>
          <w:lang w:val="sk-SK"/>
        </w:rPr>
        <w:t>mesalazínu</w:t>
      </w:r>
      <w:proofErr w:type="spellEnd"/>
      <w:r w:rsidRPr="004B3CC2">
        <w:rPr>
          <w:sz w:val="22"/>
          <w:szCs w:val="22"/>
          <w:lang w:val="sk-SK"/>
        </w:rPr>
        <w:t xml:space="preserve"> prechádza do materského mlieka. Zatiaľ chýbajú dostatočné skúsenosti s užívaním lieku počas dojčenia. Nemožno vylúčiť prejavy </w:t>
      </w:r>
      <w:proofErr w:type="spellStart"/>
      <w:r w:rsidRPr="004B3CC2">
        <w:rPr>
          <w:sz w:val="22"/>
          <w:szCs w:val="22"/>
          <w:lang w:val="sk-SK"/>
        </w:rPr>
        <w:t>hypersenzitivity</w:t>
      </w:r>
      <w:proofErr w:type="spellEnd"/>
      <w:r w:rsidRPr="004B3CC2">
        <w:rPr>
          <w:sz w:val="22"/>
          <w:szCs w:val="22"/>
          <w:lang w:val="sk-SK"/>
        </w:rPr>
        <w:t xml:space="preserve"> u dieťaťa, ako je napríklad hnačka. </w:t>
      </w:r>
      <w:proofErr w:type="spellStart"/>
      <w:r w:rsidRPr="004B3CC2">
        <w:rPr>
          <w:sz w:val="22"/>
          <w:szCs w:val="22"/>
          <w:lang w:val="sk-SK"/>
        </w:rPr>
        <w:t>Salofalk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granulát</w:t>
      </w:r>
      <w:proofErr w:type="spellEnd"/>
      <w:r w:rsidRPr="004B3CC2">
        <w:rPr>
          <w:sz w:val="22"/>
          <w:szCs w:val="22"/>
          <w:lang w:val="sk-SK"/>
        </w:rPr>
        <w:t xml:space="preserve"> sa má užívať počas dojčenia iba v prípade, ak prínos významne preváži možné riziko. Ak sa u dojčeného dieťaťa objaví hnačka, má sa dojčenie ukončiť.</w:t>
      </w:r>
    </w:p>
    <w:p w:rsidR="007A6705" w:rsidRPr="004B3CC2" w:rsidRDefault="007A6705" w:rsidP="006943C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3D1CD9">
      <w:pPr>
        <w:ind w:right="-1"/>
        <w:jc w:val="both"/>
        <w:rPr>
          <w:b/>
          <w:sz w:val="22"/>
          <w:szCs w:val="22"/>
          <w:lang w:val="sk-SK"/>
        </w:rPr>
      </w:pPr>
      <w:r w:rsidRPr="004B3CC2">
        <w:rPr>
          <w:b/>
          <w:sz w:val="22"/>
          <w:szCs w:val="22"/>
          <w:lang w:val="sk-SK"/>
        </w:rPr>
        <w:t>4.7 Ovplyvnenie schopnosti viesť vozidlá a obsluhovať stroje</w:t>
      </w:r>
    </w:p>
    <w:p w:rsidR="007A6705" w:rsidRPr="004B3CC2" w:rsidRDefault="007A6705" w:rsidP="003D1CD9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D55943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proofErr w:type="spellStart"/>
      <w:r w:rsidRPr="004B3CC2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4B3CC2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4B3CC2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4B3CC2">
        <w:rPr>
          <w:rFonts w:ascii="Times New Roman" w:hAnsi="Times New Roman"/>
          <w:sz w:val="22"/>
          <w:szCs w:val="22"/>
          <w:lang w:val="sk-SK"/>
        </w:rPr>
        <w:t xml:space="preserve"> nemá žiadny alebo len zanedbateľný vplyv na schopnosť viesť vozidlá a obsluhovať stroje.</w:t>
      </w:r>
    </w:p>
    <w:p w:rsidR="007A6705" w:rsidRPr="004B3CC2" w:rsidRDefault="007A6705" w:rsidP="003D1CD9">
      <w:pPr>
        <w:ind w:right="-1"/>
        <w:jc w:val="both"/>
        <w:rPr>
          <w:lang w:val="sk-SK"/>
        </w:rPr>
      </w:pPr>
    </w:p>
    <w:p w:rsidR="007A6705" w:rsidRPr="00A53B9D" w:rsidRDefault="007A6705" w:rsidP="007921C4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4.8 Nežiaduce účinky</w:t>
      </w:r>
    </w:p>
    <w:p w:rsidR="007A6705" w:rsidRPr="004B3CC2" w:rsidRDefault="007A6705" w:rsidP="003D1CD9">
      <w:pPr>
        <w:ind w:right="-1"/>
        <w:jc w:val="both"/>
        <w:rPr>
          <w:lang w:val="sk-SK"/>
        </w:rPr>
      </w:pPr>
    </w:p>
    <w:tbl>
      <w:tblPr>
        <w:tblW w:w="8364" w:type="dxa"/>
        <w:tblInd w:w="108" w:type="dxa"/>
        <w:tblLayout w:type="fixed"/>
        <w:tblLook w:val="0000"/>
      </w:tblPr>
      <w:tblGrid>
        <w:gridCol w:w="3400"/>
        <w:gridCol w:w="2835"/>
        <w:gridCol w:w="2129"/>
      </w:tblGrid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A53B9D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</w:pPr>
            <w:r w:rsidRPr="00A53B9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  <w:t>Trieda orgánových systémov</w:t>
            </w:r>
          </w:p>
        </w:tc>
        <w:tc>
          <w:tcPr>
            <w:tcW w:w="4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A53B9D" w:rsidRDefault="007A6705" w:rsidP="00235533">
            <w:pPr>
              <w:pStyle w:val="knZulassung02"/>
              <w:snapToGrid w:val="0"/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</w:pPr>
            <w:r w:rsidRPr="00A53B9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  <w:t xml:space="preserve">frekvencia podľa konvencií  </w:t>
            </w:r>
            <w:proofErr w:type="spellStart"/>
            <w:r w:rsidRPr="00A53B9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  <w:t>MedDRA</w:t>
            </w:r>
            <w:proofErr w:type="spellEnd"/>
            <w:r w:rsidRPr="00A53B9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  <w:t>zriedkavé</w:t>
            </w:r>
          </w:p>
          <w:p w:rsidR="007A6705" w:rsidRPr="004B3CC2" w:rsidRDefault="007A6705" w:rsidP="00235533">
            <w:pPr>
              <w:pStyle w:val="knZulassung02"/>
              <w:ind w:left="34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  <w:t>(≥ 1/10 000 až 1/1 000)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  <w:t>veľmi zriedkavé</w:t>
            </w:r>
          </w:p>
          <w:p w:rsidR="007A6705" w:rsidRPr="004B3CC2" w:rsidRDefault="007A6705" w:rsidP="00235533">
            <w:pPr>
              <w:pStyle w:val="knZulassung02"/>
              <w:spacing w:after="200" w:line="276" w:lineRule="auto"/>
              <w:ind w:left="34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k-SK"/>
              </w:rPr>
              <w:t xml:space="preserve"> (&lt; 1/ 10 000)</w:t>
            </w:r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krvi a lymfatického systému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spacing w:after="200" w:line="276" w:lineRule="auto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Zmeny v počte krviniek (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aplastická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 anémia,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agranulocytóza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pancytopénia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neutropénia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leukopénia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trombocytopénia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)</w:t>
            </w:r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nervového systému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Bolesti hlavy, závraty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spacing w:after="200"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periférna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neuropatia</w:t>
            </w:r>
            <w:proofErr w:type="spellEnd"/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srdca a srdcovej činnosti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Zápal srdcového svalu</w:t>
            </w:r>
          </w:p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Zápal osrdcovníka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spacing w:after="200"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dýchacej sústavy, hrudníka a 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mediastína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 </w:t>
            </w:r>
          </w:p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spacing w:after="200"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Alergická a 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fibrotická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  pľúcna reakcia (vrátane dýchavičnosti, kašľu,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bronchospazmu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alveolitídy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, pľúcnej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eozinofílie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, pľúcnej infiltrácie, zápalu pľúc).</w:t>
            </w:r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lastRenderedPageBreak/>
              <w:t xml:space="preserve">Poruchy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gastrointestinálneho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 traktu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Normlnysozarkami1"/>
              <w:autoSpaceDE w:val="0"/>
              <w:snapToGrid w:val="0"/>
              <w:ind w:left="34"/>
              <w:rPr>
                <w:lang w:val="sk-SK"/>
              </w:rPr>
            </w:pPr>
            <w:r w:rsidRPr="004B3CC2">
              <w:rPr>
                <w:lang w:val="sk-SK"/>
              </w:rPr>
              <w:t>Bolesti brucha, hnačka, plynatosť, napínanie na vracanie, vracanie</w:t>
            </w: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snapToGrid w:val="0"/>
              <w:spacing w:after="200" w:line="276" w:lineRule="auto"/>
              <w:rPr>
                <w:iCs/>
                <w:sz w:val="22"/>
                <w:szCs w:val="22"/>
                <w:lang w:val="sk-SK"/>
              </w:rPr>
            </w:pPr>
            <w:r w:rsidRPr="004B3CC2">
              <w:rPr>
                <w:iCs/>
                <w:sz w:val="22"/>
                <w:szCs w:val="22"/>
                <w:lang w:val="sk-SK"/>
              </w:rPr>
              <w:t xml:space="preserve">Akútna </w:t>
            </w:r>
            <w:proofErr w:type="spellStart"/>
            <w:r w:rsidRPr="004B3CC2">
              <w:rPr>
                <w:iCs/>
                <w:sz w:val="22"/>
                <w:szCs w:val="22"/>
                <w:lang w:val="sk-SK"/>
              </w:rPr>
              <w:t>pankreatitída</w:t>
            </w:r>
            <w:proofErr w:type="spellEnd"/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obličiek a močovej sústavy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Zoznam"/>
              <w:snapToGrid w:val="0"/>
              <w:spacing w:after="200" w:line="276" w:lineRule="auto"/>
              <w:rPr>
                <w:rFonts w:cs="Times New Roman"/>
                <w:lang w:val="sk-SK"/>
              </w:rPr>
            </w:pPr>
            <w:r w:rsidRPr="004B3CC2">
              <w:rPr>
                <w:rFonts w:cs="Times New Roman"/>
                <w:lang w:val="sk-SK"/>
              </w:rPr>
              <w:t xml:space="preserve">Porucha činnosti obličiek vrátane akútnej a chronickej </w:t>
            </w:r>
            <w:proofErr w:type="spellStart"/>
            <w:r w:rsidRPr="004B3CC2">
              <w:rPr>
                <w:rFonts w:cs="Times New Roman"/>
                <w:lang w:val="sk-SK"/>
              </w:rPr>
              <w:t>intersticiálnej</w:t>
            </w:r>
            <w:proofErr w:type="spellEnd"/>
            <w:r w:rsidRPr="004B3CC2">
              <w:rPr>
                <w:rFonts w:cs="Times New Roman"/>
                <w:lang w:val="sk-SK"/>
              </w:rPr>
              <w:t xml:space="preserve"> </w:t>
            </w:r>
            <w:proofErr w:type="spellStart"/>
            <w:r w:rsidRPr="004B3CC2">
              <w:rPr>
                <w:rFonts w:cs="Times New Roman"/>
                <w:lang w:val="sk-SK"/>
              </w:rPr>
              <w:t>nefritídy</w:t>
            </w:r>
            <w:proofErr w:type="spellEnd"/>
            <w:r w:rsidRPr="004B3CC2">
              <w:rPr>
                <w:rFonts w:cs="Times New Roman"/>
                <w:lang w:val="sk-SK"/>
              </w:rPr>
              <w:t xml:space="preserve"> a </w:t>
            </w:r>
            <w:proofErr w:type="spellStart"/>
            <w:r w:rsidRPr="004B3CC2">
              <w:rPr>
                <w:rFonts w:cs="Times New Roman"/>
                <w:lang w:val="sk-SK"/>
              </w:rPr>
              <w:t>renálnej</w:t>
            </w:r>
            <w:proofErr w:type="spellEnd"/>
            <w:r w:rsidRPr="004B3CC2">
              <w:rPr>
                <w:rFonts w:cs="Times New Roman"/>
                <w:lang w:val="sk-SK"/>
              </w:rPr>
              <w:t xml:space="preserve"> </w:t>
            </w:r>
            <w:proofErr w:type="spellStart"/>
            <w:r w:rsidRPr="004B3CC2">
              <w:rPr>
                <w:rFonts w:cs="Times New Roman"/>
                <w:lang w:val="sk-SK"/>
              </w:rPr>
              <w:t>insuficiencie</w:t>
            </w:r>
            <w:proofErr w:type="spellEnd"/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kože a podkožného tkaniva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snapToGrid w:val="0"/>
              <w:spacing w:after="200" w:line="276" w:lineRule="auto"/>
              <w:rPr>
                <w:sz w:val="22"/>
                <w:szCs w:val="22"/>
                <w:lang w:val="sk-SK"/>
              </w:rPr>
            </w:pPr>
            <w:proofErr w:type="spellStart"/>
            <w:r w:rsidRPr="004B3CC2">
              <w:rPr>
                <w:sz w:val="22"/>
                <w:szCs w:val="22"/>
                <w:lang w:val="sk-SK"/>
              </w:rPr>
              <w:t>alopécia</w:t>
            </w:r>
            <w:proofErr w:type="spellEnd"/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kostrovej a svalovej sústavy a spojivového tkaniva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spacing w:after="200" w:line="276" w:lineRule="auto"/>
              <w:ind w:left="34" w:right="0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artralgia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myalgia</w:t>
            </w:r>
            <w:proofErr w:type="spellEnd"/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  <w:p w:rsidR="007A6705" w:rsidRPr="004B3CC2" w:rsidRDefault="007A6705" w:rsidP="00235533">
            <w:pPr>
              <w:pStyle w:val="knZulassung02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  <w:p w:rsidR="007A6705" w:rsidRPr="004B3CC2" w:rsidRDefault="007A6705" w:rsidP="00235533">
            <w:pPr>
              <w:pStyle w:val="knZulassung02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imunitného systému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Zoznam"/>
              <w:spacing w:after="200" w:line="276" w:lineRule="auto"/>
              <w:rPr>
                <w:rFonts w:cs="Times New Roman"/>
                <w:lang w:val="sk-SK"/>
              </w:rPr>
            </w:pPr>
            <w:proofErr w:type="spellStart"/>
            <w:r w:rsidRPr="004B3CC2">
              <w:rPr>
                <w:rFonts w:cs="Times New Roman"/>
                <w:lang w:val="sk-SK"/>
              </w:rPr>
              <w:t>Hypersenzitívne</w:t>
            </w:r>
            <w:proofErr w:type="spellEnd"/>
            <w:r w:rsidRPr="004B3CC2">
              <w:rPr>
                <w:rFonts w:cs="Times New Roman"/>
                <w:lang w:val="sk-SK"/>
              </w:rPr>
              <w:t xml:space="preserve"> reakcie  ako sú  alergické vyrážky, lieková horúčka,   systémový </w:t>
            </w:r>
            <w:proofErr w:type="spellStart"/>
            <w:r w:rsidRPr="004B3CC2">
              <w:rPr>
                <w:rFonts w:cs="Times New Roman"/>
                <w:lang w:val="sk-SK"/>
              </w:rPr>
              <w:t>lupus</w:t>
            </w:r>
            <w:proofErr w:type="spellEnd"/>
            <w:r w:rsidRPr="004B3CC2">
              <w:rPr>
                <w:rFonts w:cs="Times New Roman"/>
                <w:lang w:val="sk-SK"/>
              </w:rPr>
              <w:t xml:space="preserve"> </w:t>
            </w:r>
            <w:proofErr w:type="spellStart"/>
            <w:r w:rsidRPr="004B3CC2">
              <w:rPr>
                <w:rFonts w:cs="Times New Roman"/>
                <w:lang w:val="sk-SK"/>
              </w:rPr>
              <w:t>erythematosus</w:t>
            </w:r>
            <w:proofErr w:type="spellEnd"/>
            <w:r w:rsidRPr="004B3CC2">
              <w:rPr>
                <w:rFonts w:cs="Times New Roman"/>
                <w:lang w:val="sk-SK"/>
              </w:rPr>
              <w:t xml:space="preserve">, </w:t>
            </w:r>
            <w:proofErr w:type="spellStart"/>
            <w:r w:rsidRPr="004B3CC2">
              <w:rPr>
                <w:rFonts w:cs="Times New Roman"/>
                <w:lang w:val="sk-SK"/>
              </w:rPr>
              <w:t>pankolitída</w:t>
            </w:r>
            <w:proofErr w:type="spellEnd"/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pečene a žlčových ciest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spacing w:after="200" w:line="276" w:lineRule="auto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Zmeny vo funkcii pečene (zvýšenie hodnôt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transamináz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, parametrov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cholestázy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), hepatitída, </w:t>
            </w: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cholestatická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 hepatitída</w:t>
            </w:r>
          </w:p>
        </w:tc>
      </w:tr>
      <w:tr w:rsidR="007A6705" w:rsidRPr="004B3CC2" w:rsidTr="00243E3D"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Poruchy reprodukčného systému a prsníkov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</w:tc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6705" w:rsidRPr="004B3CC2" w:rsidRDefault="007A6705" w:rsidP="00235533">
            <w:pPr>
              <w:pStyle w:val="knZulassung02"/>
              <w:snapToGrid w:val="0"/>
              <w:ind w:left="34" w:right="0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  <w:proofErr w:type="spellStart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>Oligospermia</w:t>
            </w:r>
            <w:proofErr w:type="spellEnd"/>
            <w:r w:rsidRPr="004B3CC2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 (reverzibilná)</w:t>
            </w:r>
          </w:p>
          <w:p w:rsidR="007A6705" w:rsidRPr="004B3CC2" w:rsidRDefault="007A6705" w:rsidP="00235533">
            <w:pPr>
              <w:spacing w:after="200" w:line="276" w:lineRule="auto"/>
              <w:rPr>
                <w:i/>
                <w:iCs/>
                <w:lang w:val="sk-SK"/>
              </w:rPr>
            </w:pPr>
          </w:p>
        </w:tc>
      </w:tr>
    </w:tbl>
    <w:p w:rsidR="007A6705" w:rsidRPr="004B3CC2" w:rsidRDefault="007A6705" w:rsidP="003D1CD9">
      <w:pPr>
        <w:ind w:right="-1"/>
        <w:jc w:val="both"/>
        <w:rPr>
          <w:lang w:val="sk-SK"/>
        </w:rPr>
      </w:pPr>
    </w:p>
    <w:p w:rsidR="007A6705" w:rsidRPr="004B3CC2" w:rsidRDefault="007A6705" w:rsidP="007921C4">
      <w:pPr>
        <w:tabs>
          <w:tab w:val="left" w:pos="-720"/>
        </w:tabs>
        <w:suppressAutoHyphens/>
        <w:rPr>
          <w:noProof/>
          <w:sz w:val="22"/>
          <w:szCs w:val="22"/>
          <w:u w:val="single"/>
          <w:lang w:val="sk-SK" w:eastAsia="zh-CN"/>
        </w:rPr>
      </w:pPr>
      <w:r w:rsidRPr="004B3CC2">
        <w:rPr>
          <w:noProof/>
          <w:sz w:val="22"/>
          <w:szCs w:val="22"/>
          <w:u w:val="single"/>
          <w:lang w:val="sk-SK" w:eastAsia="zh-CN"/>
        </w:rPr>
        <w:t>Hlásenie podozrení na nežiaduce reakcie:</w:t>
      </w:r>
    </w:p>
    <w:p w:rsidR="007A6705" w:rsidRPr="004B3CC2" w:rsidRDefault="007A6705" w:rsidP="007921C4">
      <w:pPr>
        <w:tabs>
          <w:tab w:val="left" w:pos="-720"/>
        </w:tabs>
        <w:suppressAutoHyphens/>
        <w:rPr>
          <w:noProof/>
          <w:sz w:val="22"/>
          <w:szCs w:val="22"/>
          <w:lang w:val="sk-SK" w:eastAsia="zh-CN"/>
        </w:rPr>
      </w:pPr>
    </w:p>
    <w:p w:rsidR="007A6705" w:rsidRPr="004B3CC2" w:rsidRDefault="007A6705" w:rsidP="007921C4">
      <w:pPr>
        <w:tabs>
          <w:tab w:val="left" w:pos="-720"/>
        </w:tabs>
        <w:suppressAutoHyphens/>
        <w:rPr>
          <w:noProof/>
          <w:sz w:val="22"/>
          <w:szCs w:val="22"/>
          <w:lang w:val="sk-SK" w:eastAsia="zh-CN"/>
        </w:rPr>
      </w:pPr>
      <w:r w:rsidRPr="004B3CC2">
        <w:rPr>
          <w:noProof/>
          <w:sz w:val="22"/>
          <w:szCs w:val="22"/>
          <w:lang w:val="sk-SK" w:eastAsia="zh-CN"/>
        </w:rPr>
        <w:t>Hlásenie podozrení na nažiaduce reakcie po registrácii lieku je dôležité. Umožňuje priebežné monitorovanie pomeru prínosu a rizika lieku. Od zdravotníckych pracovníkov sa vyžaduje, aby hlásili akékoľvek podozrenia na nežiaduce reakcie  prostredníctvom národného systému hlásenia</w:t>
      </w:r>
      <w:r w:rsidRPr="004B3CC2">
        <w:rPr>
          <w:noProof/>
          <w:sz w:val="22"/>
          <w:szCs w:val="22"/>
          <w:highlight w:val="lightGray"/>
          <w:lang w:val="sk-SK"/>
        </w:rPr>
        <w:t xml:space="preserve"> uvedeného v </w:t>
      </w:r>
      <w:hyperlink r:id="rId7" w:history="1">
        <w:r w:rsidRPr="004B3CC2">
          <w:rPr>
            <w:rStyle w:val="Hypertextovprepojenie"/>
            <w:noProof/>
            <w:sz w:val="22"/>
            <w:szCs w:val="22"/>
            <w:highlight w:val="lightGray"/>
            <w:lang w:val="sk-SK"/>
          </w:rPr>
          <w:t>Prílohe V</w:t>
        </w:r>
      </w:hyperlink>
      <w:r w:rsidRPr="004B3CC2">
        <w:rPr>
          <w:noProof/>
          <w:sz w:val="22"/>
          <w:szCs w:val="22"/>
          <w:lang w:val="sk-SK" w:eastAsia="zh-CN"/>
        </w:rPr>
        <w:t>.</w:t>
      </w:r>
    </w:p>
    <w:p w:rsidR="007A6705" w:rsidRPr="004B3CC2" w:rsidRDefault="007A6705" w:rsidP="003D1CD9">
      <w:pPr>
        <w:ind w:right="-1"/>
        <w:jc w:val="both"/>
        <w:rPr>
          <w:lang w:val="sk-SK"/>
        </w:rPr>
      </w:pPr>
    </w:p>
    <w:p w:rsidR="007A6705" w:rsidRPr="00A53B9D" w:rsidRDefault="007A6705" w:rsidP="0040175F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4.9 Predávkovanie</w:t>
      </w:r>
    </w:p>
    <w:p w:rsidR="007A6705" w:rsidRPr="004469AB" w:rsidRDefault="007A6705" w:rsidP="0040175F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40175F">
      <w:pPr>
        <w:pStyle w:val="Normlnysozarkami1"/>
        <w:ind w:left="0"/>
        <w:rPr>
          <w:lang w:val="sk-SK"/>
        </w:rPr>
      </w:pPr>
      <w:r w:rsidRPr="00A53B9D">
        <w:rPr>
          <w:lang w:val="sk-SK"/>
        </w:rPr>
        <w:t xml:space="preserve">Údaje o predávkovaní sú zriedkavé (napríklad možné samovražedné správanie pri vysokých perorálnych dávkach </w:t>
      </w:r>
      <w:proofErr w:type="spellStart"/>
      <w:r w:rsidRPr="00A53B9D">
        <w:rPr>
          <w:lang w:val="sk-SK"/>
        </w:rPr>
        <w:t>mesalazínu</w:t>
      </w:r>
      <w:proofErr w:type="spellEnd"/>
      <w:r w:rsidRPr="00A53B9D">
        <w:rPr>
          <w:lang w:val="sk-SK"/>
        </w:rPr>
        <w:t xml:space="preserve">), a z nich nie je možné naznačovať </w:t>
      </w:r>
      <w:proofErr w:type="spellStart"/>
      <w:r w:rsidRPr="00A53B9D">
        <w:rPr>
          <w:lang w:val="sk-SK"/>
        </w:rPr>
        <w:t>renálnu</w:t>
      </w:r>
      <w:proofErr w:type="spellEnd"/>
      <w:r w:rsidRPr="00A53B9D">
        <w:rPr>
          <w:lang w:val="sk-SK"/>
        </w:rPr>
        <w:t xml:space="preserve"> a </w:t>
      </w:r>
      <w:proofErr w:type="spellStart"/>
      <w:r w:rsidRPr="00A53B9D">
        <w:rPr>
          <w:lang w:val="sk-SK"/>
        </w:rPr>
        <w:t>hepatickú</w:t>
      </w:r>
      <w:proofErr w:type="spellEnd"/>
      <w:r w:rsidRPr="00A53B9D">
        <w:rPr>
          <w:lang w:val="sk-SK"/>
        </w:rPr>
        <w:t xml:space="preserve"> toxicitu. Neexistuje špecifické </w:t>
      </w:r>
      <w:proofErr w:type="spellStart"/>
      <w:r w:rsidRPr="00A53B9D">
        <w:rPr>
          <w:lang w:val="sk-SK"/>
        </w:rPr>
        <w:t>antidotum</w:t>
      </w:r>
      <w:proofErr w:type="spellEnd"/>
      <w:r w:rsidRPr="00A53B9D">
        <w:rPr>
          <w:lang w:val="sk-SK"/>
        </w:rPr>
        <w:t xml:space="preserve"> a liečba je symptomatická a podporná.</w:t>
      </w:r>
    </w:p>
    <w:p w:rsidR="007A6705" w:rsidRPr="004B3CC2" w:rsidRDefault="007A6705" w:rsidP="003D1CD9">
      <w:pPr>
        <w:ind w:right="-1"/>
        <w:jc w:val="both"/>
        <w:rPr>
          <w:lang w:val="sk-SK"/>
        </w:rPr>
      </w:pPr>
    </w:p>
    <w:p w:rsidR="007A6705" w:rsidRPr="004B3CC2" w:rsidRDefault="007A6705" w:rsidP="003D1CD9">
      <w:pPr>
        <w:ind w:right="-1"/>
        <w:jc w:val="both"/>
        <w:rPr>
          <w:lang w:val="sk-SK"/>
        </w:rPr>
      </w:pPr>
    </w:p>
    <w:p w:rsidR="007A6705" w:rsidRPr="00A53B9D" w:rsidRDefault="007A6705" w:rsidP="00156BB3">
      <w:pPr>
        <w:ind w:right="-1"/>
        <w:jc w:val="both"/>
        <w:rPr>
          <w:caps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5. </w:t>
      </w:r>
      <w:r w:rsidRPr="00A53B9D">
        <w:rPr>
          <w:b/>
          <w:caps/>
          <w:sz w:val="22"/>
          <w:szCs w:val="22"/>
          <w:lang w:val="sk-SK"/>
        </w:rPr>
        <w:t>Farmakologické vlastnosti</w:t>
      </w:r>
    </w:p>
    <w:p w:rsidR="007A6705" w:rsidRPr="00A53B9D" w:rsidRDefault="007A6705" w:rsidP="00156BB3">
      <w:pPr>
        <w:ind w:right="-1"/>
        <w:jc w:val="both"/>
        <w:rPr>
          <w:b/>
          <w:sz w:val="22"/>
          <w:szCs w:val="22"/>
          <w:lang w:val="sk-SK"/>
        </w:rPr>
      </w:pPr>
    </w:p>
    <w:p w:rsidR="007A6705" w:rsidRPr="004469AB" w:rsidRDefault="007A6705" w:rsidP="00156BB3">
      <w:pPr>
        <w:ind w:right="-1"/>
        <w:jc w:val="both"/>
        <w:rPr>
          <w:b/>
          <w:sz w:val="22"/>
          <w:szCs w:val="22"/>
          <w:lang w:val="sk-SK"/>
        </w:rPr>
      </w:pPr>
    </w:p>
    <w:p w:rsidR="007A6705" w:rsidRPr="00A53B9D" w:rsidRDefault="007A6705" w:rsidP="00156BB3">
      <w:pPr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5.1 </w:t>
      </w:r>
      <w:proofErr w:type="spellStart"/>
      <w:r w:rsidRPr="00A53B9D">
        <w:rPr>
          <w:b/>
          <w:sz w:val="22"/>
          <w:szCs w:val="22"/>
          <w:lang w:val="sk-SK"/>
        </w:rPr>
        <w:t>Farmakodynamické</w:t>
      </w:r>
      <w:proofErr w:type="spellEnd"/>
      <w:r w:rsidRPr="00A53B9D">
        <w:rPr>
          <w:b/>
          <w:sz w:val="22"/>
          <w:szCs w:val="22"/>
          <w:lang w:val="sk-SK"/>
        </w:rPr>
        <w:t xml:space="preserve"> vlastnosti</w:t>
      </w:r>
    </w:p>
    <w:p w:rsidR="007A6705" w:rsidRPr="00A53B9D" w:rsidRDefault="007A6705" w:rsidP="00156BB3">
      <w:pPr>
        <w:pStyle w:val="Nadpis2"/>
        <w:jc w:val="both"/>
        <w:rPr>
          <w:sz w:val="22"/>
          <w:szCs w:val="22"/>
          <w:lang w:val="sk-SK"/>
        </w:rPr>
      </w:pPr>
    </w:p>
    <w:p w:rsidR="007A6705" w:rsidRPr="00A53B9D" w:rsidRDefault="007A6705" w:rsidP="00E4230A">
      <w:pPr>
        <w:pStyle w:val="Zkladntext31"/>
        <w:rPr>
          <w:sz w:val="22"/>
          <w:szCs w:val="22"/>
          <w:u w:val="single"/>
          <w:lang w:val="sk-SK"/>
        </w:rPr>
      </w:pPr>
      <w:proofErr w:type="spellStart"/>
      <w:r w:rsidRPr="00A53B9D">
        <w:rPr>
          <w:sz w:val="22"/>
          <w:szCs w:val="22"/>
          <w:lang w:val="sk-SK"/>
        </w:rPr>
        <w:t>Farmakoterapeutická</w:t>
      </w:r>
      <w:proofErr w:type="spellEnd"/>
      <w:r w:rsidRPr="00A53B9D">
        <w:rPr>
          <w:sz w:val="22"/>
          <w:szCs w:val="22"/>
          <w:lang w:val="sk-SK"/>
        </w:rPr>
        <w:t xml:space="preserve"> skupina: </w:t>
      </w:r>
      <w:r>
        <w:rPr>
          <w:sz w:val="22"/>
          <w:szCs w:val="22"/>
          <w:lang w:val="sk-SK"/>
        </w:rPr>
        <w:t xml:space="preserve">Črevné protizápalové liečivá; </w:t>
      </w:r>
      <w:r w:rsidRPr="00A53B9D">
        <w:rPr>
          <w:sz w:val="22"/>
          <w:szCs w:val="22"/>
          <w:u w:val="single"/>
          <w:lang w:val="sk-SK"/>
        </w:rPr>
        <w:t xml:space="preserve">Kyselina </w:t>
      </w:r>
      <w:proofErr w:type="spellStart"/>
      <w:r w:rsidRPr="00A53B9D">
        <w:rPr>
          <w:rStyle w:val="Zvraznenie"/>
          <w:i w:val="0"/>
          <w:sz w:val="22"/>
          <w:szCs w:val="22"/>
          <w:u w:val="single"/>
          <w:lang w:val="sk-SK"/>
        </w:rPr>
        <w:t>aminosalicylová</w:t>
      </w:r>
      <w:proofErr w:type="spellEnd"/>
      <w:r w:rsidRPr="00A53B9D">
        <w:rPr>
          <w:sz w:val="22"/>
          <w:szCs w:val="22"/>
          <w:u w:val="single"/>
          <w:lang w:val="sk-SK"/>
        </w:rPr>
        <w:t xml:space="preserve"> a príbuzné liečivá</w:t>
      </w:r>
    </w:p>
    <w:p w:rsidR="007A6705" w:rsidRPr="00A53B9D" w:rsidRDefault="007A6705" w:rsidP="00156BB3">
      <w:pPr>
        <w:pStyle w:val="Nadpis2"/>
        <w:jc w:val="both"/>
        <w:rPr>
          <w:b w:val="0"/>
          <w:bCs/>
          <w:snapToGrid w:val="0"/>
          <w:sz w:val="22"/>
          <w:szCs w:val="22"/>
          <w:lang w:val="sk-SK" w:eastAsia="cs-CZ"/>
        </w:rPr>
      </w:pPr>
      <w:r w:rsidRPr="00A53B9D">
        <w:rPr>
          <w:b w:val="0"/>
          <w:sz w:val="22"/>
          <w:szCs w:val="22"/>
          <w:lang w:val="sk-SK"/>
        </w:rPr>
        <w:t>ATC k</w:t>
      </w:r>
      <w:r>
        <w:rPr>
          <w:b w:val="0"/>
          <w:sz w:val="22"/>
          <w:szCs w:val="22"/>
          <w:lang w:val="sk-SK"/>
        </w:rPr>
        <w:t>ód</w:t>
      </w:r>
      <w:r w:rsidRPr="00A53B9D">
        <w:rPr>
          <w:sz w:val="22"/>
          <w:szCs w:val="22"/>
          <w:lang w:val="sk-SK"/>
        </w:rPr>
        <w:t xml:space="preserve">: </w:t>
      </w:r>
      <w:r w:rsidRPr="00A53B9D">
        <w:rPr>
          <w:b w:val="0"/>
          <w:bCs/>
          <w:snapToGrid w:val="0"/>
          <w:sz w:val="22"/>
          <w:szCs w:val="22"/>
          <w:lang w:val="sk-SK" w:eastAsia="cs-CZ"/>
        </w:rPr>
        <w:t>A07EC02</w:t>
      </w:r>
    </w:p>
    <w:p w:rsidR="007A6705" w:rsidRPr="00A53B9D" w:rsidRDefault="007A6705" w:rsidP="00156BB3">
      <w:pPr>
        <w:ind w:right="-1"/>
        <w:jc w:val="both"/>
        <w:rPr>
          <w:sz w:val="22"/>
          <w:szCs w:val="22"/>
          <w:lang w:val="sk-SK"/>
        </w:rPr>
      </w:pPr>
    </w:p>
    <w:p w:rsidR="007A6705" w:rsidRPr="005E60E0" w:rsidRDefault="007A6705" w:rsidP="00156BB3">
      <w:pPr>
        <w:pStyle w:val="Zkladntext2"/>
        <w:rPr>
          <w:rFonts w:ascii="Times New Roman" w:hAnsi="Times New Roman" w:cs="Times New Roman"/>
          <w:sz w:val="22"/>
          <w:szCs w:val="22"/>
          <w:u w:val="single"/>
        </w:rPr>
      </w:pPr>
      <w:r w:rsidRPr="005E60E0">
        <w:rPr>
          <w:rFonts w:ascii="Times New Roman" w:hAnsi="Times New Roman" w:cs="Times New Roman"/>
          <w:sz w:val="22"/>
          <w:szCs w:val="22"/>
          <w:u w:val="single"/>
        </w:rPr>
        <w:t>Mechanizmus účinku</w:t>
      </w:r>
    </w:p>
    <w:p w:rsidR="007A6705" w:rsidRPr="004B3CC2" w:rsidRDefault="007A6705" w:rsidP="00156BB3">
      <w:pPr>
        <w:pStyle w:val="Zkladntext2"/>
        <w:rPr>
          <w:rFonts w:ascii="Times New Roman" w:hAnsi="Times New Roman" w:cs="Times New Roman"/>
          <w:sz w:val="22"/>
          <w:szCs w:val="22"/>
        </w:rPr>
      </w:pPr>
      <w:r w:rsidRPr="004B3CC2">
        <w:rPr>
          <w:rFonts w:ascii="Times New Roman" w:hAnsi="Times New Roman" w:cs="Times New Roman"/>
          <w:sz w:val="22"/>
          <w:szCs w:val="22"/>
        </w:rPr>
        <w:t xml:space="preserve">Mechanizmus účinku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mesalazínu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nie je ešte celkom objasnený. Výsledky štúdie </w:t>
      </w:r>
      <w:r w:rsidRPr="004B3CC2">
        <w:rPr>
          <w:rFonts w:ascii="Times New Roman" w:hAnsi="Times New Roman" w:cs="Times New Roman"/>
          <w:i/>
          <w:sz w:val="22"/>
          <w:szCs w:val="22"/>
        </w:rPr>
        <w:t xml:space="preserve">in </w:t>
      </w:r>
      <w:proofErr w:type="spellStart"/>
      <w:r w:rsidRPr="004B3CC2">
        <w:rPr>
          <w:rFonts w:ascii="Times New Roman" w:hAnsi="Times New Roman" w:cs="Times New Roman"/>
          <w:i/>
          <w:sz w:val="22"/>
          <w:szCs w:val="22"/>
        </w:rPr>
        <w:t>vitro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ukázali, že mechanizmus inhibície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lipooxygenázy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môže byť významným faktorom účinku.</w:t>
      </w:r>
    </w:p>
    <w:p w:rsidR="007A6705" w:rsidRPr="004B3CC2" w:rsidRDefault="007A6705" w:rsidP="00156BB3">
      <w:pPr>
        <w:ind w:right="-1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Bol preukázaný tiež vplyv na obsah </w:t>
      </w:r>
      <w:proofErr w:type="spellStart"/>
      <w:r w:rsidRPr="004B3CC2">
        <w:rPr>
          <w:sz w:val="22"/>
          <w:szCs w:val="22"/>
          <w:lang w:val="sk-SK"/>
        </w:rPr>
        <w:t>prostaglandínov</w:t>
      </w:r>
      <w:proofErr w:type="spellEnd"/>
      <w:r w:rsidRPr="004B3CC2">
        <w:rPr>
          <w:sz w:val="22"/>
          <w:szCs w:val="22"/>
          <w:lang w:val="sk-SK"/>
        </w:rPr>
        <w:t xml:space="preserve"> v </w:t>
      </w:r>
      <w:proofErr w:type="spellStart"/>
      <w:r w:rsidRPr="004B3CC2">
        <w:rPr>
          <w:sz w:val="22"/>
          <w:szCs w:val="22"/>
          <w:lang w:val="sk-SK"/>
        </w:rPr>
        <w:t>intestinálnej</w:t>
      </w:r>
      <w:proofErr w:type="spellEnd"/>
      <w:r w:rsidRPr="004B3CC2"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mukóze</w:t>
      </w:r>
      <w:proofErr w:type="spellEnd"/>
      <w:r w:rsidRPr="004B3CC2">
        <w:rPr>
          <w:sz w:val="22"/>
          <w:szCs w:val="22"/>
          <w:lang w:val="sk-SK"/>
        </w:rPr>
        <w:t xml:space="preserve">. </w:t>
      </w:r>
      <w:proofErr w:type="spellStart"/>
      <w:r w:rsidRPr="004B3CC2">
        <w:rPr>
          <w:sz w:val="22"/>
          <w:szCs w:val="22"/>
          <w:lang w:val="sk-SK"/>
        </w:rPr>
        <w:t>Mesalazín</w:t>
      </w:r>
      <w:proofErr w:type="spellEnd"/>
      <w:r w:rsidRPr="004B3CC2">
        <w:rPr>
          <w:sz w:val="22"/>
          <w:szCs w:val="22"/>
          <w:lang w:val="sk-SK"/>
        </w:rPr>
        <w:t xml:space="preserve"> (5-aminosalicylová kyselina / 5-ASA) tiež pôsobí ako zachytávač radikálov reaktívnych zlúčenín kyslíka.</w:t>
      </w:r>
    </w:p>
    <w:p w:rsidR="007A6705" w:rsidRPr="004B3CC2" w:rsidRDefault="007A6705" w:rsidP="00156BB3">
      <w:pPr>
        <w:pStyle w:val="Zkladntext3"/>
        <w:rPr>
          <w:rFonts w:ascii="Times New Roman" w:hAnsi="Times New Roman" w:cs="Times New Roman"/>
          <w:color w:val="auto"/>
          <w:sz w:val="22"/>
          <w:szCs w:val="22"/>
        </w:rPr>
      </w:pPr>
    </w:p>
    <w:p w:rsidR="007A6705" w:rsidRPr="004B3CC2" w:rsidRDefault="007A6705" w:rsidP="00156BB3">
      <w:pPr>
        <w:pStyle w:val="Zkladntext3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  <w:u w:val="single"/>
        </w:rPr>
        <w:t>Farmakodynamika</w:t>
      </w:r>
      <w:proofErr w:type="spellEnd"/>
    </w:p>
    <w:p w:rsidR="007A6705" w:rsidRPr="00C064BF" w:rsidRDefault="007A6705" w:rsidP="004B3CC2">
      <w:pPr>
        <w:pStyle w:val="Zkladntext3"/>
      </w:pPr>
      <w:r w:rsidRPr="004B3CC2">
        <w:rPr>
          <w:rFonts w:ascii="Times New Roman" w:hAnsi="Times New Roman" w:cs="Times New Roman"/>
          <w:color w:val="auto"/>
          <w:sz w:val="22"/>
          <w:szCs w:val="22"/>
        </w:rPr>
        <w:t xml:space="preserve">Perorálne podaný </w:t>
      </w: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</w:rPr>
        <w:t>mesalazín</w:t>
      </w:r>
      <w:proofErr w:type="spellEnd"/>
      <w:r w:rsidRPr="004B3CC2">
        <w:rPr>
          <w:rFonts w:ascii="Times New Roman" w:hAnsi="Times New Roman" w:cs="Times New Roman"/>
          <w:color w:val="auto"/>
          <w:sz w:val="22"/>
          <w:szCs w:val="22"/>
        </w:rPr>
        <w:t xml:space="preserve"> má predovšetkým lokálny účinok na </w:t>
      </w: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</w:rPr>
        <w:t>intestinálnej</w:t>
      </w:r>
      <w:proofErr w:type="spellEnd"/>
      <w:r w:rsidRPr="004B3CC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</w:rPr>
        <w:t>mukóze</w:t>
      </w:r>
      <w:proofErr w:type="spellEnd"/>
      <w:r w:rsidRPr="004B3CC2">
        <w:rPr>
          <w:rFonts w:ascii="Times New Roman" w:hAnsi="Times New Roman" w:cs="Times New Roman"/>
          <w:color w:val="auto"/>
          <w:sz w:val="22"/>
          <w:szCs w:val="22"/>
        </w:rPr>
        <w:t xml:space="preserve"> a v </w:t>
      </w: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</w:rPr>
        <w:t>podslizničnom</w:t>
      </w:r>
      <w:proofErr w:type="spellEnd"/>
      <w:r w:rsidRPr="004B3CC2">
        <w:rPr>
          <w:rFonts w:ascii="Times New Roman" w:hAnsi="Times New Roman" w:cs="Times New Roman"/>
          <w:color w:val="auto"/>
          <w:sz w:val="22"/>
          <w:szCs w:val="22"/>
        </w:rPr>
        <w:t xml:space="preserve"> tkanive z </w:t>
      </w: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</w:rPr>
        <w:t>luminálnej</w:t>
      </w:r>
      <w:proofErr w:type="spellEnd"/>
      <w:r w:rsidRPr="004B3CC2">
        <w:rPr>
          <w:rFonts w:ascii="Times New Roman" w:hAnsi="Times New Roman" w:cs="Times New Roman"/>
          <w:color w:val="auto"/>
          <w:sz w:val="22"/>
          <w:szCs w:val="22"/>
        </w:rPr>
        <w:t xml:space="preserve"> strany čreva. Preto je dôležité, aby bol </w:t>
      </w: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</w:rPr>
        <w:t>mesalazín</w:t>
      </w:r>
      <w:proofErr w:type="spellEnd"/>
      <w:r w:rsidRPr="004B3CC2">
        <w:rPr>
          <w:rFonts w:ascii="Times New Roman" w:hAnsi="Times New Roman" w:cs="Times New Roman"/>
          <w:color w:val="auto"/>
          <w:sz w:val="22"/>
          <w:szCs w:val="22"/>
        </w:rPr>
        <w:t xml:space="preserve"> dostupný v zapálených miestach tráviaceho traktu. Systémová dostupnosť a jeho plazmatická koncentrácia preto nie sú relevantné pre terapeutický účinok, ale majú význam pri posúdení bezpečnosti. Pre splnenie týchto kritérií sú granuly </w:t>
      </w: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</w:rPr>
        <w:t>Salofalk</w:t>
      </w:r>
      <w:proofErr w:type="spellEnd"/>
      <w:r w:rsidRPr="004B3CC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4B3CC2">
        <w:rPr>
          <w:rFonts w:ascii="Times New Roman" w:hAnsi="Times New Roman" w:cs="Times New Roman"/>
          <w:color w:val="auto"/>
          <w:sz w:val="22"/>
          <w:szCs w:val="22"/>
        </w:rPr>
        <w:t>granulátu</w:t>
      </w:r>
      <w:proofErr w:type="spellEnd"/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 obalené vrstvou </w:t>
      </w:r>
      <w:proofErr w:type="spellStart"/>
      <w:r w:rsidRPr="00A53B9D">
        <w:rPr>
          <w:rFonts w:ascii="Times New Roman" w:hAnsi="Times New Roman" w:cs="Times New Roman"/>
          <w:color w:val="auto"/>
          <w:sz w:val="22"/>
          <w:szCs w:val="22"/>
        </w:rPr>
        <w:t>Eudragitu</w:t>
      </w:r>
      <w:proofErr w:type="spellEnd"/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 L, ktorá zabezpečuje odolnosť voči žalúdočnej kyseline a uvoľňovanie </w:t>
      </w:r>
      <w:proofErr w:type="spellStart"/>
      <w:r w:rsidRPr="00A53B9D">
        <w:rPr>
          <w:rFonts w:ascii="Times New Roman" w:hAnsi="Times New Roman" w:cs="Times New Roman"/>
          <w:color w:val="auto"/>
          <w:sz w:val="22"/>
          <w:szCs w:val="22"/>
        </w:rPr>
        <w:t>mesalazínu</w:t>
      </w:r>
      <w:proofErr w:type="spellEnd"/>
      <w:r w:rsidRPr="00A53B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spôsobom  závislým od pH, a predĺžené uvoľňovanie je spôsobené štruktúrou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matrixu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granuly. </w:t>
      </w:r>
    </w:p>
    <w:p w:rsidR="007A6705" w:rsidRDefault="007A6705" w:rsidP="00401FC2">
      <w:pPr>
        <w:ind w:right="-1"/>
        <w:jc w:val="both"/>
        <w:rPr>
          <w:b/>
          <w:sz w:val="22"/>
          <w:szCs w:val="22"/>
          <w:lang w:val="sk-SK"/>
        </w:rPr>
      </w:pPr>
    </w:p>
    <w:p w:rsidR="007A6705" w:rsidRPr="00A53B9D" w:rsidRDefault="007A6705" w:rsidP="00401FC2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5.2 </w:t>
      </w:r>
      <w:proofErr w:type="spellStart"/>
      <w:r w:rsidRPr="00A53B9D">
        <w:rPr>
          <w:b/>
          <w:sz w:val="22"/>
          <w:szCs w:val="22"/>
          <w:lang w:val="sk-SK"/>
        </w:rPr>
        <w:t>Farmakokinetické</w:t>
      </w:r>
      <w:proofErr w:type="spellEnd"/>
      <w:r w:rsidRPr="00A53B9D">
        <w:rPr>
          <w:b/>
          <w:sz w:val="22"/>
          <w:szCs w:val="22"/>
          <w:lang w:val="sk-SK"/>
        </w:rPr>
        <w:t xml:space="preserve"> vlastnosti</w:t>
      </w:r>
    </w:p>
    <w:p w:rsidR="007A6705" w:rsidRPr="00A53B9D" w:rsidRDefault="007A6705" w:rsidP="00401FC2">
      <w:pPr>
        <w:ind w:right="-1"/>
        <w:jc w:val="both"/>
        <w:rPr>
          <w:sz w:val="22"/>
          <w:szCs w:val="22"/>
          <w:lang w:val="sk-SK"/>
        </w:rPr>
      </w:pPr>
    </w:p>
    <w:p w:rsidR="007A6705" w:rsidRPr="004469AB" w:rsidRDefault="007A6705" w:rsidP="00401FC2">
      <w:pPr>
        <w:ind w:right="-1"/>
        <w:jc w:val="both"/>
        <w:rPr>
          <w:sz w:val="22"/>
          <w:szCs w:val="22"/>
          <w:u w:val="single"/>
          <w:lang w:val="sk-SK"/>
        </w:rPr>
      </w:pPr>
      <w:r w:rsidRPr="004469AB">
        <w:rPr>
          <w:sz w:val="22"/>
          <w:szCs w:val="22"/>
          <w:u w:val="single"/>
          <w:lang w:val="sk-SK"/>
        </w:rPr>
        <w:t xml:space="preserve">Všeobecné vlastnosti </w:t>
      </w:r>
      <w:proofErr w:type="spellStart"/>
      <w:r w:rsidRPr="004469AB">
        <w:rPr>
          <w:sz w:val="22"/>
          <w:szCs w:val="22"/>
          <w:u w:val="single"/>
          <w:lang w:val="sk-SK"/>
        </w:rPr>
        <w:t>mesalazínu</w:t>
      </w:r>
      <w:proofErr w:type="spellEnd"/>
      <w:r w:rsidRPr="004469AB">
        <w:rPr>
          <w:sz w:val="22"/>
          <w:szCs w:val="22"/>
          <w:u w:val="single"/>
          <w:lang w:val="sk-SK"/>
        </w:rPr>
        <w:t>:</w:t>
      </w:r>
    </w:p>
    <w:p w:rsidR="007A6705" w:rsidRPr="00A53B9D" w:rsidRDefault="007A6705" w:rsidP="00401FC2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401FC2">
      <w:pPr>
        <w:pStyle w:val="Nadpis5"/>
        <w:rPr>
          <w:rFonts w:ascii="Times New Roman" w:hAnsi="Times New Roman" w:cs="Times New Roman"/>
          <w:sz w:val="22"/>
          <w:szCs w:val="22"/>
        </w:rPr>
      </w:pPr>
      <w:r w:rsidRPr="00A53B9D">
        <w:rPr>
          <w:rFonts w:ascii="Times New Roman" w:hAnsi="Times New Roman" w:cs="Times New Roman"/>
          <w:sz w:val="22"/>
          <w:szCs w:val="22"/>
        </w:rPr>
        <w:t>Absorpcia</w:t>
      </w:r>
    </w:p>
    <w:p w:rsidR="007A6705" w:rsidRPr="00A53B9D" w:rsidRDefault="007A6705" w:rsidP="00401FC2">
      <w:pPr>
        <w:pStyle w:val="Zkladntext2"/>
        <w:rPr>
          <w:rFonts w:ascii="Times New Roman" w:hAnsi="Times New Roman" w:cs="Times New Roman"/>
          <w:sz w:val="22"/>
          <w:szCs w:val="22"/>
        </w:rPr>
      </w:pPr>
      <w:r w:rsidRPr="00A53B9D">
        <w:rPr>
          <w:rFonts w:ascii="Times New Roman" w:hAnsi="Times New Roman" w:cs="Times New Roman"/>
          <w:sz w:val="22"/>
          <w:szCs w:val="22"/>
        </w:rPr>
        <w:t xml:space="preserve">Absorpcia </w:t>
      </w:r>
      <w:proofErr w:type="spellStart"/>
      <w:r w:rsidRPr="00A53B9D">
        <w:rPr>
          <w:rFonts w:ascii="Times New Roman" w:hAnsi="Times New Roman" w:cs="Times New Roman"/>
          <w:sz w:val="22"/>
          <w:szCs w:val="22"/>
        </w:rPr>
        <w:t>mesalazínu</w:t>
      </w:r>
      <w:proofErr w:type="spellEnd"/>
      <w:r w:rsidRPr="00A53B9D">
        <w:rPr>
          <w:rFonts w:ascii="Times New Roman" w:hAnsi="Times New Roman" w:cs="Times New Roman"/>
          <w:sz w:val="22"/>
          <w:szCs w:val="22"/>
        </w:rPr>
        <w:t xml:space="preserve"> je najvyššia v </w:t>
      </w:r>
      <w:proofErr w:type="spellStart"/>
      <w:r w:rsidRPr="00A53B9D">
        <w:rPr>
          <w:rFonts w:ascii="Times New Roman" w:hAnsi="Times New Roman" w:cs="Times New Roman"/>
          <w:sz w:val="22"/>
          <w:szCs w:val="22"/>
        </w:rPr>
        <w:t>proximálnych</w:t>
      </w:r>
      <w:proofErr w:type="spellEnd"/>
      <w:r w:rsidRPr="00A53B9D">
        <w:rPr>
          <w:rFonts w:ascii="Times New Roman" w:hAnsi="Times New Roman" w:cs="Times New Roman"/>
          <w:sz w:val="22"/>
          <w:szCs w:val="22"/>
        </w:rPr>
        <w:t xml:space="preserve"> častiach a najnižšia v </w:t>
      </w:r>
      <w:proofErr w:type="spellStart"/>
      <w:r w:rsidRPr="00A53B9D">
        <w:rPr>
          <w:rFonts w:ascii="Times New Roman" w:hAnsi="Times New Roman" w:cs="Times New Roman"/>
          <w:sz w:val="22"/>
          <w:szCs w:val="22"/>
        </w:rPr>
        <w:t>distálnych</w:t>
      </w:r>
      <w:proofErr w:type="spellEnd"/>
      <w:r w:rsidRPr="00A53B9D">
        <w:rPr>
          <w:rFonts w:ascii="Times New Roman" w:hAnsi="Times New Roman" w:cs="Times New Roman"/>
          <w:sz w:val="22"/>
          <w:szCs w:val="22"/>
        </w:rPr>
        <w:t xml:space="preserve"> častiach čreva.</w:t>
      </w:r>
    </w:p>
    <w:p w:rsidR="007A6705" w:rsidRPr="00A53B9D" w:rsidRDefault="007A6705" w:rsidP="00401FC2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401FC2">
      <w:pPr>
        <w:pStyle w:val="Nadpis5"/>
        <w:rPr>
          <w:rFonts w:ascii="Times New Roman" w:hAnsi="Times New Roman" w:cs="Times New Roman"/>
          <w:sz w:val="22"/>
          <w:szCs w:val="22"/>
        </w:rPr>
      </w:pPr>
      <w:proofErr w:type="spellStart"/>
      <w:r w:rsidRPr="00A53B9D">
        <w:rPr>
          <w:rFonts w:ascii="Times New Roman" w:hAnsi="Times New Roman" w:cs="Times New Roman"/>
          <w:sz w:val="22"/>
          <w:szCs w:val="22"/>
        </w:rPr>
        <w:t>Biotransformácia</w:t>
      </w:r>
      <w:proofErr w:type="spellEnd"/>
    </w:p>
    <w:p w:rsidR="007A6705" w:rsidRPr="00A53B9D" w:rsidRDefault="007A6705" w:rsidP="00401FC2">
      <w:pPr>
        <w:ind w:right="-1"/>
        <w:jc w:val="both"/>
        <w:rPr>
          <w:sz w:val="22"/>
          <w:szCs w:val="22"/>
          <w:lang w:val="sk-SK"/>
        </w:rPr>
      </w:pPr>
      <w:proofErr w:type="spellStart"/>
      <w:r w:rsidRPr="00A53B9D">
        <w:rPr>
          <w:sz w:val="22"/>
          <w:szCs w:val="22"/>
          <w:lang w:val="sk-SK"/>
        </w:rPr>
        <w:t>Mesalazín</w:t>
      </w:r>
      <w:proofErr w:type="spellEnd"/>
      <w:r w:rsidRPr="00A53B9D">
        <w:rPr>
          <w:sz w:val="22"/>
          <w:szCs w:val="22"/>
          <w:lang w:val="sk-SK"/>
        </w:rPr>
        <w:t xml:space="preserve"> sa metabolizuje pred vstupom do krvného obehu v </w:t>
      </w:r>
      <w:proofErr w:type="spellStart"/>
      <w:r w:rsidRPr="00A53B9D">
        <w:rPr>
          <w:sz w:val="22"/>
          <w:szCs w:val="22"/>
          <w:lang w:val="sk-SK"/>
        </w:rPr>
        <w:t>intestinálnej</w:t>
      </w:r>
      <w:proofErr w:type="spellEnd"/>
      <w:r w:rsidRPr="00A53B9D">
        <w:rPr>
          <w:sz w:val="22"/>
          <w:szCs w:val="22"/>
          <w:lang w:val="sk-SK"/>
        </w:rPr>
        <w:t xml:space="preserve"> </w:t>
      </w:r>
      <w:proofErr w:type="spellStart"/>
      <w:r w:rsidRPr="00A53B9D">
        <w:rPr>
          <w:sz w:val="22"/>
          <w:szCs w:val="22"/>
          <w:lang w:val="sk-SK"/>
        </w:rPr>
        <w:t>mukóze</w:t>
      </w:r>
      <w:proofErr w:type="spellEnd"/>
      <w:r w:rsidRPr="00A53B9D">
        <w:rPr>
          <w:sz w:val="22"/>
          <w:szCs w:val="22"/>
          <w:lang w:val="sk-SK"/>
        </w:rPr>
        <w:t xml:space="preserve"> a v pečeni na farmakologicky neaktívnu N-acetyl-5-aminosalicylovú kyselinu (N-Ac-5-ASA). </w:t>
      </w:r>
      <w:proofErr w:type="spellStart"/>
      <w:r w:rsidRPr="00A53B9D">
        <w:rPr>
          <w:sz w:val="22"/>
          <w:szCs w:val="22"/>
          <w:lang w:val="sk-SK"/>
        </w:rPr>
        <w:t>Acetylácia</w:t>
      </w:r>
      <w:proofErr w:type="spellEnd"/>
      <w:r w:rsidRPr="00A53B9D">
        <w:rPr>
          <w:sz w:val="22"/>
          <w:szCs w:val="22"/>
          <w:lang w:val="sk-SK"/>
        </w:rPr>
        <w:t xml:space="preserve"> je pravdepodobne nezávislá od </w:t>
      </w:r>
      <w:proofErr w:type="spellStart"/>
      <w:r w:rsidRPr="00A53B9D">
        <w:rPr>
          <w:sz w:val="22"/>
          <w:szCs w:val="22"/>
          <w:lang w:val="sk-SK"/>
        </w:rPr>
        <w:t>acetylátorového</w:t>
      </w:r>
      <w:proofErr w:type="spellEnd"/>
      <w:r w:rsidRPr="00A53B9D">
        <w:rPr>
          <w:sz w:val="22"/>
          <w:szCs w:val="22"/>
          <w:lang w:val="sk-SK"/>
        </w:rPr>
        <w:t xml:space="preserve"> fenotypu pacienta. Časť </w:t>
      </w:r>
      <w:proofErr w:type="spellStart"/>
      <w:r w:rsidRPr="00A53B9D">
        <w:rPr>
          <w:sz w:val="22"/>
          <w:szCs w:val="22"/>
          <w:lang w:val="sk-SK"/>
        </w:rPr>
        <w:t>mesalazínu</w:t>
      </w:r>
      <w:proofErr w:type="spellEnd"/>
      <w:r w:rsidRPr="00A53B9D">
        <w:rPr>
          <w:sz w:val="22"/>
          <w:szCs w:val="22"/>
          <w:lang w:val="sk-SK"/>
        </w:rPr>
        <w:t xml:space="preserve"> sa </w:t>
      </w:r>
      <w:proofErr w:type="spellStart"/>
      <w:r w:rsidRPr="00A53B9D">
        <w:rPr>
          <w:sz w:val="22"/>
          <w:szCs w:val="22"/>
          <w:lang w:val="sk-SK"/>
        </w:rPr>
        <w:t>acetyluje</w:t>
      </w:r>
      <w:proofErr w:type="spellEnd"/>
      <w:r w:rsidRPr="00A53B9D">
        <w:rPr>
          <w:sz w:val="22"/>
          <w:szCs w:val="22"/>
          <w:lang w:val="sk-SK"/>
        </w:rPr>
        <w:t xml:space="preserve"> baktériami v hrubom čreve. 43 % </w:t>
      </w:r>
      <w:proofErr w:type="spellStart"/>
      <w:r w:rsidRPr="00A53B9D">
        <w:rPr>
          <w:sz w:val="22"/>
          <w:szCs w:val="22"/>
          <w:lang w:val="sk-SK"/>
        </w:rPr>
        <w:t>mesalazínu</w:t>
      </w:r>
      <w:proofErr w:type="spellEnd"/>
      <w:r w:rsidRPr="00A53B9D">
        <w:rPr>
          <w:sz w:val="22"/>
          <w:szCs w:val="22"/>
          <w:lang w:val="sk-SK"/>
        </w:rPr>
        <w:t xml:space="preserve"> a 78 % N-Ac-5-ASA sa viaže na sérové bielkoviny.</w:t>
      </w:r>
    </w:p>
    <w:p w:rsidR="007A6705" w:rsidRPr="00A53B9D" w:rsidRDefault="007A6705" w:rsidP="00401FC2">
      <w:pPr>
        <w:pStyle w:val="Zkladntext2"/>
        <w:rPr>
          <w:rFonts w:ascii="Times New Roman" w:hAnsi="Times New Roman" w:cs="Times New Roman"/>
          <w:sz w:val="22"/>
          <w:szCs w:val="22"/>
        </w:rPr>
      </w:pPr>
    </w:p>
    <w:p w:rsidR="007A6705" w:rsidRPr="005E60E0" w:rsidRDefault="007A6705" w:rsidP="00401FC2">
      <w:pPr>
        <w:pStyle w:val="Zkladntext2"/>
        <w:rPr>
          <w:rFonts w:ascii="Times New Roman" w:hAnsi="Times New Roman" w:cs="Times New Roman"/>
          <w:i/>
          <w:iCs/>
          <w:sz w:val="22"/>
          <w:szCs w:val="22"/>
        </w:rPr>
      </w:pPr>
      <w:r w:rsidRPr="00A53B9D">
        <w:rPr>
          <w:rFonts w:ascii="Times New Roman" w:hAnsi="Times New Roman" w:cs="Times New Roman"/>
          <w:i/>
          <w:iCs/>
          <w:sz w:val="22"/>
          <w:szCs w:val="22"/>
        </w:rPr>
        <w:t>Eliminácia</w:t>
      </w:r>
    </w:p>
    <w:p w:rsidR="007A6705" w:rsidRPr="004B3CC2" w:rsidRDefault="007A6705" w:rsidP="00401FC2">
      <w:pPr>
        <w:ind w:right="-1"/>
        <w:jc w:val="both"/>
        <w:rPr>
          <w:sz w:val="22"/>
          <w:szCs w:val="22"/>
          <w:lang w:val="sk-SK"/>
        </w:rPr>
      </w:pPr>
      <w:proofErr w:type="spellStart"/>
      <w:r w:rsidRPr="004B3CC2">
        <w:rPr>
          <w:sz w:val="22"/>
          <w:szCs w:val="22"/>
          <w:lang w:val="sk-SK"/>
        </w:rPr>
        <w:t>Mesalazín</w:t>
      </w:r>
      <w:proofErr w:type="spellEnd"/>
      <w:r w:rsidRPr="004B3CC2">
        <w:rPr>
          <w:sz w:val="22"/>
          <w:szCs w:val="22"/>
          <w:lang w:val="sk-SK"/>
        </w:rPr>
        <w:t xml:space="preserve"> a jeho </w:t>
      </w:r>
      <w:proofErr w:type="spellStart"/>
      <w:r w:rsidRPr="004B3CC2">
        <w:rPr>
          <w:sz w:val="22"/>
          <w:szCs w:val="22"/>
          <w:lang w:val="sk-SK"/>
        </w:rPr>
        <w:t>metabolit</w:t>
      </w:r>
      <w:proofErr w:type="spellEnd"/>
      <w:r w:rsidRPr="004B3CC2">
        <w:rPr>
          <w:sz w:val="22"/>
          <w:szCs w:val="22"/>
          <w:lang w:val="sk-SK"/>
        </w:rPr>
        <w:t xml:space="preserve"> N-Ac-5-ASA sa vylučujú stolicou (hlavná časť), močom (množstvo kolíše medzi 20 a 50 % v závislosti od spôsobu podania, liekovej formy a  spôsobu vylučovania </w:t>
      </w:r>
      <w:proofErr w:type="spellStart"/>
      <w:r w:rsidRPr="004B3CC2">
        <w:rPr>
          <w:sz w:val="22"/>
          <w:szCs w:val="22"/>
          <w:lang w:val="sk-SK"/>
        </w:rPr>
        <w:t>mesalazínu</w:t>
      </w:r>
      <w:proofErr w:type="spellEnd"/>
      <w:r w:rsidRPr="004B3CC2">
        <w:rPr>
          <w:sz w:val="22"/>
          <w:szCs w:val="22"/>
          <w:lang w:val="sk-SK"/>
        </w:rPr>
        <w:t xml:space="preserve">) a žlčovými cestami (malá časť). Močom sa vylučuje predovšetkým vo forme N-Ac-5-ASA. Približne 1 % perorálne podaného </w:t>
      </w:r>
      <w:proofErr w:type="spellStart"/>
      <w:r w:rsidRPr="004B3CC2">
        <w:rPr>
          <w:sz w:val="22"/>
          <w:szCs w:val="22"/>
          <w:lang w:val="sk-SK"/>
        </w:rPr>
        <w:t>mesalazínu</w:t>
      </w:r>
      <w:proofErr w:type="spellEnd"/>
      <w:r w:rsidRPr="004B3CC2">
        <w:rPr>
          <w:sz w:val="22"/>
          <w:szCs w:val="22"/>
          <w:lang w:val="sk-SK"/>
        </w:rPr>
        <w:t xml:space="preserve"> prechádza do materského mlieka, prevažne ako N-Ac-5-ASA.</w:t>
      </w:r>
    </w:p>
    <w:p w:rsidR="007A6705" w:rsidRPr="004B3CC2" w:rsidRDefault="007A6705" w:rsidP="00401FC2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401FC2">
      <w:pPr>
        <w:pStyle w:val="Nadpis6"/>
        <w:rPr>
          <w:rFonts w:ascii="Times New Roman" w:hAnsi="Times New Roman" w:cs="Times New Roman"/>
          <w:sz w:val="22"/>
          <w:szCs w:val="22"/>
        </w:rPr>
      </w:pPr>
      <w:r w:rsidRPr="004B3CC2">
        <w:rPr>
          <w:rFonts w:ascii="Times New Roman" w:hAnsi="Times New Roman" w:cs="Times New Roman"/>
          <w:sz w:val="22"/>
          <w:szCs w:val="22"/>
        </w:rPr>
        <w:t xml:space="preserve">Špecifické vlastnosti lieku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Salofalk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granulát</w:t>
      </w:r>
      <w:proofErr w:type="spellEnd"/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sz w:val="22"/>
          <w:szCs w:val="22"/>
        </w:rPr>
      </w:pP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i/>
          <w:iCs/>
          <w:sz w:val="22"/>
          <w:szCs w:val="22"/>
        </w:rPr>
      </w:pPr>
      <w:r w:rsidRPr="004B3CC2">
        <w:rPr>
          <w:rFonts w:ascii="Times New Roman" w:hAnsi="Times New Roman" w:cs="Times New Roman"/>
          <w:i/>
          <w:iCs/>
          <w:sz w:val="22"/>
          <w:szCs w:val="22"/>
        </w:rPr>
        <w:t>Distribúcia</w:t>
      </w: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position w:val="4"/>
          <w:sz w:val="22"/>
          <w:szCs w:val="22"/>
        </w:rPr>
      </w:pPr>
      <w:r w:rsidRPr="004B3CC2">
        <w:rPr>
          <w:rFonts w:ascii="Times New Roman" w:hAnsi="Times New Roman" w:cs="Times New Roman"/>
          <w:position w:val="4"/>
          <w:sz w:val="22"/>
          <w:szCs w:val="22"/>
        </w:rPr>
        <w:t>Pretože veľkosť granúl je približne 1 mm,  premiestňovanie granúl zo žalúdka do tenkého čreva je rýchle.</w:t>
      </w: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position w:val="4"/>
          <w:sz w:val="22"/>
          <w:szCs w:val="22"/>
        </w:rPr>
      </w:pP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position w:val="4"/>
          <w:sz w:val="22"/>
          <w:szCs w:val="22"/>
        </w:rPr>
      </w:pPr>
      <w:r w:rsidRPr="004B3CC2">
        <w:rPr>
          <w:rFonts w:ascii="Times New Roman" w:hAnsi="Times New Roman" w:cs="Times New Roman"/>
          <w:position w:val="4"/>
          <w:sz w:val="22"/>
          <w:szCs w:val="22"/>
        </w:rPr>
        <w:t xml:space="preserve">Kombinovaná </w:t>
      </w:r>
      <w:proofErr w:type="spellStart"/>
      <w:r w:rsidRPr="004B3CC2">
        <w:rPr>
          <w:rFonts w:ascii="Times New Roman" w:hAnsi="Times New Roman" w:cs="Times New Roman"/>
          <w:position w:val="4"/>
          <w:sz w:val="22"/>
          <w:szCs w:val="22"/>
        </w:rPr>
        <w:t>farmakoscintigrafická</w:t>
      </w:r>
      <w:proofErr w:type="spellEnd"/>
      <w:r w:rsidRPr="004B3CC2">
        <w:rPr>
          <w:rFonts w:ascii="Times New Roman" w:hAnsi="Times New Roman" w:cs="Times New Roman"/>
          <w:position w:val="4"/>
          <w:sz w:val="22"/>
          <w:szCs w:val="22"/>
        </w:rPr>
        <w:t>/</w:t>
      </w:r>
      <w:proofErr w:type="spellStart"/>
      <w:r w:rsidRPr="004B3CC2">
        <w:rPr>
          <w:rFonts w:ascii="Times New Roman" w:hAnsi="Times New Roman" w:cs="Times New Roman"/>
          <w:position w:val="4"/>
          <w:sz w:val="22"/>
          <w:szCs w:val="22"/>
        </w:rPr>
        <w:t>farmakokinetická</w:t>
      </w:r>
      <w:proofErr w:type="spellEnd"/>
      <w:r w:rsidRPr="004B3CC2">
        <w:rPr>
          <w:rFonts w:ascii="Times New Roman" w:hAnsi="Times New Roman" w:cs="Times New Roman"/>
          <w:position w:val="4"/>
          <w:sz w:val="22"/>
          <w:szCs w:val="22"/>
        </w:rPr>
        <w:t xml:space="preserve"> štúdia na pacientoch ukázala, že granuly dosiahnu </w:t>
      </w:r>
      <w:proofErr w:type="spellStart"/>
      <w:r w:rsidRPr="004B3CC2">
        <w:rPr>
          <w:rFonts w:ascii="Times New Roman" w:hAnsi="Times New Roman" w:cs="Times New Roman"/>
          <w:position w:val="4"/>
          <w:sz w:val="22"/>
          <w:szCs w:val="22"/>
        </w:rPr>
        <w:t>ileocekálnu</w:t>
      </w:r>
      <w:proofErr w:type="spellEnd"/>
      <w:r w:rsidRPr="004B3CC2">
        <w:rPr>
          <w:rFonts w:ascii="Times New Roman" w:hAnsi="Times New Roman" w:cs="Times New Roman"/>
          <w:position w:val="4"/>
          <w:sz w:val="22"/>
          <w:szCs w:val="22"/>
        </w:rPr>
        <w:t xml:space="preserve"> oblasť približne po 3 hodinách a </w:t>
      </w:r>
      <w:proofErr w:type="spellStart"/>
      <w:r w:rsidRPr="004B3CC2">
        <w:rPr>
          <w:rFonts w:ascii="Times New Roman" w:hAnsi="Times New Roman" w:cs="Times New Roman"/>
          <w:position w:val="4"/>
          <w:sz w:val="22"/>
          <w:szCs w:val="22"/>
        </w:rPr>
        <w:t>colon</w:t>
      </w:r>
      <w:proofErr w:type="spellEnd"/>
      <w:r w:rsidRPr="004B3CC2">
        <w:rPr>
          <w:rFonts w:ascii="Times New Roman" w:hAnsi="Times New Roman" w:cs="Times New Roman"/>
          <w:position w:val="4"/>
          <w:sz w:val="22"/>
          <w:szCs w:val="22"/>
        </w:rPr>
        <w:t xml:space="preserve"> </w:t>
      </w:r>
      <w:proofErr w:type="spellStart"/>
      <w:r w:rsidRPr="004B3CC2">
        <w:rPr>
          <w:rFonts w:ascii="Times New Roman" w:hAnsi="Times New Roman" w:cs="Times New Roman"/>
          <w:position w:val="4"/>
          <w:sz w:val="22"/>
          <w:szCs w:val="22"/>
        </w:rPr>
        <w:t>ascendens</w:t>
      </w:r>
      <w:proofErr w:type="spellEnd"/>
      <w:r w:rsidRPr="004B3CC2">
        <w:rPr>
          <w:rFonts w:ascii="Times New Roman" w:hAnsi="Times New Roman" w:cs="Times New Roman"/>
          <w:position w:val="4"/>
          <w:sz w:val="22"/>
          <w:szCs w:val="22"/>
        </w:rPr>
        <w:t xml:space="preserve"> dosiahnu približne po 4 hodinách. Celkový čas prechodu tráviacim systémom je cca 20 hodín. Predpokladá sa, že približne 80 % podanej perorálnej dávky je dostupné v hrubom čreve, v esovitej časti hrubého čreva a konečníku.</w:t>
      </w: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position w:val="4"/>
          <w:sz w:val="22"/>
          <w:szCs w:val="22"/>
        </w:rPr>
      </w:pP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i/>
          <w:iCs/>
          <w:sz w:val="22"/>
          <w:szCs w:val="22"/>
        </w:rPr>
      </w:pPr>
      <w:r w:rsidRPr="004B3CC2">
        <w:rPr>
          <w:rFonts w:ascii="Times New Roman" w:hAnsi="Times New Roman" w:cs="Times New Roman"/>
          <w:i/>
          <w:iCs/>
          <w:sz w:val="22"/>
          <w:szCs w:val="22"/>
        </w:rPr>
        <w:t>Absorpcia</w:t>
      </w: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sz w:val="22"/>
          <w:szCs w:val="22"/>
        </w:rPr>
      </w:pPr>
      <w:r w:rsidRPr="004B3CC2">
        <w:rPr>
          <w:rFonts w:ascii="Times New Roman" w:hAnsi="Times New Roman" w:cs="Times New Roman"/>
          <w:sz w:val="22"/>
          <w:szCs w:val="22"/>
        </w:rPr>
        <w:lastRenderedPageBreak/>
        <w:t xml:space="preserve">Uvoľňovanie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mesalazínu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zo 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Salofalk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granulátu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začína po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lag-fáze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, ktorá trvá približne 2-3 hodiny. Maximálne plazmatické koncentrácie dosiahne po asi 4-5 hodinách. Systémová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biodostupnosť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mesalazínu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po perorálnom podaní je približne 15-25 %.</w:t>
      </w: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sz w:val="22"/>
          <w:szCs w:val="22"/>
        </w:rPr>
      </w:pP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sz w:val="22"/>
          <w:szCs w:val="22"/>
        </w:rPr>
      </w:pPr>
      <w:r w:rsidRPr="004B3CC2">
        <w:rPr>
          <w:rFonts w:ascii="Times New Roman" w:hAnsi="Times New Roman" w:cs="Times New Roman"/>
          <w:sz w:val="22"/>
          <w:szCs w:val="22"/>
        </w:rPr>
        <w:t xml:space="preserve">Príjem potravy spomalí absorpciu o 1 až 2 hodiny, ale nemá vplyv na intenzitu a rozsah absorpcie.   </w:t>
      </w: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sz w:val="22"/>
          <w:szCs w:val="22"/>
        </w:rPr>
      </w:pP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i/>
          <w:iCs/>
          <w:sz w:val="22"/>
          <w:szCs w:val="22"/>
        </w:rPr>
      </w:pPr>
      <w:r w:rsidRPr="004B3CC2">
        <w:rPr>
          <w:rFonts w:ascii="Times New Roman" w:hAnsi="Times New Roman" w:cs="Times New Roman"/>
          <w:i/>
          <w:iCs/>
          <w:sz w:val="22"/>
          <w:szCs w:val="22"/>
        </w:rPr>
        <w:t>Eliminácia</w:t>
      </w:r>
    </w:p>
    <w:p w:rsidR="007A6705" w:rsidRPr="004B3CC2" w:rsidRDefault="007A6705" w:rsidP="00401FC2">
      <w:pPr>
        <w:pStyle w:val="Zkladntext2"/>
        <w:rPr>
          <w:rFonts w:ascii="Times New Roman" w:hAnsi="Times New Roman" w:cs="Times New Roman"/>
          <w:sz w:val="22"/>
          <w:szCs w:val="22"/>
        </w:rPr>
      </w:pPr>
      <w:proofErr w:type="spellStart"/>
      <w:r w:rsidRPr="004B3CC2">
        <w:rPr>
          <w:rFonts w:ascii="Times New Roman" w:hAnsi="Times New Roman" w:cs="Times New Roman"/>
          <w:sz w:val="22"/>
          <w:szCs w:val="22"/>
        </w:rPr>
        <w:t>Renálna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rýchlosť eliminácie pre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mesalazín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a N-Ac-5-ASA po podaní dávky 3 x 500 mg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mesalazínu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denne bola pri rovnovážnych podmienkach približne 25 %. Nezmetabolizovaný vylúčený </w:t>
      </w:r>
      <w:proofErr w:type="spellStart"/>
      <w:r w:rsidRPr="004B3CC2">
        <w:rPr>
          <w:rFonts w:ascii="Times New Roman" w:hAnsi="Times New Roman" w:cs="Times New Roman"/>
          <w:sz w:val="22"/>
          <w:szCs w:val="22"/>
        </w:rPr>
        <w:t>mesalazín</w:t>
      </w:r>
      <w:proofErr w:type="spellEnd"/>
      <w:r w:rsidRPr="004B3CC2">
        <w:rPr>
          <w:rFonts w:ascii="Times New Roman" w:hAnsi="Times New Roman" w:cs="Times New Roman"/>
          <w:sz w:val="22"/>
          <w:szCs w:val="22"/>
        </w:rPr>
        <w:t xml:space="preserve"> po perorálnom podaní tvoril menej než 1 %. Polčas eliminácie v tejto štúdii bol 4,4 hodín.</w:t>
      </w:r>
    </w:p>
    <w:p w:rsidR="007A6705" w:rsidRPr="004B3CC2" w:rsidRDefault="007A6705" w:rsidP="00401FC2">
      <w:pPr>
        <w:ind w:right="-1"/>
        <w:jc w:val="both"/>
        <w:rPr>
          <w:sz w:val="22"/>
          <w:szCs w:val="22"/>
          <w:u w:val="single"/>
          <w:lang w:val="sk-SK"/>
        </w:rPr>
      </w:pPr>
    </w:p>
    <w:p w:rsidR="007A6705" w:rsidRPr="004B3CC2" w:rsidRDefault="007A6705" w:rsidP="003D1CD9">
      <w:pPr>
        <w:ind w:right="-1"/>
        <w:jc w:val="both"/>
        <w:rPr>
          <w:lang w:val="sk-SK"/>
        </w:rPr>
      </w:pPr>
    </w:p>
    <w:p w:rsidR="007A6705" w:rsidRPr="00A53B9D" w:rsidRDefault="007A6705" w:rsidP="00F91606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5.3 Predklinické údaje o bezpečnosti</w:t>
      </w:r>
    </w:p>
    <w:p w:rsidR="007A6705" w:rsidRPr="00A53B9D" w:rsidRDefault="007A6705" w:rsidP="00F91606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F91606">
      <w:pPr>
        <w:ind w:right="-1"/>
        <w:jc w:val="both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 xml:space="preserve">Predklinické údaje získané </w:t>
      </w:r>
      <w:r w:rsidRPr="004B3CC2">
        <w:rPr>
          <w:sz w:val="22"/>
          <w:szCs w:val="22"/>
          <w:lang w:val="sk-SK"/>
        </w:rPr>
        <w:t xml:space="preserve">na základe obvyklých </w:t>
      </w:r>
      <w:r w:rsidRPr="004B3CC2">
        <w:rPr>
          <w:noProof/>
          <w:sz w:val="22"/>
          <w:szCs w:val="22"/>
          <w:lang w:val="sk-SK"/>
        </w:rPr>
        <w:t>farmakologických</w:t>
      </w:r>
      <w:r w:rsidRPr="004B3CC2">
        <w:rPr>
          <w:sz w:val="22"/>
          <w:szCs w:val="22"/>
          <w:lang w:val="sk-SK"/>
        </w:rPr>
        <w:t xml:space="preserve"> štúdií bezpečnosti</w:t>
      </w:r>
      <w:r w:rsidRPr="00A53B9D">
        <w:rPr>
          <w:sz w:val="22"/>
          <w:szCs w:val="22"/>
          <w:lang w:val="sk-SK"/>
        </w:rPr>
        <w:t xml:space="preserve">, </w:t>
      </w:r>
      <w:proofErr w:type="spellStart"/>
      <w:r w:rsidRPr="00A53B9D">
        <w:rPr>
          <w:sz w:val="22"/>
          <w:szCs w:val="22"/>
          <w:lang w:val="sk-SK"/>
        </w:rPr>
        <w:t>genotoxicity</w:t>
      </w:r>
      <w:proofErr w:type="spellEnd"/>
      <w:r w:rsidRPr="00A53B9D">
        <w:rPr>
          <w:sz w:val="22"/>
          <w:szCs w:val="22"/>
          <w:lang w:val="sk-SK"/>
        </w:rPr>
        <w:t>, karcinogenity (potkan) alebo reprodukčnej toxicity nepreukázali žiadne osobitné riziko pre ľudí.</w:t>
      </w:r>
    </w:p>
    <w:p w:rsidR="007A6705" w:rsidRPr="004469AB" w:rsidRDefault="007A6705" w:rsidP="00F91606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F91606">
      <w:pPr>
        <w:ind w:right="-1"/>
        <w:jc w:val="both"/>
        <w:rPr>
          <w:sz w:val="22"/>
          <w:szCs w:val="22"/>
          <w:lang w:val="sk-SK"/>
        </w:rPr>
      </w:pPr>
      <w:proofErr w:type="spellStart"/>
      <w:r w:rsidRPr="00A53B9D">
        <w:rPr>
          <w:sz w:val="22"/>
          <w:szCs w:val="22"/>
          <w:lang w:val="sk-SK"/>
        </w:rPr>
        <w:t>Renálna</w:t>
      </w:r>
      <w:proofErr w:type="spellEnd"/>
      <w:r w:rsidRPr="00A53B9D">
        <w:rPr>
          <w:sz w:val="22"/>
          <w:szCs w:val="22"/>
          <w:lang w:val="sk-SK"/>
        </w:rPr>
        <w:t xml:space="preserve"> toxicita (</w:t>
      </w:r>
      <w:proofErr w:type="spellStart"/>
      <w:r w:rsidRPr="00A53B9D">
        <w:rPr>
          <w:sz w:val="22"/>
          <w:szCs w:val="22"/>
          <w:lang w:val="sk-SK"/>
        </w:rPr>
        <w:t>renálna</w:t>
      </w:r>
      <w:proofErr w:type="spellEnd"/>
      <w:r w:rsidRPr="00A53B9D">
        <w:rPr>
          <w:sz w:val="22"/>
          <w:szCs w:val="22"/>
          <w:lang w:val="sk-SK"/>
        </w:rPr>
        <w:t xml:space="preserve"> </w:t>
      </w:r>
      <w:proofErr w:type="spellStart"/>
      <w:r w:rsidRPr="00A53B9D">
        <w:rPr>
          <w:sz w:val="22"/>
          <w:szCs w:val="22"/>
          <w:lang w:val="sk-SK"/>
        </w:rPr>
        <w:t>nekróza</w:t>
      </w:r>
      <w:proofErr w:type="spellEnd"/>
      <w:r w:rsidRPr="00A53B9D">
        <w:rPr>
          <w:sz w:val="22"/>
          <w:szCs w:val="22"/>
          <w:lang w:val="sk-SK"/>
        </w:rPr>
        <w:t xml:space="preserve"> a poškodenie epitelu </w:t>
      </w:r>
      <w:proofErr w:type="spellStart"/>
      <w:r w:rsidRPr="00A53B9D">
        <w:rPr>
          <w:sz w:val="22"/>
          <w:szCs w:val="22"/>
          <w:lang w:val="sk-SK"/>
        </w:rPr>
        <w:t>proximálnych</w:t>
      </w:r>
      <w:proofErr w:type="spellEnd"/>
      <w:r w:rsidRPr="00A53B9D">
        <w:rPr>
          <w:sz w:val="22"/>
          <w:szCs w:val="22"/>
          <w:lang w:val="sk-SK"/>
        </w:rPr>
        <w:t xml:space="preserve"> </w:t>
      </w:r>
      <w:proofErr w:type="spellStart"/>
      <w:r w:rsidRPr="00A53B9D">
        <w:rPr>
          <w:sz w:val="22"/>
          <w:szCs w:val="22"/>
          <w:lang w:val="sk-SK"/>
        </w:rPr>
        <w:t>tubulov</w:t>
      </w:r>
      <w:proofErr w:type="spellEnd"/>
      <w:r w:rsidRPr="00A53B9D">
        <w:rPr>
          <w:sz w:val="22"/>
          <w:szCs w:val="22"/>
          <w:lang w:val="sk-SK"/>
        </w:rPr>
        <w:t xml:space="preserve"> alebo celých </w:t>
      </w:r>
      <w:proofErr w:type="spellStart"/>
      <w:r w:rsidRPr="00A53B9D">
        <w:rPr>
          <w:sz w:val="22"/>
          <w:szCs w:val="22"/>
          <w:lang w:val="sk-SK"/>
        </w:rPr>
        <w:t>nefrónov</w:t>
      </w:r>
      <w:proofErr w:type="spellEnd"/>
      <w:r w:rsidRPr="00A53B9D">
        <w:rPr>
          <w:sz w:val="22"/>
          <w:szCs w:val="22"/>
          <w:lang w:val="sk-SK"/>
        </w:rPr>
        <w:t xml:space="preserve">) bola pozorovaná v štúdiách na toxicitu po opakovanom podaní vysokých dávok </w:t>
      </w:r>
      <w:proofErr w:type="spellStart"/>
      <w:r w:rsidRPr="00A53B9D">
        <w:rPr>
          <w:sz w:val="22"/>
          <w:szCs w:val="22"/>
          <w:lang w:val="sk-SK"/>
        </w:rPr>
        <w:t>mesalazínu</w:t>
      </w:r>
      <w:proofErr w:type="spellEnd"/>
      <w:r w:rsidRPr="00A53B9D">
        <w:rPr>
          <w:sz w:val="22"/>
          <w:szCs w:val="22"/>
          <w:lang w:val="sk-SK"/>
        </w:rPr>
        <w:t xml:space="preserve"> </w:t>
      </w:r>
      <w:proofErr w:type="spellStart"/>
      <w:r w:rsidRPr="00A53B9D">
        <w:rPr>
          <w:sz w:val="22"/>
          <w:szCs w:val="22"/>
          <w:lang w:val="sk-SK"/>
        </w:rPr>
        <w:t>p.o</w:t>
      </w:r>
      <w:proofErr w:type="spellEnd"/>
      <w:r w:rsidRPr="00A53B9D">
        <w:rPr>
          <w:sz w:val="22"/>
          <w:szCs w:val="22"/>
          <w:lang w:val="sk-SK"/>
        </w:rPr>
        <w:t>. Klinická významnosť týchto zistení nie je známa.</w:t>
      </w:r>
    </w:p>
    <w:p w:rsidR="007A6705" w:rsidRPr="00A53B9D" w:rsidRDefault="007A6705" w:rsidP="00F91606">
      <w:pPr>
        <w:ind w:right="-1"/>
        <w:jc w:val="both"/>
        <w:rPr>
          <w:sz w:val="22"/>
          <w:szCs w:val="22"/>
          <w:u w:val="single"/>
          <w:lang w:val="sk-SK"/>
        </w:rPr>
      </w:pPr>
    </w:p>
    <w:p w:rsidR="007A6705" w:rsidRPr="004B3CC2" w:rsidRDefault="007A6705" w:rsidP="003D1CD9">
      <w:pPr>
        <w:ind w:right="-1"/>
        <w:jc w:val="both"/>
        <w:rPr>
          <w:lang w:val="sk-SK"/>
        </w:rPr>
      </w:pP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6. </w:t>
      </w:r>
      <w:r w:rsidRPr="00A53B9D">
        <w:rPr>
          <w:b/>
          <w:caps/>
          <w:sz w:val="22"/>
          <w:szCs w:val="22"/>
          <w:lang w:val="sk-SK"/>
        </w:rPr>
        <w:t>Farmaceutické informácie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4469AB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4469AB">
        <w:rPr>
          <w:b/>
          <w:sz w:val="22"/>
          <w:szCs w:val="22"/>
          <w:lang w:val="sk-SK"/>
        </w:rPr>
        <w:t>6.1 Zoznam pomocných látok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proofErr w:type="spellStart"/>
      <w:r w:rsidRPr="004B3CC2">
        <w:rPr>
          <w:lang w:val="sk-SK"/>
        </w:rPr>
        <w:t>aspartám</w:t>
      </w:r>
      <w:proofErr w:type="spellEnd"/>
      <w:r w:rsidRPr="004B3CC2">
        <w:rPr>
          <w:lang w:val="sk-SK"/>
        </w:rPr>
        <w:t xml:space="preserve"> (E 951)</w:t>
      </w: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r w:rsidRPr="004B3CC2">
        <w:rPr>
          <w:lang w:val="sk-SK"/>
        </w:rPr>
        <w:t xml:space="preserve">sodná soľ </w:t>
      </w:r>
      <w:proofErr w:type="spellStart"/>
      <w:r w:rsidRPr="004B3CC2">
        <w:rPr>
          <w:lang w:val="sk-SK"/>
        </w:rPr>
        <w:t>karmelózy</w:t>
      </w:r>
      <w:proofErr w:type="spellEnd"/>
      <w:r w:rsidRPr="004B3CC2">
        <w:rPr>
          <w:lang w:val="sk-SK"/>
        </w:rPr>
        <w:t xml:space="preserve"> </w:t>
      </w: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r w:rsidRPr="004B3CC2">
        <w:rPr>
          <w:lang w:val="sk-SK"/>
        </w:rPr>
        <w:t xml:space="preserve">mikrokryštalická celulóza </w:t>
      </w:r>
    </w:p>
    <w:p w:rsidR="007A6705" w:rsidRPr="004B3CC2" w:rsidRDefault="007A6705" w:rsidP="008E7120">
      <w:pPr>
        <w:pStyle w:val="Zoznam2"/>
        <w:ind w:hanging="566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             kyselina citrónová bezvodná (na úpravu pH)</w:t>
      </w: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proofErr w:type="spellStart"/>
      <w:r w:rsidRPr="004B3CC2">
        <w:rPr>
          <w:lang w:val="sk-SK"/>
        </w:rPr>
        <w:t>hypromelóza</w:t>
      </w:r>
      <w:proofErr w:type="spellEnd"/>
    </w:p>
    <w:p w:rsidR="007A6705" w:rsidRPr="004B3CC2" w:rsidRDefault="007A6705" w:rsidP="000F7CDF">
      <w:pPr>
        <w:pStyle w:val="Zoznam2"/>
        <w:ind w:hanging="566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             </w:t>
      </w:r>
      <w:proofErr w:type="spellStart"/>
      <w:r w:rsidRPr="004B3CC2">
        <w:rPr>
          <w:sz w:val="22"/>
          <w:szCs w:val="22"/>
          <w:lang w:val="sk-SK"/>
        </w:rPr>
        <w:t>magn</w:t>
      </w:r>
      <w:r>
        <w:rPr>
          <w:sz w:val="22"/>
          <w:szCs w:val="22"/>
          <w:lang w:val="sk-SK"/>
        </w:rPr>
        <w:t>é</w:t>
      </w:r>
      <w:r w:rsidRPr="004B3CC2">
        <w:rPr>
          <w:sz w:val="22"/>
          <w:szCs w:val="22"/>
          <w:lang w:val="sk-SK"/>
        </w:rPr>
        <w:t>ziumstearát</w:t>
      </w:r>
      <w:proofErr w:type="spellEnd"/>
    </w:p>
    <w:p w:rsidR="007A6705" w:rsidRPr="004B3CC2" w:rsidRDefault="007A6705" w:rsidP="00882C5D">
      <w:pPr>
        <w:pStyle w:val="Zoznam2"/>
        <w:ind w:hanging="566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             </w:t>
      </w:r>
      <w:proofErr w:type="spellStart"/>
      <w:r w:rsidRPr="004B3CC2">
        <w:rPr>
          <w:sz w:val="22"/>
          <w:szCs w:val="22"/>
          <w:lang w:val="sk-SK"/>
        </w:rPr>
        <w:t>kopolymér</w:t>
      </w:r>
      <w:proofErr w:type="spellEnd"/>
      <w:r w:rsidRPr="004B3CC2">
        <w:rPr>
          <w:sz w:val="22"/>
          <w:szCs w:val="22"/>
          <w:lang w:val="sk-SK"/>
        </w:rPr>
        <w:t xml:space="preserve">  kyseliny </w:t>
      </w:r>
      <w:proofErr w:type="spellStart"/>
      <w:r w:rsidRPr="004B3CC2">
        <w:rPr>
          <w:sz w:val="22"/>
          <w:szCs w:val="22"/>
          <w:lang w:val="sk-SK"/>
        </w:rPr>
        <w:t>metakrylovej</w:t>
      </w:r>
      <w:proofErr w:type="spellEnd"/>
      <w:r w:rsidRPr="004B3CC2">
        <w:rPr>
          <w:sz w:val="22"/>
          <w:szCs w:val="22"/>
          <w:lang w:val="sk-SK"/>
        </w:rPr>
        <w:t xml:space="preserve"> a </w:t>
      </w:r>
      <w:proofErr w:type="spellStart"/>
      <w:r w:rsidRPr="004B3CC2">
        <w:rPr>
          <w:sz w:val="22"/>
          <w:szCs w:val="22"/>
          <w:lang w:val="sk-SK"/>
        </w:rPr>
        <w:t>metylmetakrylátu</w:t>
      </w:r>
      <w:proofErr w:type="spellEnd"/>
      <w:r w:rsidRPr="004B3CC2">
        <w:rPr>
          <w:sz w:val="22"/>
          <w:szCs w:val="22"/>
          <w:lang w:val="sk-SK"/>
        </w:rPr>
        <w:t xml:space="preserve">  (1:1) (</w:t>
      </w:r>
      <w:proofErr w:type="spellStart"/>
      <w:r w:rsidRPr="004B3CC2">
        <w:rPr>
          <w:sz w:val="22"/>
          <w:szCs w:val="22"/>
          <w:lang w:val="sk-SK"/>
        </w:rPr>
        <w:t>Eudragit</w:t>
      </w:r>
      <w:proofErr w:type="spellEnd"/>
      <w:r w:rsidRPr="004B3CC2">
        <w:rPr>
          <w:sz w:val="22"/>
          <w:szCs w:val="22"/>
          <w:lang w:val="sk-SK"/>
        </w:rPr>
        <w:t xml:space="preserve"> L 100)</w:t>
      </w: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proofErr w:type="spellStart"/>
      <w:r w:rsidRPr="004B3CC2">
        <w:rPr>
          <w:lang w:val="sk-SK"/>
        </w:rPr>
        <w:t>metylcelulóza</w:t>
      </w:r>
      <w:proofErr w:type="spellEnd"/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proofErr w:type="spellStart"/>
      <w:r w:rsidRPr="004B3CC2">
        <w:rPr>
          <w:lang w:val="sk-SK"/>
        </w:rPr>
        <w:t>polyakrylátová</w:t>
      </w:r>
      <w:proofErr w:type="spellEnd"/>
      <w:r w:rsidRPr="004B3CC2">
        <w:rPr>
          <w:lang w:val="sk-SK"/>
        </w:rPr>
        <w:t xml:space="preserve">  disperzia 40 % (</w:t>
      </w:r>
      <w:proofErr w:type="spellStart"/>
      <w:r w:rsidRPr="004B3CC2">
        <w:rPr>
          <w:lang w:val="sk-SK"/>
        </w:rPr>
        <w:t>Eudragit</w:t>
      </w:r>
      <w:proofErr w:type="spellEnd"/>
      <w:r w:rsidRPr="004B3CC2">
        <w:rPr>
          <w:lang w:val="sk-SK"/>
        </w:rPr>
        <w:t xml:space="preserve"> NE 40 D obsahujúci 2 % </w:t>
      </w:r>
      <w:proofErr w:type="spellStart"/>
      <w:r w:rsidRPr="004B3CC2">
        <w:rPr>
          <w:lang w:val="sk-SK"/>
        </w:rPr>
        <w:t>Nonoxynol</w:t>
      </w:r>
      <w:proofErr w:type="spellEnd"/>
      <w:r w:rsidRPr="004B3CC2">
        <w:rPr>
          <w:lang w:val="sk-SK"/>
        </w:rPr>
        <w:t xml:space="preserve"> 100)</w:t>
      </w: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proofErr w:type="spellStart"/>
      <w:r w:rsidRPr="004B3CC2">
        <w:rPr>
          <w:lang w:val="sk-SK"/>
        </w:rPr>
        <w:t>povidón</w:t>
      </w:r>
      <w:proofErr w:type="spellEnd"/>
      <w:r w:rsidRPr="004B3CC2">
        <w:rPr>
          <w:lang w:val="sk-SK"/>
        </w:rPr>
        <w:t xml:space="preserve"> K 25</w:t>
      </w: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r w:rsidRPr="004B3CC2">
        <w:rPr>
          <w:lang w:val="sk-SK"/>
        </w:rPr>
        <w:t>bezvodý koloidný oxid kremičitý</w:t>
      </w: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proofErr w:type="spellStart"/>
      <w:r w:rsidRPr="004B3CC2">
        <w:rPr>
          <w:lang w:val="sk-SK"/>
        </w:rPr>
        <w:t>simetikón</w:t>
      </w:r>
      <w:proofErr w:type="spellEnd"/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r w:rsidRPr="004B3CC2">
        <w:rPr>
          <w:lang w:val="sk-SK"/>
        </w:rPr>
        <w:t xml:space="preserve">kyselina </w:t>
      </w:r>
      <w:proofErr w:type="spellStart"/>
      <w:r w:rsidRPr="004B3CC2">
        <w:rPr>
          <w:lang w:val="sk-SK"/>
        </w:rPr>
        <w:t>sorbová</w:t>
      </w:r>
      <w:proofErr w:type="spellEnd"/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r w:rsidRPr="004B3CC2">
        <w:rPr>
          <w:lang w:val="sk-SK"/>
        </w:rPr>
        <w:t>mastenec</w:t>
      </w:r>
    </w:p>
    <w:p w:rsidR="007A6705" w:rsidRPr="004B3CC2" w:rsidRDefault="007A6705" w:rsidP="006416B9">
      <w:pPr>
        <w:pStyle w:val="Normlnysozarkami"/>
        <w:spacing w:after="0"/>
        <w:rPr>
          <w:lang w:val="sk-SK"/>
        </w:rPr>
      </w:pPr>
      <w:r w:rsidRPr="004B3CC2">
        <w:rPr>
          <w:lang w:val="sk-SK"/>
        </w:rPr>
        <w:t xml:space="preserve">oxid </w:t>
      </w:r>
      <w:proofErr w:type="spellStart"/>
      <w:r w:rsidRPr="004B3CC2">
        <w:rPr>
          <w:lang w:val="sk-SK"/>
        </w:rPr>
        <w:t>titaničitý</w:t>
      </w:r>
      <w:proofErr w:type="spellEnd"/>
      <w:r w:rsidRPr="004B3CC2">
        <w:rPr>
          <w:lang w:val="sk-SK"/>
        </w:rPr>
        <w:t xml:space="preserve"> (E 171)</w:t>
      </w:r>
    </w:p>
    <w:p w:rsidR="007A6705" w:rsidRPr="004B3CC2" w:rsidRDefault="007A6705" w:rsidP="00574892">
      <w:pPr>
        <w:tabs>
          <w:tab w:val="left" w:pos="426"/>
        </w:tabs>
        <w:ind w:left="566" w:hanging="566"/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            </w:t>
      </w:r>
      <w:r>
        <w:rPr>
          <w:sz w:val="22"/>
          <w:szCs w:val="22"/>
          <w:lang w:val="sk-SK"/>
        </w:rPr>
        <w:t xml:space="preserve"> </w:t>
      </w:r>
      <w:proofErr w:type="spellStart"/>
      <w:r w:rsidRPr="004B3CC2">
        <w:rPr>
          <w:sz w:val="22"/>
          <w:szCs w:val="22"/>
          <w:lang w:val="sk-SK"/>
        </w:rPr>
        <w:t>trietylcitrát</w:t>
      </w:r>
      <w:proofErr w:type="spellEnd"/>
    </w:p>
    <w:p w:rsidR="007A6705" w:rsidRPr="004B3CC2" w:rsidRDefault="007A6705" w:rsidP="009F66F8">
      <w:pPr>
        <w:pStyle w:val="Normlnysozarkami"/>
        <w:spacing w:after="0"/>
        <w:rPr>
          <w:lang w:val="sk-SK"/>
        </w:rPr>
      </w:pPr>
      <w:r w:rsidRPr="004B3CC2">
        <w:rPr>
          <w:lang w:val="sk-SK"/>
        </w:rPr>
        <w:t>aróma vanilkového krému (obsahuje sacharózu)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u w:val="single"/>
          <w:lang w:val="sk-SK"/>
        </w:rPr>
      </w:pPr>
    </w:p>
    <w:p w:rsidR="007A6705" w:rsidRPr="004469AB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4469AB">
        <w:rPr>
          <w:b/>
          <w:sz w:val="22"/>
          <w:szCs w:val="22"/>
          <w:lang w:val="sk-SK"/>
        </w:rPr>
        <w:t>6.2 Inkompatibility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>Neaplikovateľné.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6.3 Čas použiteľnosti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Default="007A6705" w:rsidP="00C6733B">
      <w:pPr>
        <w:ind w:right="-1"/>
        <w:jc w:val="both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 xml:space="preserve">4 roky 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4469AB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4469AB">
        <w:rPr>
          <w:b/>
          <w:sz w:val="22"/>
          <w:szCs w:val="22"/>
          <w:lang w:val="sk-SK"/>
        </w:rPr>
        <w:t>6.4 Špeciálne upozornenia na uchovávanie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 xml:space="preserve">Tento liek nevyžaduje žiadne zvláštne požiadavky na uchovávanie. </w:t>
      </w: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6.5 Druh obalu a obsah balenia</w:t>
      </w:r>
    </w:p>
    <w:p w:rsidR="007A6705" w:rsidRPr="004B3CC2" w:rsidRDefault="007A6705" w:rsidP="00DA75FD">
      <w:pPr>
        <w:pStyle w:val="Normlnysozarkami"/>
        <w:spacing w:after="0"/>
        <w:ind w:left="0"/>
        <w:rPr>
          <w:lang w:val="sk-SK"/>
        </w:rPr>
      </w:pPr>
    </w:p>
    <w:p w:rsidR="007A6705" w:rsidRPr="004B3CC2" w:rsidRDefault="007A6705" w:rsidP="00DA75FD">
      <w:pPr>
        <w:pStyle w:val="Normlnysozarkami"/>
        <w:spacing w:after="0"/>
        <w:ind w:left="0"/>
        <w:rPr>
          <w:lang w:val="sk-SK"/>
        </w:rPr>
      </w:pPr>
      <w:r w:rsidRPr="004B3CC2">
        <w:rPr>
          <w:lang w:val="sk-SK"/>
        </w:rPr>
        <w:t>Vrecko:  fólia PES/</w:t>
      </w:r>
      <w:proofErr w:type="spellStart"/>
      <w:r w:rsidRPr="004B3CC2">
        <w:rPr>
          <w:lang w:val="sk-SK"/>
        </w:rPr>
        <w:t>Al</w:t>
      </w:r>
      <w:proofErr w:type="spellEnd"/>
      <w:r w:rsidRPr="004B3CC2">
        <w:rPr>
          <w:lang w:val="sk-SK"/>
        </w:rPr>
        <w:t>/PE.</w:t>
      </w:r>
    </w:p>
    <w:p w:rsidR="007A6705" w:rsidRPr="004B3CC2" w:rsidRDefault="007A6705" w:rsidP="00DA75FD">
      <w:pPr>
        <w:pStyle w:val="Normlnysozarkami"/>
        <w:spacing w:after="0"/>
        <w:ind w:left="0"/>
        <w:rPr>
          <w:lang w:val="sk-SK"/>
        </w:rPr>
      </w:pPr>
    </w:p>
    <w:p w:rsidR="007A6705" w:rsidRPr="004B3CC2" w:rsidRDefault="007A6705" w:rsidP="00DA75FD">
      <w:pPr>
        <w:pStyle w:val="Normlnysozarkami"/>
        <w:spacing w:after="0"/>
        <w:ind w:left="0"/>
        <w:rPr>
          <w:lang w:val="sk-SK"/>
        </w:rPr>
      </w:pPr>
      <w:r w:rsidRPr="004B3CC2">
        <w:rPr>
          <w:lang w:val="sk-SK"/>
        </w:rPr>
        <w:t xml:space="preserve">Jedno vrecko </w:t>
      </w:r>
      <w:proofErr w:type="spellStart"/>
      <w:r w:rsidRPr="004B3CC2">
        <w:rPr>
          <w:lang w:val="sk-SK"/>
        </w:rPr>
        <w:t>Salofalku</w:t>
      </w:r>
      <w:proofErr w:type="spellEnd"/>
      <w:r w:rsidRPr="004B3CC2">
        <w:rPr>
          <w:lang w:val="sk-SK"/>
        </w:rPr>
        <w:t xml:space="preserve"> 500 mg </w:t>
      </w:r>
      <w:proofErr w:type="spellStart"/>
      <w:r w:rsidRPr="004B3CC2">
        <w:rPr>
          <w:lang w:val="sk-SK"/>
        </w:rPr>
        <w:t>granulátu</w:t>
      </w:r>
      <w:proofErr w:type="spellEnd"/>
      <w:r w:rsidRPr="004B3CC2">
        <w:rPr>
          <w:lang w:val="sk-SK"/>
        </w:rPr>
        <w:t xml:space="preserve"> obsahuje 0,93 g </w:t>
      </w:r>
      <w:proofErr w:type="spellStart"/>
      <w:r w:rsidRPr="004B3CC2">
        <w:rPr>
          <w:lang w:val="sk-SK"/>
        </w:rPr>
        <w:t>granulátu</w:t>
      </w:r>
      <w:proofErr w:type="spellEnd"/>
      <w:r w:rsidRPr="004B3CC2">
        <w:rPr>
          <w:lang w:val="sk-SK"/>
        </w:rPr>
        <w:t>.</w:t>
      </w:r>
    </w:p>
    <w:p w:rsidR="007A6705" w:rsidRPr="004B3CC2" w:rsidRDefault="007A6705" w:rsidP="00C22515">
      <w:pPr>
        <w:pStyle w:val="Normlnysozarkami"/>
        <w:spacing w:after="0"/>
        <w:ind w:left="0"/>
        <w:rPr>
          <w:lang w:val="sk-SK"/>
        </w:rPr>
      </w:pPr>
      <w:r w:rsidRPr="004B3CC2">
        <w:rPr>
          <w:lang w:val="sk-SK"/>
        </w:rPr>
        <w:t xml:space="preserve">Jedno vrecko </w:t>
      </w:r>
      <w:proofErr w:type="spellStart"/>
      <w:r w:rsidRPr="004B3CC2">
        <w:rPr>
          <w:lang w:val="sk-SK"/>
        </w:rPr>
        <w:t>Salofalku</w:t>
      </w:r>
      <w:proofErr w:type="spellEnd"/>
      <w:r w:rsidRPr="004B3CC2">
        <w:rPr>
          <w:lang w:val="sk-SK"/>
        </w:rPr>
        <w:t xml:space="preserve"> 1000 mg </w:t>
      </w:r>
      <w:proofErr w:type="spellStart"/>
      <w:r w:rsidRPr="004B3CC2">
        <w:rPr>
          <w:lang w:val="sk-SK"/>
        </w:rPr>
        <w:t>granulátu</w:t>
      </w:r>
      <w:proofErr w:type="spellEnd"/>
      <w:r w:rsidRPr="004B3CC2">
        <w:rPr>
          <w:lang w:val="sk-SK"/>
        </w:rPr>
        <w:t xml:space="preserve"> obsahuje 1,86 g </w:t>
      </w:r>
      <w:proofErr w:type="spellStart"/>
      <w:r w:rsidRPr="004B3CC2">
        <w:rPr>
          <w:lang w:val="sk-SK"/>
        </w:rPr>
        <w:t>granulátu</w:t>
      </w:r>
      <w:proofErr w:type="spellEnd"/>
      <w:r w:rsidRPr="004B3CC2">
        <w:rPr>
          <w:lang w:val="sk-SK"/>
        </w:rPr>
        <w:t>.</w:t>
      </w:r>
    </w:p>
    <w:p w:rsidR="007A6705" w:rsidRPr="004B3CC2" w:rsidRDefault="007A6705" w:rsidP="009C5995">
      <w:pPr>
        <w:pStyle w:val="Normlnysozarkami"/>
        <w:spacing w:after="0"/>
        <w:ind w:left="0"/>
        <w:rPr>
          <w:lang w:val="sk-SK"/>
        </w:rPr>
      </w:pPr>
      <w:r w:rsidRPr="004B3CC2">
        <w:rPr>
          <w:lang w:val="sk-SK"/>
        </w:rPr>
        <w:t xml:space="preserve">Jedno vrecko </w:t>
      </w:r>
      <w:proofErr w:type="spellStart"/>
      <w:r w:rsidRPr="004B3CC2">
        <w:rPr>
          <w:lang w:val="sk-SK"/>
        </w:rPr>
        <w:t>Salofalku</w:t>
      </w:r>
      <w:proofErr w:type="spellEnd"/>
      <w:r w:rsidRPr="004B3CC2">
        <w:rPr>
          <w:lang w:val="sk-SK"/>
        </w:rPr>
        <w:t xml:space="preserve"> 1,5 g </w:t>
      </w:r>
      <w:proofErr w:type="spellStart"/>
      <w:r w:rsidRPr="004B3CC2">
        <w:rPr>
          <w:lang w:val="sk-SK"/>
        </w:rPr>
        <w:t>granulátu</w:t>
      </w:r>
      <w:proofErr w:type="spellEnd"/>
      <w:r w:rsidRPr="004B3CC2">
        <w:rPr>
          <w:lang w:val="sk-SK"/>
        </w:rPr>
        <w:t xml:space="preserve"> obsahuje 2,79 g </w:t>
      </w:r>
      <w:proofErr w:type="spellStart"/>
      <w:r w:rsidRPr="004B3CC2">
        <w:rPr>
          <w:lang w:val="sk-SK"/>
        </w:rPr>
        <w:t>granulátu</w:t>
      </w:r>
      <w:proofErr w:type="spellEnd"/>
      <w:r w:rsidRPr="004B3CC2">
        <w:rPr>
          <w:lang w:val="sk-SK"/>
        </w:rPr>
        <w:t>.</w:t>
      </w:r>
    </w:p>
    <w:p w:rsidR="007A6705" w:rsidRPr="004B3CC2" w:rsidRDefault="007A6705" w:rsidP="009C5995">
      <w:pPr>
        <w:pStyle w:val="Normlnysozarkami"/>
        <w:spacing w:after="0"/>
        <w:ind w:left="0"/>
        <w:rPr>
          <w:lang w:val="sk-SK"/>
        </w:rPr>
      </w:pPr>
      <w:r w:rsidRPr="004B3CC2">
        <w:rPr>
          <w:lang w:val="sk-SK"/>
        </w:rPr>
        <w:t xml:space="preserve">Jedno vrecko </w:t>
      </w:r>
      <w:proofErr w:type="spellStart"/>
      <w:r w:rsidRPr="004B3CC2">
        <w:rPr>
          <w:lang w:val="sk-SK"/>
        </w:rPr>
        <w:t>Salofalku</w:t>
      </w:r>
      <w:proofErr w:type="spellEnd"/>
      <w:r w:rsidRPr="004B3CC2">
        <w:rPr>
          <w:lang w:val="sk-SK"/>
        </w:rPr>
        <w:t xml:space="preserve"> 3 g </w:t>
      </w:r>
      <w:proofErr w:type="spellStart"/>
      <w:r w:rsidRPr="004B3CC2">
        <w:rPr>
          <w:lang w:val="sk-SK"/>
        </w:rPr>
        <w:t>granulátu</w:t>
      </w:r>
      <w:proofErr w:type="spellEnd"/>
      <w:r w:rsidRPr="004B3CC2">
        <w:rPr>
          <w:lang w:val="sk-SK"/>
        </w:rPr>
        <w:t xml:space="preserve"> obsahuje 5,58 g </w:t>
      </w:r>
      <w:proofErr w:type="spellStart"/>
      <w:r w:rsidRPr="004B3CC2">
        <w:rPr>
          <w:lang w:val="sk-SK"/>
        </w:rPr>
        <w:t>granulátu</w:t>
      </w:r>
      <w:proofErr w:type="spellEnd"/>
      <w:r w:rsidRPr="004B3CC2">
        <w:rPr>
          <w:lang w:val="sk-SK"/>
        </w:rPr>
        <w:t>.</w:t>
      </w:r>
    </w:p>
    <w:p w:rsidR="007A6705" w:rsidRPr="004B3CC2" w:rsidRDefault="007A6705" w:rsidP="009C5995">
      <w:pPr>
        <w:pStyle w:val="Normlnysozarkami"/>
        <w:spacing w:after="0"/>
        <w:ind w:left="0"/>
        <w:rPr>
          <w:lang w:val="sk-SK"/>
        </w:rPr>
      </w:pPr>
    </w:p>
    <w:p w:rsidR="007A6705" w:rsidRPr="004B3CC2" w:rsidRDefault="007A6705" w:rsidP="009C5995">
      <w:pPr>
        <w:pStyle w:val="Normlnysozarkami"/>
        <w:spacing w:after="0"/>
        <w:ind w:left="0"/>
        <w:rPr>
          <w:lang w:val="sk-SK"/>
        </w:rPr>
      </w:pPr>
      <w:r w:rsidRPr="004B3CC2">
        <w:rPr>
          <w:lang w:val="sk-SK"/>
        </w:rPr>
        <w:t xml:space="preserve">Veľkosť balenia: </w:t>
      </w:r>
    </w:p>
    <w:p w:rsidR="007A6705" w:rsidRPr="004B3CC2" w:rsidRDefault="007A6705" w:rsidP="00DA75FD">
      <w:pPr>
        <w:pStyle w:val="Normlnysozarkami"/>
        <w:spacing w:after="0"/>
        <w:ind w:left="0"/>
        <w:rPr>
          <w:lang w:val="sk-SK"/>
        </w:rPr>
      </w:pPr>
      <w:proofErr w:type="spellStart"/>
      <w:r w:rsidRPr="004B3CC2">
        <w:rPr>
          <w:lang w:val="sk-SK"/>
        </w:rPr>
        <w:t>Salofalk</w:t>
      </w:r>
      <w:proofErr w:type="spellEnd"/>
      <w:r w:rsidRPr="004B3CC2">
        <w:rPr>
          <w:lang w:val="sk-SK"/>
        </w:rPr>
        <w:t xml:space="preserve"> 500 mg </w:t>
      </w:r>
      <w:proofErr w:type="spellStart"/>
      <w:r w:rsidRPr="004B3CC2">
        <w:rPr>
          <w:lang w:val="sk-SK"/>
        </w:rPr>
        <w:t>granulát</w:t>
      </w:r>
      <w:proofErr w:type="spellEnd"/>
      <w:r w:rsidRPr="004B3CC2">
        <w:rPr>
          <w:lang w:val="sk-SK"/>
        </w:rPr>
        <w:t>: 50, 100 a 300 vreciek</w:t>
      </w:r>
    </w:p>
    <w:p w:rsidR="007A6705" w:rsidRPr="004B3CC2" w:rsidRDefault="007A6705" w:rsidP="00DA75FD">
      <w:pPr>
        <w:pStyle w:val="Normlnysozarkami"/>
        <w:spacing w:after="0"/>
        <w:ind w:left="0"/>
        <w:rPr>
          <w:lang w:val="sk-SK"/>
        </w:rPr>
      </w:pPr>
      <w:proofErr w:type="spellStart"/>
      <w:r w:rsidRPr="004B3CC2">
        <w:rPr>
          <w:lang w:val="sk-SK"/>
        </w:rPr>
        <w:t>Salofalk</w:t>
      </w:r>
      <w:proofErr w:type="spellEnd"/>
      <w:r w:rsidRPr="004B3CC2">
        <w:rPr>
          <w:lang w:val="sk-SK"/>
        </w:rPr>
        <w:t xml:space="preserve"> 1000 mg </w:t>
      </w:r>
      <w:proofErr w:type="spellStart"/>
      <w:r w:rsidRPr="004B3CC2">
        <w:rPr>
          <w:lang w:val="sk-SK"/>
        </w:rPr>
        <w:t>granulát</w:t>
      </w:r>
      <w:proofErr w:type="spellEnd"/>
      <w:r w:rsidRPr="004B3CC2">
        <w:rPr>
          <w:lang w:val="sk-SK"/>
        </w:rPr>
        <w:t>: 20, 50, 60, 100 a 150 vreciek</w:t>
      </w:r>
    </w:p>
    <w:p w:rsidR="007A6705" w:rsidRPr="004B3CC2" w:rsidRDefault="007A6705" w:rsidP="00DA75FD">
      <w:pPr>
        <w:pStyle w:val="Normlnysozarkami"/>
        <w:spacing w:after="0"/>
        <w:ind w:left="0"/>
        <w:rPr>
          <w:lang w:val="sk-SK"/>
        </w:rPr>
      </w:pPr>
      <w:proofErr w:type="spellStart"/>
      <w:r w:rsidRPr="004B3CC2">
        <w:rPr>
          <w:lang w:val="sk-SK"/>
        </w:rPr>
        <w:t>Salofalk</w:t>
      </w:r>
      <w:proofErr w:type="spellEnd"/>
      <w:r w:rsidRPr="004B3CC2">
        <w:rPr>
          <w:lang w:val="sk-SK"/>
        </w:rPr>
        <w:t xml:space="preserve"> 1,5 g </w:t>
      </w:r>
      <w:proofErr w:type="spellStart"/>
      <w:r w:rsidRPr="004B3CC2">
        <w:rPr>
          <w:lang w:val="sk-SK"/>
        </w:rPr>
        <w:t>granulát</w:t>
      </w:r>
      <w:proofErr w:type="spellEnd"/>
      <w:r w:rsidRPr="004B3CC2">
        <w:rPr>
          <w:lang w:val="sk-SK"/>
        </w:rPr>
        <w:t>: 20, 30, 35, 45, 50, 60, 70, 90, 100 a 150 vreciek</w:t>
      </w:r>
    </w:p>
    <w:p w:rsidR="007A6705" w:rsidRPr="004B3CC2" w:rsidRDefault="007A6705" w:rsidP="00DA75FD">
      <w:pPr>
        <w:pStyle w:val="Normlnysozarkami"/>
        <w:spacing w:after="0"/>
        <w:ind w:left="0"/>
        <w:rPr>
          <w:lang w:val="sk-SK"/>
        </w:rPr>
      </w:pPr>
      <w:proofErr w:type="spellStart"/>
      <w:r w:rsidRPr="004B3CC2">
        <w:rPr>
          <w:lang w:val="sk-SK"/>
        </w:rPr>
        <w:t>Salofalk</w:t>
      </w:r>
      <w:proofErr w:type="spellEnd"/>
      <w:r w:rsidRPr="004B3CC2">
        <w:rPr>
          <w:lang w:val="sk-SK"/>
        </w:rPr>
        <w:t xml:space="preserve"> 3 g </w:t>
      </w:r>
      <w:proofErr w:type="spellStart"/>
      <w:r w:rsidRPr="004B3CC2">
        <w:rPr>
          <w:lang w:val="sk-SK"/>
        </w:rPr>
        <w:t>granulát</w:t>
      </w:r>
      <w:proofErr w:type="spellEnd"/>
      <w:r w:rsidRPr="004B3CC2">
        <w:rPr>
          <w:lang w:val="sk-SK"/>
        </w:rPr>
        <w:t>: 10, 15, 20, 30, 50, 60, 90 a 100 vreciek</w:t>
      </w:r>
    </w:p>
    <w:p w:rsidR="007A6705" w:rsidRPr="004B3CC2" w:rsidRDefault="007A6705" w:rsidP="00466A4C">
      <w:pPr>
        <w:pStyle w:val="Normlnysozarkami"/>
        <w:spacing w:after="0"/>
        <w:rPr>
          <w:lang w:val="sk-SK"/>
        </w:rPr>
      </w:pPr>
    </w:p>
    <w:p w:rsidR="007A6705" w:rsidRPr="004B3CC2" w:rsidRDefault="007A6705" w:rsidP="00973552">
      <w:pPr>
        <w:pStyle w:val="Pokraovaniezoznamu"/>
        <w:ind w:left="0"/>
        <w:rPr>
          <w:b/>
          <w:bCs/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>Na trh nemusia byť uvedené všetky veľkosti balenia</w:t>
      </w:r>
      <w:r w:rsidRPr="004B3CC2">
        <w:rPr>
          <w:noProof/>
          <w:sz w:val="22"/>
          <w:szCs w:val="22"/>
          <w:lang w:val="sk-SK"/>
        </w:rPr>
        <w:t>.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>6.6  Špeciálne opatrenia na likvidáciu a iné zaobchádzania s liekom</w:t>
      </w:r>
    </w:p>
    <w:p w:rsidR="007A6705" w:rsidRPr="004469AB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 xml:space="preserve">Žiadne zvláštne požiadavky. 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caps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7. </w:t>
      </w:r>
      <w:r w:rsidRPr="00A53B9D">
        <w:rPr>
          <w:b/>
          <w:caps/>
          <w:sz w:val="22"/>
          <w:szCs w:val="22"/>
          <w:lang w:val="sk-SK"/>
        </w:rPr>
        <w:t>Držiteľ rozhodnutia o registrácii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4B3CC2" w:rsidRDefault="007A6705" w:rsidP="00C6733B">
      <w:pPr>
        <w:tabs>
          <w:tab w:val="left" w:pos="426"/>
        </w:tabs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Dr. </w:t>
      </w:r>
      <w:proofErr w:type="spellStart"/>
      <w:r w:rsidRPr="004B3CC2">
        <w:rPr>
          <w:sz w:val="22"/>
          <w:szCs w:val="22"/>
          <w:lang w:val="sk-SK"/>
        </w:rPr>
        <w:t>Falk</w:t>
      </w:r>
      <w:proofErr w:type="spellEnd"/>
      <w:r w:rsidRPr="004B3CC2">
        <w:rPr>
          <w:sz w:val="22"/>
          <w:szCs w:val="22"/>
          <w:lang w:val="sk-SK"/>
        </w:rPr>
        <w:t xml:space="preserve"> Pharma </w:t>
      </w:r>
      <w:proofErr w:type="spellStart"/>
      <w:r w:rsidRPr="004B3CC2">
        <w:rPr>
          <w:sz w:val="22"/>
          <w:szCs w:val="22"/>
          <w:lang w:val="sk-SK"/>
        </w:rPr>
        <w:t>GmbH</w:t>
      </w:r>
      <w:proofErr w:type="spellEnd"/>
    </w:p>
    <w:p w:rsidR="007A6705" w:rsidRPr="004B3CC2" w:rsidRDefault="007A6705" w:rsidP="00C6733B">
      <w:pPr>
        <w:tabs>
          <w:tab w:val="left" w:pos="426"/>
        </w:tabs>
        <w:jc w:val="both"/>
        <w:rPr>
          <w:sz w:val="22"/>
          <w:szCs w:val="22"/>
          <w:lang w:val="sk-SK"/>
        </w:rPr>
      </w:pPr>
      <w:proofErr w:type="spellStart"/>
      <w:r w:rsidRPr="004B3CC2">
        <w:rPr>
          <w:sz w:val="22"/>
          <w:szCs w:val="22"/>
          <w:lang w:val="sk-SK"/>
        </w:rPr>
        <w:t>Leinenweberstr</w:t>
      </w:r>
      <w:proofErr w:type="spellEnd"/>
      <w:r w:rsidRPr="004B3CC2">
        <w:rPr>
          <w:sz w:val="22"/>
          <w:szCs w:val="22"/>
          <w:lang w:val="sk-SK"/>
        </w:rPr>
        <w:t>. 5</w:t>
      </w:r>
    </w:p>
    <w:p w:rsidR="007A6705" w:rsidRPr="004B3CC2" w:rsidRDefault="007A6705" w:rsidP="00C6733B">
      <w:pPr>
        <w:tabs>
          <w:tab w:val="left" w:pos="426"/>
        </w:tabs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 xml:space="preserve">791 08 </w:t>
      </w:r>
      <w:proofErr w:type="spellStart"/>
      <w:r w:rsidRPr="004B3CC2">
        <w:rPr>
          <w:sz w:val="22"/>
          <w:szCs w:val="22"/>
          <w:lang w:val="sk-SK"/>
        </w:rPr>
        <w:t>Freiburg</w:t>
      </w:r>
      <w:proofErr w:type="spellEnd"/>
    </w:p>
    <w:p w:rsidR="007A6705" w:rsidRPr="004B3CC2" w:rsidRDefault="007A6705" w:rsidP="00C6733B">
      <w:pPr>
        <w:tabs>
          <w:tab w:val="left" w:pos="426"/>
        </w:tabs>
        <w:jc w:val="both"/>
        <w:rPr>
          <w:sz w:val="22"/>
          <w:szCs w:val="22"/>
          <w:lang w:val="sk-SK"/>
        </w:rPr>
      </w:pPr>
      <w:r w:rsidRPr="004B3CC2">
        <w:rPr>
          <w:sz w:val="22"/>
          <w:szCs w:val="22"/>
          <w:lang w:val="sk-SK"/>
        </w:rPr>
        <w:t>Nemecko</w:t>
      </w:r>
    </w:p>
    <w:p w:rsidR="007A6705" w:rsidRDefault="007A6705" w:rsidP="00C6733B">
      <w:pPr>
        <w:ind w:right="-1"/>
        <w:jc w:val="both"/>
        <w:rPr>
          <w:b/>
          <w:sz w:val="22"/>
          <w:szCs w:val="22"/>
          <w:u w:val="single"/>
          <w:lang w:val="sk-SK"/>
        </w:rPr>
      </w:pP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u w:val="single"/>
          <w:lang w:val="sk-SK"/>
        </w:rPr>
      </w:pPr>
    </w:p>
    <w:p w:rsidR="007A6705" w:rsidRPr="00562A6C" w:rsidRDefault="007A6705" w:rsidP="00C6733B">
      <w:pPr>
        <w:ind w:right="-1"/>
        <w:jc w:val="both"/>
        <w:rPr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8. </w:t>
      </w:r>
      <w:r w:rsidRPr="004469AB">
        <w:rPr>
          <w:b/>
          <w:caps/>
          <w:sz w:val="22"/>
          <w:szCs w:val="22"/>
          <w:lang w:val="sk-SK"/>
        </w:rPr>
        <w:t>Registračné číslo</w:t>
      </w:r>
    </w:p>
    <w:p w:rsidR="007A6705" w:rsidRDefault="007A6705" w:rsidP="00C6733B">
      <w:pPr>
        <w:ind w:right="-1"/>
        <w:jc w:val="both"/>
        <w:rPr>
          <w:snapToGrid w:val="0"/>
          <w:sz w:val="22"/>
          <w:szCs w:val="22"/>
          <w:lang w:val="sk-SK" w:eastAsia="cs-CZ"/>
        </w:rPr>
      </w:pPr>
    </w:p>
    <w:p w:rsidR="007A6705" w:rsidRPr="005710E8" w:rsidRDefault="007A6705" w:rsidP="005710E8">
      <w:pPr>
        <w:pStyle w:val="Normlnysozarkami"/>
        <w:spacing w:after="0"/>
        <w:ind w:left="0"/>
        <w:rPr>
          <w:lang w:val="sk-SK"/>
        </w:rPr>
      </w:pPr>
      <w:proofErr w:type="spellStart"/>
      <w:r w:rsidRPr="00A53B9D">
        <w:rPr>
          <w:lang w:val="sk-SK"/>
        </w:rPr>
        <w:t>Salofalk</w:t>
      </w:r>
      <w:proofErr w:type="spellEnd"/>
      <w:r w:rsidRPr="00A53B9D">
        <w:rPr>
          <w:lang w:val="sk-SK"/>
        </w:rPr>
        <w:t xml:space="preserve"> 500 mg </w:t>
      </w:r>
      <w:proofErr w:type="spellStart"/>
      <w:r w:rsidRPr="00A53B9D">
        <w:rPr>
          <w:lang w:val="sk-SK"/>
        </w:rPr>
        <w:t>granulát</w:t>
      </w:r>
      <w:proofErr w:type="spellEnd"/>
      <w:r w:rsidRPr="00A53B9D">
        <w:rPr>
          <w:lang w:val="sk-SK"/>
        </w:rPr>
        <w:t xml:space="preserve">: </w:t>
      </w:r>
      <w:r w:rsidRPr="005710E8">
        <w:rPr>
          <w:lang w:val="sk-SK"/>
        </w:rPr>
        <w:t>29/0381/13-S</w:t>
      </w:r>
    </w:p>
    <w:p w:rsidR="007A6705" w:rsidRPr="005710E8" w:rsidRDefault="007A6705" w:rsidP="005710E8">
      <w:pPr>
        <w:pStyle w:val="Normlnysozarkami"/>
        <w:spacing w:after="0"/>
        <w:ind w:left="0"/>
        <w:rPr>
          <w:lang w:val="sk-SK"/>
        </w:rPr>
      </w:pPr>
      <w:proofErr w:type="spellStart"/>
      <w:r w:rsidRPr="00A53B9D">
        <w:rPr>
          <w:lang w:val="sk-SK"/>
        </w:rPr>
        <w:t>Salofalk</w:t>
      </w:r>
      <w:proofErr w:type="spellEnd"/>
      <w:r w:rsidRPr="00A53B9D">
        <w:rPr>
          <w:lang w:val="sk-SK"/>
        </w:rPr>
        <w:t xml:space="preserve"> 1000 mg </w:t>
      </w:r>
      <w:proofErr w:type="spellStart"/>
      <w:r w:rsidRPr="00A53B9D">
        <w:rPr>
          <w:lang w:val="sk-SK"/>
        </w:rPr>
        <w:t>granulát</w:t>
      </w:r>
      <w:proofErr w:type="spellEnd"/>
      <w:r w:rsidRPr="00A53B9D">
        <w:rPr>
          <w:lang w:val="sk-SK"/>
        </w:rPr>
        <w:t xml:space="preserve">: </w:t>
      </w:r>
      <w:r w:rsidRPr="005710E8">
        <w:rPr>
          <w:lang w:val="sk-SK"/>
        </w:rPr>
        <w:t>29/038</w:t>
      </w:r>
      <w:r>
        <w:rPr>
          <w:lang w:val="sk-SK"/>
        </w:rPr>
        <w:t>2</w:t>
      </w:r>
      <w:r w:rsidRPr="005710E8">
        <w:rPr>
          <w:lang w:val="sk-SK"/>
        </w:rPr>
        <w:t>/13-S</w:t>
      </w:r>
    </w:p>
    <w:p w:rsidR="007A6705" w:rsidRPr="005710E8" w:rsidRDefault="007A6705" w:rsidP="005710E8">
      <w:pPr>
        <w:pStyle w:val="Normlnysozarkami"/>
        <w:spacing w:after="0"/>
        <w:ind w:left="0"/>
        <w:rPr>
          <w:lang w:val="sk-SK"/>
        </w:rPr>
      </w:pPr>
      <w:proofErr w:type="spellStart"/>
      <w:r w:rsidRPr="00A53B9D">
        <w:rPr>
          <w:lang w:val="sk-SK"/>
        </w:rPr>
        <w:t>Salofalk</w:t>
      </w:r>
      <w:proofErr w:type="spellEnd"/>
      <w:r w:rsidRPr="00A53B9D">
        <w:rPr>
          <w:lang w:val="sk-SK"/>
        </w:rPr>
        <w:t xml:space="preserve"> 1,5 g </w:t>
      </w:r>
      <w:proofErr w:type="spellStart"/>
      <w:r w:rsidRPr="00A53B9D">
        <w:rPr>
          <w:lang w:val="sk-SK"/>
        </w:rPr>
        <w:t>granulát</w:t>
      </w:r>
      <w:proofErr w:type="spellEnd"/>
      <w:r w:rsidRPr="00A53B9D">
        <w:rPr>
          <w:lang w:val="sk-SK"/>
        </w:rPr>
        <w:t xml:space="preserve">: </w:t>
      </w:r>
      <w:r>
        <w:rPr>
          <w:lang w:val="sk-SK"/>
        </w:rPr>
        <w:t>29/0383</w:t>
      </w:r>
      <w:r w:rsidRPr="005710E8">
        <w:rPr>
          <w:lang w:val="sk-SK"/>
        </w:rPr>
        <w:t>/13-S</w:t>
      </w:r>
    </w:p>
    <w:p w:rsidR="007A6705" w:rsidRPr="005710E8" w:rsidRDefault="007A6705" w:rsidP="005710E8">
      <w:pPr>
        <w:pStyle w:val="Normlnysozarkami"/>
        <w:spacing w:after="0"/>
        <w:ind w:left="0"/>
        <w:rPr>
          <w:lang w:val="sk-SK"/>
        </w:rPr>
      </w:pPr>
      <w:proofErr w:type="spellStart"/>
      <w:r w:rsidRPr="00A53B9D">
        <w:rPr>
          <w:lang w:val="sk-SK"/>
        </w:rPr>
        <w:t>Salofalk</w:t>
      </w:r>
      <w:proofErr w:type="spellEnd"/>
      <w:r w:rsidRPr="00A53B9D">
        <w:rPr>
          <w:lang w:val="sk-SK"/>
        </w:rPr>
        <w:t xml:space="preserve"> 3 g </w:t>
      </w:r>
      <w:proofErr w:type="spellStart"/>
      <w:r w:rsidRPr="00A53B9D">
        <w:rPr>
          <w:lang w:val="sk-SK"/>
        </w:rPr>
        <w:t>granulát</w:t>
      </w:r>
      <w:proofErr w:type="spellEnd"/>
      <w:r w:rsidRPr="00A53B9D">
        <w:rPr>
          <w:lang w:val="sk-SK"/>
        </w:rPr>
        <w:t xml:space="preserve">: </w:t>
      </w:r>
      <w:r>
        <w:rPr>
          <w:lang w:val="sk-SK"/>
        </w:rPr>
        <w:t>29/0384</w:t>
      </w:r>
      <w:r w:rsidRPr="005710E8">
        <w:rPr>
          <w:lang w:val="sk-SK"/>
        </w:rPr>
        <w:t>/13-S</w:t>
      </w:r>
    </w:p>
    <w:p w:rsidR="007A6705" w:rsidRPr="005710E8" w:rsidRDefault="007A6705" w:rsidP="00C6733B">
      <w:pPr>
        <w:ind w:right="-1"/>
        <w:jc w:val="both"/>
        <w:rPr>
          <w:snapToGrid w:val="0"/>
          <w:sz w:val="22"/>
          <w:szCs w:val="22"/>
          <w:lang w:val="sk-SK" w:eastAsia="cs-CZ"/>
        </w:rPr>
      </w:pPr>
    </w:p>
    <w:p w:rsidR="007A6705" w:rsidRPr="00A53B9D" w:rsidRDefault="007A6705" w:rsidP="00C6733B">
      <w:pPr>
        <w:ind w:right="-1"/>
        <w:jc w:val="both"/>
        <w:rPr>
          <w:snapToGrid w:val="0"/>
          <w:sz w:val="22"/>
          <w:szCs w:val="22"/>
          <w:lang w:val="sk-SK" w:eastAsia="cs-CZ"/>
        </w:rPr>
      </w:pP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9. </w:t>
      </w:r>
      <w:r w:rsidRPr="00A53B9D">
        <w:rPr>
          <w:b/>
          <w:caps/>
          <w:sz w:val="22"/>
          <w:szCs w:val="22"/>
          <w:lang w:val="sk-SK"/>
        </w:rPr>
        <w:t>Dátum prvej registrácie / predĺženia registrácie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tabs>
          <w:tab w:val="left" w:pos="426"/>
        </w:tabs>
        <w:jc w:val="both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 xml:space="preserve">Dátum prvej registrácie: </w:t>
      </w:r>
      <w:r>
        <w:rPr>
          <w:sz w:val="22"/>
          <w:szCs w:val="22"/>
          <w:lang w:val="sk-SK"/>
        </w:rPr>
        <w:t>08.10.2013</w:t>
      </w:r>
    </w:p>
    <w:p w:rsidR="007A6705" w:rsidRPr="00A53B9D" w:rsidRDefault="007A6705" w:rsidP="00C6733B">
      <w:pPr>
        <w:tabs>
          <w:tab w:val="left" w:pos="426"/>
        </w:tabs>
        <w:jc w:val="both"/>
        <w:rPr>
          <w:sz w:val="22"/>
          <w:szCs w:val="22"/>
          <w:lang w:val="sk-SK"/>
        </w:rPr>
      </w:pPr>
      <w:r w:rsidRPr="00A53B9D">
        <w:rPr>
          <w:sz w:val="22"/>
          <w:szCs w:val="22"/>
          <w:lang w:val="sk-SK"/>
        </w:rPr>
        <w:t xml:space="preserve">Dátum posledného predĺženia: </w:t>
      </w: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sz w:val="22"/>
          <w:szCs w:val="22"/>
          <w:lang w:val="sk-SK"/>
        </w:rPr>
      </w:pPr>
    </w:p>
    <w:p w:rsidR="007A6705" w:rsidRPr="00A53B9D" w:rsidRDefault="007A6705" w:rsidP="00C6733B">
      <w:pPr>
        <w:ind w:right="-1"/>
        <w:jc w:val="both"/>
        <w:rPr>
          <w:b/>
          <w:sz w:val="22"/>
          <w:szCs w:val="22"/>
          <w:lang w:val="sk-SK"/>
        </w:rPr>
      </w:pPr>
      <w:r w:rsidRPr="00A53B9D">
        <w:rPr>
          <w:b/>
          <w:sz w:val="22"/>
          <w:szCs w:val="22"/>
          <w:lang w:val="sk-SK"/>
        </w:rPr>
        <w:t xml:space="preserve">10. </w:t>
      </w:r>
      <w:r w:rsidRPr="00A53B9D">
        <w:rPr>
          <w:b/>
          <w:caps/>
          <w:sz w:val="22"/>
          <w:szCs w:val="22"/>
          <w:lang w:val="sk-SK"/>
        </w:rPr>
        <w:t>Dátum revízie textu</w:t>
      </w:r>
    </w:p>
    <w:p w:rsidR="007A6705" w:rsidRDefault="007A6705" w:rsidP="003D1CD9">
      <w:pPr>
        <w:ind w:right="-1"/>
        <w:jc w:val="both"/>
        <w:rPr>
          <w:lang w:val="sk-SK"/>
        </w:rPr>
      </w:pPr>
    </w:p>
    <w:p w:rsidR="00BD592A" w:rsidRDefault="00243E3D" w:rsidP="00BD592A">
      <w:pPr>
        <w:pStyle w:val="Bezriadkovania"/>
        <w:rPr>
          <w:lang w:val="sk-SK"/>
        </w:rPr>
      </w:pPr>
      <w:r>
        <w:t>A</w:t>
      </w:r>
      <w:r w:rsidR="007A6705">
        <w:t>ugust 2014</w:t>
      </w:r>
    </w:p>
    <w:sectPr w:rsidR="00BD592A" w:rsidSect="00243E3D">
      <w:footerReference w:type="default" r:id="rId8"/>
      <w:headerReference w:type="first" r:id="rId9"/>
      <w:footerReference w:type="first" r:id="rId10"/>
      <w:pgSz w:w="11907" w:h="16840"/>
      <w:pgMar w:top="1418" w:right="1418" w:bottom="1418" w:left="1418" w:header="709" w:footer="709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705" w:rsidRDefault="007A6705">
      <w:r>
        <w:separator/>
      </w:r>
    </w:p>
  </w:endnote>
  <w:endnote w:type="continuationSeparator" w:id="0">
    <w:p w:rsidR="007A6705" w:rsidRDefault="007A6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5106"/>
      <w:docPartObj>
        <w:docPartGallery w:val="Page Numbers (Bottom of Page)"/>
        <w:docPartUnique/>
      </w:docPartObj>
    </w:sdtPr>
    <w:sdtContent>
      <w:p w:rsidR="00243E3D" w:rsidRDefault="00243E3D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243E3D" w:rsidRDefault="00243E3D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5107"/>
      <w:docPartObj>
        <w:docPartGallery w:val="Page Numbers (Bottom of Page)"/>
        <w:docPartUnique/>
      </w:docPartObj>
    </w:sdtPr>
    <w:sdtContent>
      <w:p w:rsidR="00243E3D" w:rsidRDefault="00243E3D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43E3D" w:rsidRDefault="00243E3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705" w:rsidRDefault="007A6705">
      <w:r>
        <w:separator/>
      </w:r>
    </w:p>
  </w:footnote>
  <w:footnote w:type="continuationSeparator" w:id="0">
    <w:p w:rsidR="007A6705" w:rsidRDefault="007A67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E3D" w:rsidRDefault="00243E3D" w:rsidP="00243E3D">
    <w:pPr>
      <w:pStyle w:val="Hlavika"/>
      <w:rPr>
        <w:sz w:val="18"/>
        <w:szCs w:val="18"/>
      </w:rPr>
    </w:pPr>
    <w:r w:rsidRPr="0010239A">
      <w:rPr>
        <w:sz w:val="18"/>
        <w:szCs w:val="18"/>
      </w:rPr>
      <w:t>Schválený text k </w:t>
    </w:r>
    <w:proofErr w:type="spellStart"/>
    <w:r w:rsidRPr="0010239A">
      <w:rPr>
        <w:sz w:val="18"/>
        <w:szCs w:val="18"/>
      </w:rPr>
      <w:t>rozhodnutiu</w:t>
    </w:r>
    <w:proofErr w:type="spellEnd"/>
    <w:r w:rsidRPr="0010239A">
      <w:rPr>
        <w:sz w:val="18"/>
        <w:szCs w:val="18"/>
      </w:rPr>
      <w:t xml:space="preserve"> o </w:t>
    </w:r>
    <w:proofErr w:type="spellStart"/>
    <w:r w:rsidRPr="0010239A">
      <w:rPr>
        <w:sz w:val="18"/>
        <w:szCs w:val="18"/>
      </w:rPr>
      <w:t>zmene</w:t>
    </w:r>
    <w:proofErr w:type="spellEnd"/>
    <w:r w:rsidRPr="0010239A">
      <w:rPr>
        <w:sz w:val="18"/>
        <w:szCs w:val="18"/>
      </w:rPr>
      <w:t xml:space="preserve">, </w:t>
    </w:r>
    <w:proofErr w:type="spellStart"/>
    <w:r w:rsidRPr="0010239A">
      <w:rPr>
        <w:sz w:val="18"/>
        <w:szCs w:val="18"/>
      </w:rPr>
      <w:t>ev.č</w:t>
    </w:r>
    <w:proofErr w:type="spellEnd"/>
    <w:r w:rsidRPr="0010239A">
      <w:rPr>
        <w:sz w:val="18"/>
        <w:szCs w:val="18"/>
      </w:rPr>
      <w:t>.</w:t>
    </w:r>
    <w:r>
      <w:rPr>
        <w:sz w:val="18"/>
        <w:szCs w:val="18"/>
      </w:rPr>
      <w:t xml:space="preserve"> 2013/06415-ZME</w:t>
    </w:r>
    <w:r>
      <w:rPr>
        <w:sz w:val="18"/>
        <w:szCs w:val="18"/>
      </w:rPr>
      <w:t>.</w:t>
    </w:r>
  </w:p>
  <w:p w:rsidR="00243E3D" w:rsidRDefault="00243E3D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F3F0F"/>
    <w:multiLevelType w:val="hybridMultilevel"/>
    <w:tmpl w:val="E17A8B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E27AF"/>
    <w:multiLevelType w:val="hybridMultilevel"/>
    <w:tmpl w:val="072EE692"/>
    <w:lvl w:ilvl="0" w:tplc="340ACE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DB46D53"/>
    <w:multiLevelType w:val="hybridMultilevel"/>
    <w:tmpl w:val="D598DBBC"/>
    <w:lvl w:ilvl="0" w:tplc="DB783FF8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trackRevision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1E1"/>
    <w:rsid w:val="00010C87"/>
    <w:rsid w:val="00024B01"/>
    <w:rsid w:val="000424B8"/>
    <w:rsid w:val="000555F6"/>
    <w:rsid w:val="0005681D"/>
    <w:rsid w:val="00067E79"/>
    <w:rsid w:val="0007413B"/>
    <w:rsid w:val="000762C1"/>
    <w:rsid w:val="00080C3D"/>
    <w:rsid w:val="00095F87"/>
    <w:rsid w:val="000A3C6B"/>
    <w:rsid w:val="000A5516"/>
    <w:rsid w:val="000B11ED"/>
    <w:rsid w:val="000B1545"/>
    <w:rsid w:val="000B48D8"/>
    <w:rsid w:val="000B5E03"/>
    <w:rsid w:val="000E1546"/>
    <w:rsid w:val="000E3107"/>
    <w:rsid w:val="000E6D81"/>
    <w:rsid w:val="000F7CDF"/>
    <w:rsid w:val="0010239A"/>
    <w:rsid w:val="00105916"/>
    <w:rsid w:val="00115BCB"/>
    <w:rsid w:val="00120130"/>
    <w:rsid w:val="0013086A"/>
    <w:rsid w:val="001329AA"/>
    <w:rsid w:val="00136491"/>
    <w:rsid w:val="00141B56"/>
    <w:rsid w:val="00150EA1"/>
    <w:rsid w:val="00156BB3"/>
    <w:rsid w:val="001755EE"/>
    <w:rsid w:val="00175736"/>
    <w:rsid w:val="00176CE5"/>
    <w:rsid w:val="00182226"/>
    <w:rsid w:val="00186B1B"/>
    <w:rsid w:val="00190E79"/>
    <w:rsid w:val="00192B1A"/>
    <w:rsid w:val="001C0A6C"/>
    <w:rsid w:val="001C48B4"/>
    <w:rsid w:val="001C63B6"/>
    <w:rsid w:val="001D1ACF"/>
    <w:rsid w:val="001D639C"/>
    <w:rsid w:val="001D6ED1"/>
    <w:rsid w:val="001D7EC2"/>
    <w:rsid w:val="001E22CB"/>
    <w:rsid w:val="00220439"/>
    <w:rsid w:val="002260CD"/>
    <w:rsid w:val="00235533"/>
    <w:rsid w:val="00236A45"/>
    <w:rsid w:val="00243E3D"/>
    <w:rsid w:val="00251C23"/>
    <w:rsid w:val="002627CA"/>
    <w:rsid w:val="002715C4"/>
    <w:rsid w:val="00271E10"/>
    <w:rsid w:val="00286BCA"/>
    <w:rsid w:val="00287456"/>
    <w:rsid w:val="002959F3"/>
    <w:rsid w:val="002B2BE9"/>
    <w:rsid w:val="002B417D"/>
    <w:rsid w:val="002B601F"/>
    <w:rsid w:val="002C473D"/>
    <w:rsid w:val="002E01CB"/>
    <w:rsid w:val="002E13E0"/>
    <w:rsid w:val="002E7E61"/>
    <w:rsid w:val="002F0CD3"/>
    <w:rsid w:val="002F54CD"/>
    <w:rsid w:val="002F64B9"/>
    <w:rsid w:val="00304269"/>
    <w:rsid w:val="00335AD0"/>
    <w:rsid w:val="00351677"/>
    <w:rsid w:val="00355EC8"/>
    <w:rsid w:val="00357ABB"/>
    <w:rsid w:val="003644AB"/>
    <w:rsid w:val="00366BF6"/>
    <w:rsid w:val="00380FE1"/>
    <w:rsid w:val="003954B9"/>
    <w:rsid w:val="0039684E"/>
    <w:rsid w:val="0039734C"/>
    <w:rsid w:val="003A11E1"/>
    <w:rsid w:val="003A706C"/>
    <w:rsid w:val="003A7E27"/>
    <w:rsid w:val="003C32C6"/>
    <w:rsid w:val="003D1CD9"/>
    <w:rsid w:val="003D27FF"/>
    <w:rsid w:val="003E658F"/>
    <w:rsid w:val="00400BEE"/>
    <w:rsid w:val="0040175F"/>
    <w:rsid w:val="00401FC2"/>
    <w:rsid w:val="00411B70"/>
    <w:rsid w:val="00415FA9"/>
    <w:rsid w:val="0041652F"/>
    <w:rsid w:val="00416E68"/>
    <w:rsid w:val="0041788A"/>
    <w:rsid w:val="00434DAA"/>
    <w:rsid w:val="00437A26"/>
    <w:rsid w:val="00442353"/>
    <w:rsid w:val="004437CD"/>
    <w:rsid w:val="00445960"/>
    <w:rsid w:val="004469AB"/>
    <w:rsid w:val="00466A4C"/>
    <w:rsid w:val="00471DD3"/>
    <w:rsid w:val="00495D09"/>
    <w:rsid w:val="004A5091"/>
    <w:rsid w:val="004B3CC2"/>
    <w:rsid w:val="004D0DAF"/>
    <w:rsid w:val="004D5F7E"/>
    <w:rsid w:val="004E0677"/>
    <w:rsid w:val="004E2F42"/>
    <w:rsid w:val="004E5069"/>
    <w:rsid w:val="005041D1"/>
    <w:rsid w:val="005069D6"/>
    <w:rsid w:val="005109F7"/>
    <w:rsid w:val="005161EF"/>
    <w:rsid w:val="00523FDC"/>
    <w:rsid w:val="00524069"/>
    <w:rsid w:val="00534DA1"/>
    <w:rsid w:val="005424D1"/>
    <w:rsid w:val="00545A47"/>
    <w:rsid w:val="00554EE0"/>
    <w:rsid w:val="00562A6C"/>
    <w:rsid w:val="00564029"/>
    <w:rsid w:val="005658A1"/>
    <w:rsid w:val="005710E8"/>
    <w:rsid w:val="00574892"/>
    <w:rsid w:val="00581E58"/>
    <w:rsid w:val="00582988"/>
    <w:rsid w:val="00584D91"/>
    <w:rsid w:val="00585856"/>
    <w:rsid w:val="00587296"/>
    <w:rsid w:val="005944EE"/>
    <w:rsid w:val="00597B97"/>
    <w:rsid w:val="005A5B6F"/>
    <w:rsid w:val="005A6FC5"/>
    <w:rsid w:val="005B1D19"/>
    <w:rsid w:val="005B6324"/>
    <w:rsid w:val="005E2458"/>
    <w:rsid w:val="005E51F2"/>
    <w:rsid w:val="005E60E0"/>
    <w:rsid w:val="005E7F58"/>
    <w:rsid w:val="005F1381"/>
    <w:rsid w:val="005F3D4D"/>
    <w:rsid w:val="005F43EA"/>
    <w:rsid w:val="006010F8"/>
    <w:rsid w:val="00601A3B"/>
    <w:rsid w:val="00601E4A"/>
    <w:rsid w:val="006149F0"/>
    <w:rsid w:val="006208BB"/>
    <w:rsid w:val="00621695"/>
    <w:rsid w:val="00622426"/>
    <w:rsid w:val="0063344F"/>
    <w:rsid w:val="006416B9"/>
    <w:rsid w:val="00646932"/>
    <w:rsid w:val="00647816"/>
    <w:rsid w:val="00652BC9"/>
    <w:rsid w:val="00661E3E"/>
    <w:rsid w:val="00662C84"/>
    <w:rsid w:val="00670DE6"/>
    <w:rsid w:val="00676373"/>
    <w:rsid w:val="006859A6"/>
    <w:rsid w:val="00692F45"/>
    <w:rsid w:val="006943C2"/>
    <w:rsid w:val="006A1DC0"/>
    <w:rsid w:val="006A2380"/>
    <w:rsid w:val="006B4AE4"/>
    <w:rsid w:val="006C5D46"/>
    <w:rsid w:val="006D5DF0"/>
    <w:rsid w:val="006E029E"/>
    <w:rsid w:val="006E3105"/>
    <w:rsid w:val="006F67D6"/>
    <w:rsid w:val="00710BA5"/>
    <w:rsid w:val="00714FE2"/>
    <w:rsid w:val="007266C1"/>
    <w:rsid w:val="0073083C"/>
    <w:rsid w:val="007312E1"/>
    <w:rsid w:val="007379DB"/>
    <w:rsid w:val="00746F25"/>
    <w:rsid w:val="007516DB"/>
    <w:rsid w:val="00753688"/>
    <w:rsid w:val="00762D50"/>
    <w:rsid w:val="007921C4"/>
    <w:rsid w:val="007923FE"/>
    <w:rsid w:val="00793878"/>
    <w:rsid w:val="00794BC0"/>
    <w:rsid w:val="00794D32"/>
    <w:rsid w:val="007A6705"/>
    <w:rsid w:val="007B2B99"/>
    <w:rsid w:val="007B5225"/>
    <w:rsid w:val="007B5FA6"/>
    <w:rsid w:val="007B6AA6"/>
    <w:rsid w:val="007B7BC0"/>
    <w:rsid w:val="007C1B96"/>
    <w:rsid w:val="007D396A"/>
    <w:rsid w:val="007E12E5"/>
    <w:rsid w:val="007E3109"/>
    <w:rsid w:val="007E5C07"/>
    <w:rsid w:val="00803C14"/>
    <w:rsid w:val="00810D71"/>
    <w:rsid w:val="00825BCB"/>
    <w:rsid w:val="00833879"/>
    <w:rsid w:val="00836B1E"/>
    <w:rsid w:val="00842DA7"/>
    <w:rsid w:val="00860F76"/>
    <w:rsid w:val="008633BF"/>
    <w:rsid w:val="00882C5D"/>
    <w:rsid w:val="00883FE9"/>
    <w:rsid w:val="00884DAE"/>
    <w:rsid w:val="0088781F"/>
    <w:rsid w:val="00890C3C"/>
    <w:rsid w:val="00896F1C"/>
    <w:rsid w:val="008A13F9"/>
    <w:rsid w:val="008A52F1"/>
    <w:rsid w:val="008D11EA"/>
    <w:rsid w:val="008D2198"/>
    <w:rsid w:val="008D477D"/>
    <w:rsid w:val="008D4D8D"/>
    <w:rsid w:val="008E5BB7"/>
    <w:rsid w:val="008E7120"/>
    <w:rsid w:val="00900F26"/>
    <w:rsid w:val="00913363"/>
    <w:rsid w:val="009166CE"/>
    <w:rsid w:val="00920F36"/>
    <w:rsid w:val="009274C3"/>
    <w:rsid w:val="00931DE8"/>
    <w:rsid w:val="009568C0"/>
    <w:rsid w:val="00965438"/>
    <w:rsid w:val="00973552"/>
    <w:rsid w:val="0097762C"/>
    <w:rsid w:val="0098675C"/>
    <w:rsid w:val="009A19AC"/>
    <w:rsid w:val="009A4881"/>
    <w:rsid w:val="009C5995"/>
    <w:rsid w:val="009D4CD9"/>
    <w:rsid w:val="009E0CED"/>
    <w:rsid w:val="009F2943"/>
    <w:rsid w:val="009F66F8"/>
    <w:rsid w:val="00A051E0"/>
    <w:rsid w:val="00A1775C"/>
    <w:rsid w:val="00A21DF6"/>
    <w:rsid w:val="00A26097"/>
    <w:rsid w:val="00A26CC8"/>
    <w:rsid w:val="00A34497"/>
    <w:rsid w:val="00A4532B"/>
    <w:rsid w:val="00A4699E"/>
    <w:rsid w:val="00A53B9D"/>
    <w:rsid w:val="00A6627F"/>
    <w:rsid w:val="00A67274"/>
    <w:rsid w:val="00A7042E"/>
    <w:rsid w:val="00A7451E"/>
    <w:rsid w:val="00A774CC"/>
    <w:rsid w:val="00A8343B"/>
    <w:rsid w:val="00A86277"/>
    <w:rsid w:val="00A97D05"/>
    <w:rsid w:val="00AC154F"/>
    <w:rsid w:val="00AC4BF9"/>
    <w:rsid w:val="00AD619C"/>
    <w:rsid w:val="00AE05F1"/>
    <w:rsid w:val="00AF1645"/>
    <w:rsid w:val="00AF1A51"/>
    <w:rsid w:val="00AF493A"/>
    <w:rsid w:val="00B001F0"/>
    <w:rsid w:val="00B022DD"/>
    <w:rsid w:val="00B150C0"/>
    <w:rsid w:val="00B16E48"/>
    <w:rsid w:val="00B21B1A"/>
    <w:rsid w:val="00B31B94"/>
    <w:rsid w:val="00B3682C"/>
    <w:rsid w:val="00B36AF0"/>
    <w:rsid w:val="00B4041F"/>
    <w:rsid w:val="00B45160"/>
    <w:rsid w:val="00B54674"/>
    <w:rsid w:val="00B56892"/>
    <w:rsid w:val="00B711AA"/>
    <w:rsid w:val="00B74176"/>
    <w:rsid w:val="00B807A2"/>
    <w:rsid w:val="00B82C11"/>
    <w:rsid w:val="00B85FEA"/>
    <w:rsid w:val="00B90BC3"/>
    <w:rsid w:val="00BA247B"/>
    <w:rsid w:val="00BB6D36"/>
    <w:rsid w:val="00BD592A"/>
    <w:rsid w:val="00BE2E18"/>
    <w:rsid w:val="00BE5641"/>
    <w:rsid w:val="00BF3EC8"/>
    <w:rsid w:val="00BF4C34"/>
    <w:rsid w:val="00C039DB"/>
    <w:rsid w:val="00C064BF"/>
    <w:rsid w:val="00C06973"/>
    <w:rsid w:val="00C151E5"/>
    <w:rsid w:val="00C22515"/>
    <w:rsid w:val="00C260BB"/>
    <w:rsid w:val="00C309C6"/>
    <w:rsid w:val="00C30F70"/>
    <w:rsid w:val="00C44802"/>
    <w:rsid w:val="00C533DB"/>
    <w:rsid w:val="00C5469A"/>
    <w:rsid w:val="00C5588C"/>
    <w:rsid w:val="00C5756E"/>
    <w:rsid w:val="00C628A4"/>
    <w:rsid w:val="00C6733B"/>
    <w:rsid w:val="00C70658"/>
    <w:rsid w:val="00C808EE"/>
    <w:rsid w:val="00C84E21"/>
    <w:rsid w:val="00C90063"/>
    <w:rsid w:val="00C90396"/>
    <w:rsid w:val="00C9373E"/>
    <w:rsid w:val="00CD0123"/>
    <w:rsid w:val="00CD03E8"/>
    <w:rsid w:val="00CD508E"/>
    <w:rsid w:val="00CD675E"/>
    <w:rsid w:val="00CD77CC"/>
    <w:rsid w:val="00CD77FA"/>
    <w:rsid w:val="00CE4CE8"/>
    <w:rsid w:val="00CE4D1B"/>
    <w:rsid w:val="00CF2598"/>
    <w:rsid w:val="00CF755E"/>
    <w:rsid w:val="00D00D5B"/>
    <w:rsid w:val="00D03190"/>
    <w:rsid w:val="00D17B9D"/>
    <w:rsid w:val="00D2047D"/>
    <w:rsid w:val="00D27F97"/>
    <w:rsid w:val="00D336BF"/>
    <w:rsid w:val="00D55943"/>
    <w:rsid w:val="00D72673"/>
    <w:rsid w:val="00D966AE"/>
    <w:rsid w:val="00DA5956"/>
    <w:rsid w:val="00DA75FD"/>
    <w:rsid w:val="00DB64CC"/>
    <w:rsid w:val="00DD0794"/>
    <w:rsid w:val="00DD42CA"/>
    <w:rsid w:val="00DF05B7"/>
    <w:rsid w:val="00DF70B8"/>
    <w:rsid w:val="00E03229"/>
    <w:rsid w:val="00E1070C"/>
    <w:rsid w:val="00E16435"/>
    <w:rsid w:val="00E20A1D"/>
    <w:rsid w:val="00E3620A"/>
    <w:rsid w:val="00E41E99"/>
    <w:rsid w:val="00E4230A"/>
    <w:rsid w:val="00E4580C"/>
    <w:rsid w:val="00E45F66"/>
    <w:rsid w:val="00E500E3"/>
    <w:rsid w:val="00E50CDD"/>
    <w:rsid w:val="00E52BFA"/>
    <w:rsid w:val="00E542F3"/>
    <w:rsid w:val="00E65931"/>
    <w:rsid w:val="00E842D0"/>
    <w:rsid w:val="00E854F0"/>
    <w:rsid w:val="00E97488"/>
    <w:rsid w:val="00EB193B"/>
    <w:rsid w:val="00EE16B0"/>
    <w:rsid w:val="00EF0CBA"/>
    <w:rsid w:val="00EF6852"/>
    <w:rsid w:val="00F16806"/>
    <w:rsid w:val="00F279E8"/>
    <w:rsid w:val="00F27F0D"/>
    <w:rsid w:val="00F30DBB"/>
    <w:rsid w:val="00F35392"/>
    <w:rsid w:val="00F50DE2"/>
    <w:rsid w:val="00F55D8E"/>
    <w:rsid w:val="00F572A6"/>
    <w:rsid w:val="00F74D13"/>
    <w:rsid w:val="00F80EB1"/>
    <w:rsid w:val="00F84A9E"/>
    <w:rsid w:val="00F85722"/>
    <w:rsid w:val="00F91606"/>
    <w:rsid w:val="00F94330"/>
    <w:rsid w:val="00FB4325"/>
    <w:rsid w:val="00FC4C8B"/>
    <w:rsid w:val="00FC62A8"/>
    <w:rsid w:val="00FE17D3"/>
    <w:rsid w:val="00FE3568"/>
    <w:rsid w:val="00FE5117"/>
    <w:rsid w:val="00FF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0" w:uiPriority="0" w:unhideWhenUsed="0"/>
    <w:lsdException w:name="header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4892"/>
    <w:rPr>
      <w:sz w:val="20"/>
      <w:szCs w:val="20"/>
      <w:lang w:val="cs-CZ"/>
    </w:rPr>
  </w:style>
  <w:style w:type="paragraph" w:styleId="Nadpis1">
    <w:name w:val="heading 1"/>
    <w:basedOn w:val="Normlny"/>
    <w:next w:val="Normlny"/>
    <w:link w:val="Nadpis1Char"/>
    <w:uiPriority w:val="99"/>
    <w:qFormat/>
    <w:rsid w:val="000B1545"/>
    <w:pPr>
      <w:keepNext/>
      <w:ind w:right="-1"/>
      <w:outlineLvl w:val="0"/>
    </w:pPr>
    <w:rPr>
      <w:b/>
      <w:sz w:val="24"/>
      <w:u w:val="single"/>
      <w:lang w:val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0B1545"/>
    <w:pPr>
      <w:keepNext/>
      <w:ind w:right="-1"/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uiPriority w:val="99"/>
    <w:qFormat/>
    <w:rsid w:val="000B1545"/>
    <w:pPr>
      <w:keepNext/>
      <w:ind w:right="-1"/>
      <w:jc w:val="center"/>
      <w:outlineLvl w:val="2"/>
    </w:pPr>
    <w:rPr>
      <w:b/>
      <w:bCs/>
      <w:lang w:val="sk-SK"/>
    </w:rPr>
  </w:style>
  <w:style w:type="paragraph" w:styleId="Nadpis4">
    <w:name w:val="heading 4"/>
    <w:basedOn w:val="Normlny"/>
    <w:next w:val="Normlny"/>
    <w:link w:val="Nadpis4Char"/>
    <w:uiPriority w:val="99"/>
    <w:qFormat/>
    <w:rsid w:val="000B1545"/>
    <w:pPr>
      <w:keepNext/>
      <w:ind w:right="-1"/>
      <w:jc w:val="both"/>
      <w:outlineLvl w:val="3"/>
    </w:pPr>
    <w:rPr>
      <w:i/>
      <w:iCs/>
      <w:sz w:val="24"/>
      <w:lang w:val="sk-SK"/>
    </w:rPr>
  </w:style>
  <w:style w:type="paragraph" w:styleId="Nadpis5">
    <w:name w:val="heading 5"/>
    <w:basedOn w:val="Normlny"/>
    <w:next w:val="Normlny"/>
    <w:link w:val="Nadpis5Char"/>
    <w:uiPriority w:val="99"/>
    <w:qFormat/>
    <w:rsid w:val="000B1545"/>
    <w:pPr>
      <w:keepNext/>
      <w:ind w:right="-1"/>
      <w:jc w:val="both"/>
      <w:outlineLvl w:val="4"/>
    </w:pPr>
    <w:rPr>
      <w:rFonts w:ascii="Arial" w:hAnsi="Arial" w:cs="Arial"/>
      <w:i/>
      <w:iCs/>
      <w:lang w:val="sk-SK"/>
    </w:rPr>
  </w:style>
  <w:style w:type="paragraph" w:styleId="Nadpis6">
    <w:name w:val="heading 6"/>
    <w:basedOn w:val="Normlny"/>
    <w:next w:val="Normlny"/>
    <w:link w:val="Nadpis6Char"/>
    <w:uiPriority w:val="99"/>
    <w:qFormat/>
    <w:rsid w:val="000B1545"/>
    <w:pPr>
      <w:keepNext/>
      <w:ind w:right="-1"/>
      <w:jc w:val="both"/>
      <w:outlineLvl w:val="5"/>
    </w:pPr>
    <w:rPr>
      <w:rFonts w:ascii="Arial" w:hAnsi="Arial" w:cs="Arial"/>
      <w:u w:val="single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6733A"/>
    <w:rPr>
      <w:rFonts w:asciiTheme="majorHAnsi" w:eastAsiaTheme="majorEastAsia" w:hAnsiTheme="majorHAnsi" w:cstheme="majorBidi"/>
      <w:b/>
      <w:bCs/>
      <w:kern w:val="32"/>
      <w:sz w:val="32"/>
      <w:szCs w:val="32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6733A"/>
    <w:rPr>
      <w:rFonts w:asciiTheme="majorHAnsi" w:eastAsiaTheme="majorEastAsia" w:hAnsiTheme="majorHAnsi" w:cstheme="majorBidi"/>
      <w:b/>
      <w:bCs/>
      <w:i/>
      <w:iCs/>
      <w:sz w:val="28"/>
      <w:szCs w:val="28"/>
      <w:lang w:val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6733A"/>
    <w:rPr>
      <w:rFonts w:asciiTheme="majorHAnsi" w:eastAsiaTheme="majorEastAsia" w:hAnsiTheme="majorHAnsi" w:cstheme="majorBidi"/>
      <w:b/>
      <w:bCs/>
      <w:sz w:val="26"/>
      <w:szCs w:val="26"/>
      <w:lang w:val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6733A"/>
    <w:rPr>
      <w:rFonts w:asciiTheme="minorHAnsi" w:eastAsiaTheme="minorEastAsia" w:hAnsiTheme="minorHAnsi" w:cstheme="minorBidi"/>
      <w:b/>
      <w:bCs/>
      <w:sz w:val="28"/>
      <w:szCs w:val="28"/>
      <w:lang w:val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6733A"/>
    <w:rPr>
      <w:rFonts w:asciiTheme="minorHAnsi" w:eastAsiaTheme="minorEastAsia" w:hAnsiTheme="minorHAnsi" w:cstheme="minorBidi"/>
      <w:b/>
      <w:bCs/>
      <w:i/>
      <w:iCs/>
      <w:sz w:val="26"/>
      <w:szCs w:val="26"/>
      <w:lang w:val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6733A"/>
    <w:rPr>
      <w:rFonts w:asciiTheme="minorHAnsi" w:eastAsiaTheme="minorEastAsia" w:hAnsiTheme="minorHAnsi" w:cstheme="minorBidi"/>
      <w:b/>
      <w:bCs/>
      <w:lang w:val="cs-CZ"/>
    </w:rPr>
  </w:style>
  <w:style w:type="paragraph" w:styleId="Zkladntext">
    <w:name w:val="Body Text"/>
    <w:basedOn w:val="Normlny"/>
    <w:link w:val="ZkladntextChar"/>
    <w:uiPriority w:val="99"/>
    <w:rsid w:val="000B1545"/>
    <w:pPr>
      <w:ind w:right="-1"/>
      <w:jc w:val="both"/>
    </w:pPr>
    <w:rPr>
      <w:sz w:val="24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36733A"/>
    <w:rPr>
      <w:sz w:val="20"/>
      <w:szCs w:val="20"/>
      <w:lang w:val="cs-CZ"/>
    </w:rPr>
  </w:style>
  <w:style w:type="paragraph" w:styleId="Hlavika">
    <w:name w:val="header"/>
    <w:basedOn w:val="Normlny"/>
    <w:link w:val="HlavikaChar"/>
    <w:uiPriority w:val="99"/>
    <w:rsid w:val="000B154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150C0"/>
    <w:rPr>
      <w:lang w:val="cs-CZ"/>
    </w:rPr>
  </w:style>
  <w:style w:type="paragraph" w:styleId="Pta">
    <w:name w:val="footer"/>
    <w:basedOn w:val="Normlny"/>
    <w:link w:val="PtaChar"/>
    <w:uiPriority w:val="99"/>
    <w:rsid w:val="000B154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CE4D1B"/>
    <w:rPr>
      <w:lang w:val="cs-CZ"/>
    </w:rPr>
  </w:style>
  <w:style w:type="character" w:styleId="slostrany">
    <w:name w:val="page number"/>
    <w:basedOn w:val="Predvolenpsmoodseku"/>
    <w:uiPriority w:val="99"/>
    <w:rsid w:val="000B1545"/>
    <w:rPr>
      <w:rFonts w:cs="Times New Roman"/>
    </w:rPr>
  </w:style>
  <w:style w:type="paragraph" w:styleId="Zkladntext2">
    <w:name w:val="Body Text 2"/>
    <w:basedOn w:val="Normlny"/>
    <w:link w:val="Zkladntext2Char"/>
    <w:uiPriority w:val="99"/>
    <w:rsid w:val="000B1545"/>
    <w:pPr>
      <w:ind w:right="-1"/>
      <w:jc w:val="both"/>
    </w:pPr>
    <w:rPr>
      <w:rFonts w:ascii="Arial" w:hAnsi="Arial" w:cs="Arial"/>
      <w:lang w:val="sk-SK"/>
    </w:r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36733A"/>
    <w:rPr>
      <w:sz w:val="20"/>
      <w:szCs w:val="20"/>
      <w:lang w:val="cs-CZ"/>
    </w:rPr>
  </w:style>
  <w:style w:type="paragraph" w:styleId="Zkladntext3">
    <w:name w:val="Body Text 3"/>
    <w:basedOn w:val="Normlny"/>
    <w:link w:val="Zkladntext3Char"/>
    <w:uiPriority w:val="99"/>
    <w:rsid w:val="000B1545"/>
    <w:pPr>
      <w:ind w:right="-1"/>
      <w:jc w:val="both"/>
    </w:pPr>
    <w:rPr>
      <w:rFonts w:ascii="Arial" w:hAnsi="Arial" w:cs="Arial"/>
      <w:color w:val="FF0000"/>
      <w:lang w:val="sk-SK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36733A"/>
    <w:rPr>
      <w:sz w:val="16"/>
      <w:szCs w:val="16"/>
      <w:lang w:val="cs-CZ"/>
    </w:rPr>
  </w:style>
  <w:style w:type="paragraph" w:styleId="Textbubliny">
    <w:name w:val="Balloon Text"/>
    <w:basedOn w:val="Normlny"/>
    <w:link w:val="TextbublinyChar"/>
    <w:uiPriority w:val="99"/>
    <w:semiHidden/>
    <w:rsid w:val="00DB64C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733A"/>
    <w:rPr>
      <w:sz w:val="0"/>
      <w:szCs w:val="0"/>
      <w:lang w:val="cs-CZ"/>
    </w:rPr>
  </w:style>
  <w:style w:type="paragraph" w:customStyle="1" w:styleId="knZulassung02">
    <w:name w:val="knZulassung02"/>
    <w:basedOn w:val="Normlny"/>
    <w:uiPriority w:val="99"/>
    <w:rsid w:val="001D7EC2"/>
    <w:pPr>
      <w:widowControl w:val="0"/>
      <w:suppressAutoHyphens/>
      <w:autoSpaceDE w:val="0"/>
      <w:ind w:left="1843" w:right="284"/>
    </w:pPr>
    <w:rPr>
      <w:rFonts w:ascii="Courier" w:hAnsi="Courier" w:cs="Courier"/>
      <w:sz w:val="24"/>
      <w:szCs w:val="24"/>
      <w:lang w:val="en-AU" w:eastAsia="ar-SA"/>
    </w:rPr>
  </w:style>
  <w:style w:type="paragraph" w:customStyle="1" w:styleId="Normlnysozarkami1">
    <w:name w:val="Normálny so zarážkami1"/>
    <w:basedOn w:val="Normlny"/>
    <w:uiPriority w:val="99"/>
    <w:rsid w:val="001D7EC2"/>
    <w:pPr>
      <w:widowControl w:val="0"/>
      <w:suppressAutoHyphens/>
      <w:spacing w:after="120"/>
      <w:ind w:left="720"/>
    </w:pPr>
    <w:rPr>
      <w:sz w:val="22"/>
      <w:szCs w:val="22"/>
      <w:lang w:val="en-GB" w:eastAsia="ar-SA"/>
    </w:rPr>
  </w:style>
  <w:style w:type="paragraph" w:styleId="Zoznam">
    <w:name w:val="List"/>
    <w:basedOn w:val="Zkladntext"/>
    <w:uiPriority w:val="99"/>
    <w:rsid w:val="001D7EC2"/>
    <w:pPr>
      <w:widowControl w:val="0"/>
      <w:suppressAutoHyphens/>
      <w:spacing w:after="120"/>
      <w:ind w:right="0"/>
      <w:jc w:val="left"/>
    </w:pPr>
    <w:rPr>
      <w:rFonts w:cs="Tahoma"/>
      <w:sz w:val="22"/>
      <w:szCs w:val="22"/>
      <w:lang w:val="en-GB" w:eastAsia="ar-SA"/>
    </w:rPr>
  </w:style>
  <w:style w:type="paragraph" w:styleId="Nzov">
    <w:name w:val="Title"/>
    <w:basedOn w:val="Normlny"/>
    <w:link w:val="NzovChar"/>
    <w:uiPriority w:val="99"/>
    <w:qFormat/>
    <w:rsid w:val="00900F26"/>
    <w:pPr>
      <w:ind w:right="-1"/>
      <w:jc w:val="center"/>
    </w:pPr>
    <w:rPr>
      <w:b/>
      <w:sz w:val="24"/>
      <w:lang w:val="sk-SK"/>
    </w:rPr>
  </w:style>
  <w:style w:type="character" w:customStyle="1" w:styleId="NzovChar">
    <w:name w:val="Názov Char"/>
    <w:basedOn w:val="Predvolenpsmoodseku"/>
    <w:link w:val="Nzov"/>
    <w:uiPriority w:val="99"/>
    <w:locked/>
    <w:rsid w:val="00900F26"/>
    <w:rPr>
      <w:b/>
      <w:sz w:val="24"/>
    </w:rPr>
  </w:style>
  <w:style w:type="paragraph" w:styleId="Bezriadkovania">
    <w:name w:val="No Spacing"/>
    <w:uiPriority w:val="99"/>
    <w:qFormat/>
    <w:rsid w:val="00E03229"/>
    <w:pPr>
      <w:widowControl w:val="0"/>
      <w:suppressAutoHyphens/>
    </w:pPr>
    <w:rPr>
      <w:lang w:val="en-GB" w:eastAsia="ar-SA"/>
    </w:rPr>
  </w:style>
  <w:style w:type="character" w:styleId="Zvraznenie">
    <w:name w:val="Emphasis"/>
    <w:basedOn w:val="Predvolenpsmoodseku"/>
    <w:uiPriority w:val="99"/>
    <w:qFormat/>
    <w:rsid w:val="00E4230A"/>
    <w:rPr>
      <w:rFonts w:cs="Times New Roman"/>
      <w:i/>
    </w:rPr>
  </w:style>
  <w:style w:type="paragraph" w:customStyle="1" w:styleId="Zkladntext31">
    <w:name w:val="Základný text 31"/>
    <w:basedOn w:val="Normlny"/>
    <w:uiPriority w:val="99"/>
    <w:rsid w:val="00E4230A"/>
    <w:pPr>
      <w:widowControl w:val="0"/>
      <w:suppressAutoHyphens/>
      <w:autoSpaceDE w:val="0"/>
    </w:pPr>
    <w:rPr>
      <w:sz w:val="24"/>
      <w:szCs w:val="24"/>
      <w:lang w:val="en-GB" w:eastAsia="ar-SA"/>
    </w:rPr>
  </w:style>
  <w:style w:type="paragraph" w:styleId="Normlnysozarkami">
    <w:name w:val="Normal Indent"/>
    <w:basedOn w:val="Normlny"/>
    <w:uiPriority w:val="99"/>
    <w:rsid w:val="006416B9"/>
    <w:pPr>
      <w:spacing w:after="120"/>
      <w:ind w:left="720"/>
    </w:pPr>
    <w:rPr>
      <w:sz w:val="22"/>
      <w:szCs w:val="22"/>
      <w:lang w:val="en-GB" w:eastAsia="en-GB"/>
    </w:rPr>
  </w:style>
  <w:style w:type="paragraph" w:styleId="Zoznam2">
    <w:name w:val="List 2"/>
    <w:basedOn w:val="Normlny"/>
    <w:uiPriority w:val="99"/>
    <w:rsid w:val="00587296"/>
    <w:pPr>
      <w:ind w:left="566" w:hanging="283"/>
      <w:contextualSpacing/>
    </w:pPr>
  </w:style>
  <w:style w:type="paragraph" w:styleId="Pokraovaniezoznamu">
    <w:name w:val="List Continue"/>
    <w:basedOn w:val="Normlny"/>
    <w:uiPriority w:val="99"/>
    <w:rsid w:val="00973552"/>
    <w:pPr>
      <w:spacing w:after="120"/>
      <w:ind w:left="283"/>
      <w:contextualSpacing/>
    </w:pPr>
  </w:style>
  <w:style w:type="character" w:styleId="Odkaznakomentr">
    <w:name w:val="annotation reference"/>
    <w:basedOn w:val="Predvolenpsmoodseku"/>
    <w:uiPriority w:val="99"/>
    <w:semiHidden/>
    <w:rsid w:val="006149F0"/>
    <w:rPr>
      <w:rFonts w:cs="Times New Roman"/>
      <w:sz w:val="16"/>
    </w:rPr>
  </w:style>
  <w:style w:type="paragraph" w:styleId="Textkomentra">
    <w:name w:val="annotation text"/>
    <w:basedOn w:val="Normlny"/>
    <w:link w:val="TextkomentraChar"/>
    <w:uiPriority w:val="99"/>
    <w:semiHidden/>
    <w:rsid w:val="006149F0"/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6733A"/>
    <w:rPr>
      <w:sz w:val="20"/>
      <w:szCs w:val="20"/>
      <w:lang w:val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6149F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6733A"/>
    <w:rPr>
      <w:b/>
      <w:bCs/>
    </w:rPr>
  </w:style>
  <w:style w:type="character" w:styleId="Hypertextovprepojenie">
    <w:name w:val="Hyperlink"/>
    <w:basedOn w:val="Predvolenpsmoodseku"/>
    <w:uiPriority w:val="99"/>
    <w:rsid w:val="006C5D4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64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ma.europa.eu/docs/en_GB/document_library/Template_or_form/2013/03/WC500139752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2041</Words>
  <Characters>13341</Characters>
  <Application>Microsoft Office Word</Application>
  <DocSecurity>0</DocSecurity>
  <Lines>111</Lines>
  <Paragraphs>30</Paragraphs>
  <ScaleCrop>false</ScaleCrop>
  <Company>Hewlett-Packard Company</Company>
  <LinksUpToDate>false</LinksUpToDate>
  <CharactersWithSpaces>15352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SÚHRN CHARAKTERISTICKÝCH VLASTNOSTÍ LIEKU</dc:title>
  <dc:creator>adriena</dc:creator>
  <cp:lastModifiedBy>m.nadaska</cp:lastModifiedBy>
  <cp:revision>3</cp:revision>
  <cp:lastPrinted>2013-02-14T13:55:00Z</cp:lastPrinted>
  <dcterms:created xsi:type="dcterms:W3CDTF">2014-08-15T08:17:00Z</dcterms:created>
  <dcterms:modified xsi:type="dcterms:W3CDTF">2014-08-15T08:21:00Z</dcterms:modified>
</cp:coreProperties>
</file>