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674" w:rsidRPr="00DB4491" w:rsidRDefault="00E67674" w:rsidP="00E67674">
      <w:pPr>
        <w:pStyle w:val="Hlavika"/>
        <w:rPr>
          <w:sz w:val="18"/>
          <w:szCs w:val="18"/>
        </w:rPr>
      </w:pPr>
      <w:bookmarkStart w:id="0" w:name="_GoBack"/>
      <w:bookmarkEnd w:id="0"/>
    </w:p>
    <w:p w:rsidR="00CB2E57" w:rsidRPr="00DB4491" w:rsidRDefault="00CB2E57" w:rsidP="00CB2E57">
      <w:pPr>
        <w:autoSpaceDE w:val="0"/>
        <w:autoSpaceDN w:val="0"/>
        <w:adjustRightInd w:val="0"/>
        <w:jc w:val="center"/>
        <w:rPr>
          <w:b/>
          <w:bCs/>
          <w:caps/>
          <w:sz w:val="22"/>
          <w:szCs w:val="22"/>
        </w:rPr>
      </w:pPr>
      <w:r w:rsidRPr="00DB4491">
        <w:rPr>
          <w:b/>
          <w:bCs/>
          <w:caps/>
          <w:sz w:val="22"/>
          <w:szCs w:val="22"/>
        </w:rPr>
        <w:t>Súhrn charakteristických vlastností lieku</w:t>
      </w:r>
    </w:p>
    <w:p w:rsidR="00CB2E57" w:rsidRPr="00DB4491" w:rsidRDefault="00CB2E57" w:rsidP="002379F8">
      <w:pPr>
        <w:autoSpaceDE w:val="0"/>
        <w:autoSpaceDN w:val="0"/>
        <w:adjustRightInd w:val="0"/>
        <w:jc w:val="both"/>
        <w:rPr>
          <w:sz w:val="22"/>
          <w:szCs w:val="22"/>
        </w:rPr>
      </w:pPr>
    </w:p>
    <w:p w:rsidR="00CB2E57" w:rsidRPr="00DB4491" w:rsidRDefault="00CB2E57" w:rsidP="002379F8">
      <w:pPr>
        <w:autoSpaceDE w:val="0"/>
        <w:autoSpaceDN w:val="0"/>
        <w:adjustRightInd w:val="0"/>
        <w:jc w:val="both"/>
        <w:rPr>
          <w:sz w:val="22"/>
          <w:szCs w:val="22"/>
        </w:rPr>
      </w:pPr>
    </w:p>
    <w:p w:rsidR="002379F8" w:rsidRPr="00DB4491" w:rsidRDefault="006E3B66" w:rsidP="00E81FD6">
      <w:pPr>
        <w:tabs>
          <w:tab w:val="left" w:pos="567"/>
        </w:tabs>
        <w:autoSpaceDE w:val="0"/>
        <w:autoSpaceDN w:val="0"/>
        <w:adjustRightInd w:val="0"/>
        <w:jc w:val="both"/>
        <w:rPr>
          <w:b/>
          <w:bCs/>
          <w:sz w:val="22"/>
          <w:szCs w:val="22"/>
        </w:rPr>
      </w:pPr>
      <w:r w:rsidRPr="00DB4491">
        <w:rPr>
          <w:b/>
          <w:bCs/>
          <w:sz w:val="22"/>
          <w:szCs w:val="22"/>
        </w:rPr>
        <w:t>1.</w:t>
      </w:r>
      <w:r w:rsidRPr="00DB4491">
        <w:rPr>
          <w:b/>
          <w:bCs/>
          <w:sz w:val="22"/>
          <w:szCs w:val="22"/>
        </w:rPr>
        <w:tab/>
      </w:r>
      <w:r w:rsidR="002379F8" w:rsidRPr="00DB4491">
        <w:rPr>
          <w:b/>
          <w:bCs/>
          <w:sz w:val="22"/>
          <w:szCs w:val="22"/>
        </w:rPr>
        <w:t>NÁZOV LIEKU</w:t>
      </w:r>
    </w:p>
    <w:p w:rsidR="00505F30" w:rsidRPr="00DB4491" w:rsidRDefault="00505F30" w:rsidP="00E81FD6">
      <w:pPr>
        <w:tabs>
          <w:tab w:val="left" w:pos="567"/>
        </w:tabs>
        <w:autoSpaceDE w:val="0"/>
        <w:autoSpaceDN w:val="0"/>
        <w:adjustRightInd w:val="0"/>
        <w:jc w:val="both"/>
        <w:rPr>
          <w:b/>
          <w:bCs/>
          <w:sz w:val="22"/>
          <w:szCs w:val="22"/>
        </w:rPr>
      </w:pPr>
    </w:p>
    <w:p w:rsidR="005B690F" w:rsidRPr="00DB4491" w:rsidRDefault="00E81FD6" w:rsidP="00E81FD6">
      <w:pPr>
        <w:pStyle w:val="Odsekzoznamu"/>
        <w:shd w:val="clear" w:color="auto" w:fill="FFFFFF"/>
        <w:tabs>
          <w:tab w:val="left" w:pos="567"/>
        </w:tabs>
        <w:spacing w:after="0" w:line="240" w:lineRule="auto"/>
        <w:ind w:left="0"/>
        <w:jc w:val="both"/>
        <w:rPr>
          <w:rFonts w:ascii="Times New Roman" w:hAnsi="Times New Roman"/>
          <w:lang w:val="sk-SK"/>
        </w:rPr>
      </w:pPr>
      <w:r w:rsidRPr="00DB4491">
        <w:rPr>
          <w:rFonts w:ascii="Times New Roman" w:hAnsi="Times New Roman"/>
          <w:lang w:val="sk-SK"/>
        </w:rPr>
        <w:t xml:space="preserve">Sildenafil </w:t>
      </w:r>
      <w:proofErr w:type="spellStart"/>
      <w:r w:rsidRPr="00DB4491">
        <w:rPr>
          <w:rFonts w:ascii="Times New Roman" w:hAnsi="Times New Roman"/>
          <w:lang w:val="sk-SK"/>
        </w:rPr>
        <w:t>Medreg</w:t>
      </w:r>
      <w:proofErr w:type="spellEnd"/>
      <w:r w:rsidR="005B690F" w:rsidRPr="00DB4491">
        <w:rPr>
          <w:rFonts w:ascii="Times New Roman" w:hAnsi="Times New Roman"/>
          <w:lang w:val="sk-SK"/>
        </w:rPr>
        <w:t xml:space="preserve"> 25mg filmom obalené tablety</w:t>
      </w:r>
    </w:p>
    <w:p w:rsidR="00DB4491" w:rsidRPr="00DB4491" w:rsidRDefault="00DB4491" w:rsidP="00DB4491">
      <w:pPr>
        <w:pStyle w:val="Odsekzoznamu"/>
        <w:shd w:val="clear" w:color="auto" w:fill="FFFFFF"/>
        <w:tabs>
          <w:tab w:val="left" w:pos="567"/>
        </w:tabs>
        <w:spacing w:after="0" w:line="240" w:lineRule="auto"/>
        <w:ind w:left="0"/>
        <w:jc w:val="both"/>
        <w:rPr>
          <w:rFonts w:ascii="Times New Roman" w:hAnsi="Times New Roman"/>
          <w:lang w:val="sk-SK"/>
        </w:rPr>
      </w:pPr>
      <w:r w:rsidRPr="00DB4491">
        <w:rPr>
          <w:rFonts w:ascii="Times New Roman" w:hAnsi="Times New Roman"/>
          <w:lang w:val="sk-SK"/>
        </w:rPr>
        <w:t xml:space="preserve">Sildenafil Medreg </w:t>
      </w:r>
      <w:r>
        <w:rPr>
          <w:rFonts w:ascii="Times New Roman" w:hAnsi="Times New Roman"/>
          <w:lang w:val="sk-SK"/>
        </w:rPr>
        <w:t xml:space="preserve">50 </w:t>
      </w:r>
      <w:r w:rsidRPr="00DB4491">
        <w:rPr>
          <w:rFonts w:ascii="Times New Roman" w:hAnsi="Times New Roman"/>
          <w:lang w:val="sk-SK"/>
        </w:rPr>
        <w:t>mg filmom obalené tablety</w:t>
      </w:r>
    </w:p>
    <w:p w:rsidR="00DB4491" w:rsidRPr="00DB4491" w:rsidRDefault="00DB4491" w:rsidP="00DB4491">
      <w:pPr>
        <w:pStyle w:val="Odsekzoznamu"/>
        <w:shd w:val="clear" w:color="auto" w:fill="FFFFFF"/>
        <w:tabs>
          <w:tab w:val="left" w:pos="567"/>
        </w:tabs>
        <w:spacing w:after="0" w:line="240" w:lineRule="auto"/>
        <w:ind w:left="0"/>
        <w:jc w:val="both"/>
        <w:rPr>
          <w:rFonts w:ascii="Times New Roman" w:hAnsi="Times New Roman"/>
          <w:lang w:val="sk-SK"/>
        </w:rPr>
      </w:pPr>
      <w:r w:rsidRPr="00DB4491">
        <w:rPr>
          <w:rFonts w:ascii="Times New Roman" w:hAnsi="Times New Roman"/>
          <w:lang w:val="sk-SK"/>
        </w:rPr>
        <w:t xml:space="preserve">Sildenafil Medreg </w:t>
      </w:r>
      <w:r>
        <w:rPr>
          <w:rFonts w:ascii="Times New Roman" w:hAnsi="Times New Roman"/>
          <w:lang w:val="sk-SK"/>
        </w:rPr>
        <w:t xml:space="preserve">100 </w:t>
      </w:r>
      <w:r w:rsidRPr="00DB4491">
        <w:rPr>
          <w:rFonts w:ascii="Times New Roman" w:hAnsi="Times New Roman"/>
          <w:lang w:val="sk-SK"/>
        </w:rPr>
        <w:t>mg filmom obalené tablety</w:t>
      </w:r>
    </w:p>
    <w:p w:rsidR="0031627A" w:rsidRPr="00DB4491" w:rsidRDefault="0031627A" w:rsidP="00E81FD6">
      <w:pPr>
        <w:tabs>
          <w:tab w:val="left" w:pos="567"/>
        </w:tabs>
        <w:autoSpaceDE w:val="0"/>
        <w:autoSpaceDN w:val="0"/>
        <w:adjustRightInd w:val="0"/>
        <w:jc w:val="both"/>
        <w:rPr>
          <w:sz w:val="22"/>
          <w:szCs w:val="22"/>
        </w:rPr>
      </w:pPr>
    </w:p>
    <w:p w:rsidR="009B3BED" w:rsidRPr="00DB4491" w:rsidRDefault="009B3BED" w:rsidP="00E81FD6">
      <w:pPr>
        <w:tabs>
          <w:tab w:val="left" w:pos="567"/>
        </w:tabs>
        <w:autoSpaceDE w:val="0"/>
        <w:autoSpaceDN w:val="0"/>
        <w:adjustRightInd w:val="0"/>
        <w:jc w:val="both"/>
        <w:rPr>
          <w:sz w:val="22"/>
          <w:szCs w:val="22"/>
        </w:rPr>
      </w:pPr>
    </w:p>
    <w:p w:rsidR="002379F8" w:rsidRPr="00DB4491" w:rsidRDefault="0031627A" w:rsidP="00E81FD6">
      <w:pPr>
        <w:tabs>
          <w:tab w:val="left" w:pos="567"/>
        </w:tabs>
        <w:autoSpaceDE w:val="0"/>
        <w:autoSpaceDN w:val="0"/>
        <w:adjustRightInd w:val="0"/>
        <w:jc w:val="both"/>
        <w:rPr>
          <w:b/>
          <w:bCs/>
          <w:sz w:val="22"/>
          <w:szCs w:val="22"/>
        </w:rPr>
      </w:pPr>
      <w:r w:rsidRPr="00DB4491">
        <w:rPr>
          <w:b/>
          <w:bCs/>
          <w:sz w:val="22"/>
          <w:szCs w:val="22"/>
        </w:rPr>
        <w:t>2.</w:t>
      </w:r>
      <w:r w:rsidR="004A528E" w:rsidRPr="00DB4491">
        <w:rPr>
          <w:b/>
          <w:bCs/>
          <w:sz w:val="22"/>
          <w:szCs w:val="22"/>
        </w:rPr>
        <w:tab/>
      </w:r>
      <w:r w:rsidR="002379F8" w:rsidRPr="00DB4491">
        <w:rPr>
          <w:b/>
          <w:bCs/>
          <w:sz w:val="22"/>
          <w:szCs w:val="22"/>
        </w:rPr>
        <w:t>KVALITATÍVNE A KVANTITATÍVNE ZLOŽENIE</w:t>
      </w:r>
    </w:p>
    <w:p w:rsidR="00505F30" w:rsidRPr="00DB4491" w:rsidRDefault="00505F30" w:rsidP="00E81FD6">
      <w:pPr>
        <w:tabs>
          <w:tab w:val="left" w:pos="567"/>
        </w:tabs>
        <w:autoSpaceDE w:val="0"/>
        <w:autoSpaceDN w:val="0"/>
        <w:adjustRightInd w:val="0"/>
        <w:ind w:left="360"/>
        <w:jc w:val="both"/>
        <w:rPr>
          <w:b/>
          <w:bCs/>
          <w:sz w:val="22"/>
          <w:szCs w:val="22"/>
        </w:rPr>
      </w:pPr>
    </w:p>
    <w:p w:rsidR="00505F30" w:rsidRPr="00DB4491" w:rsidRDefault="005B690F" w:rsidP="00E81FD6">
      <w:pPr>
        <w:tabs>
          <w:tab w:val="left" w:pos="567"/>
        </w:tabs>
        <w:autoSpaceDE w:val="0"/>
        <w:autoSpaceDN w:val="0"/>
        <w:adjustRightInd w:val="0"/>
        <w:jc w:val="both"/>
        <w:rPr>
          <w:sz w:val="22"/>
          <w:szCs w:val="22"/>
        </w:rPr>
      </w:pPr>
      <w:r w:rsidRPr="00DB4491">
        <w:rPr>
          <w:sz w:val="22"/>
          <w:szCs w:val="22"/>
        </w:rPr>
        <w:t>Každá tableta obsahuje 25 mg sildenafilu ako sildenafil</w:t>
      </w:r>
      <w:r w:rsidR="00E81FD6" w:rsidRPr="00DB4491">
        <w:rPr>
          <w:sz w:val="22"/>
          <w:szCs w:val="22"/>
        </w:rPr>
        <w:t>-</w:t>
      </w:r>
      <w:r w:rsidRPr="00DB4491">
        <w:rPr>
          <w:sz w:val="22"/>
          <w:szCs w:val="22"/>
        </w:rPr>
        <w:t>citrát.</w:t>
      </w:r>
    </w:p>
    <w:p w:rsidR="005B690F" w:rsidRPr="00DB4491" w:rsidRDefault="005B690F" w:rsidP="00E81FD6">
      <w:pPr>
        <w:tabs>
          <w:tab w:val="left" w:pos="567"/>
        </w:tabs>
        <w:autoSpaceDE w:val="0"/>
        <w:autoSpaceDN w:val="0"/>
        <w:adjustRightInd w:val="0"/>
        <w:jc w:val="both"/>
        <w:rPr>
          <w:sz w:val="22"/>
          <w:szCs w:val="22"/>
        </w:rPr>
      </w:pPr>
      <w:r w:rsidRPr="00DB4491">
        <w:rPr>
          <w:sz w:val="22"/>
          <w:szCs w:val="22"/>
        </w:rPr>
        <w:t>Každá tableta obsahuje 50 mg sildenafilu ako sildenafil</w:t>
      </w:r>
      <w:r w:rsidR="00E81FD6" w:rsidRPr="00DB4491">
        <w:rPr>
          <w:sz w:val="22"/>
          <w:szCs w:val="22"/>
        </w:rPr>
        <w:t>-</w:t>
      </w:r>
      <w:r w:rsidRPr="00DB4491">
        <w:rPr>
          <w:sz w:val="22"/>
          <w:szCs w:val="22"/>
        </w:rPr>
        <w:t>citrát.</w:t>
      </w:r>
    </w:p>
    <w:p w:rsidR="005B690F" w:rsidRPr="00DB4491" w:rsidRDefault="005B690F" w:rsidP="00E81FD6">
      <w:pPr>
        <w:tabs>
          <w:tab w:val="left" w:pos="567"/>
        </w:tabs>
        <w:autoSpaceDE w:val="0"/>
        <w:autoSpaceDN w:val="0"/>
        <w:adjustRightInd w:val="0"/>
        <w:jc w:val="both"/>
        <w:rPr>
          <w:sz w:val="22"/>
          <w:szCs w:val="22"/>
        </w:rPr>
      </w:pPr>
      <w:r w:rsidRPr="00DB4491">
        <w:rPr>
          <w:sz w:val="22"/>
          <w:szCs w:val="22"/>
        </w:rPr>
        <w:t>Každá tableta obsahuje 100 mg sildenafilu ako sildenafil</w:t>
      </w:r>
      <w:r w:rsidR="00E81FD6" w:rsidRPr="00DB4491">
        <w:rPr>
          <w:sz w:val="22"/>
          <w:szCs w:val="22"/>
        </w:rPr>
        <w:t>-</w:t>
      </w:r>
      <w:r w:rsidRPr="00DB4491">
        <w:rPr>
          <w:sz w:val="22"/>
          <w:szCs w:val="22"/>
        </w:rPr>
        <w:t>citrát.</w:t>
      </w:r>
    </w:p>
    <w:p w:rsidR="005B690F" w:rsidRPr="00DB4491" w:rsidRDefault="005B690F" w:rsidP="00E81FD6">
      <w:pPr>
        <w:tabs>
          <w:tab w:val="left" w:pos="567"/>
        </w:tabs>
        <w:autoSpaceDE w:val="0"/>
        <w:autoSpaceDN w:val="0"/>
        <w:adjustRightInd w:val="0"/>
        <w:jc w:val="both"/>
        <w:rPr>
          <w:sz w:val="22"/>
          <w:szCs w:val="22"/>
        </w:rPr>
      </w:pPr>
    </w:p>
    <w:p w:rsidR="005B690F" w:rsidRPr="00DB4491" w:rsidRDefault="00706991" w:rsidP="00E81FD6">
      <w:pPr>
        <w:tabs>
          <w:tab w:val="left" w:pos="567"/>
        </w:tabs>
        <w:autoSpaceDE w:val="0"/>
        <w:autoSpaceDN w:val="0"/>
        <w:adjustRightInd w:val="0"/>
        <w:jc w:val="both"/>
        <w:rPr>
          <w:sz w:val="22"/>
          <w:szCs w:val="22"/>
        </w:rPr>
      </w:pPr>
      <w:r w:rsidRPr="00DB4491">
        <w:rPr>
          <w:sz w:val="22"/>
          <w:szCs w:val="22"/>
        </w:rPr>
        <w:t>Pomocná látka známym účinkom:</w:t>
      </w:r>
    </w:p>
    <w:p w:rsidR="00706991" w:rsidRPr="00DB4491" w:rsidRDefault="00706991" w:rsidP="00E81FD6">
      <w:pPr>
        <w:tabs>
          <w:tab w:val="left" w:pos="567"/>
        </w:tabs>
        <w:autoSpaceDE w:val="0"/>
        <w:autoSpaceDN w:val="0"/>
        <w:adjustRightInd w:val="0"/>
        <w:jc w:val="both"/>
        <w:rPr>
          <w:sz w:val="22"/>
          <w:szCs w:val="22"/>
        </w:rPr>
      </w:pPr>
      <w:r w:rsidRPr="00DB4491">
        <w:rPr>
          <w:sz w:val="22"/>
          <w:szCs w:val="22"/>
        </w:rPr>
        <w:t xml:space="preserve">Každá 25 mg tableta obsahuje </w:t>
      </w:r>
      <w:r w:rsidR="00214B7F" w:rsidRPr="00DB4491">
        <w:rPr>
          <w:sz w:val="22"/>
          <w:szCs w:val="22"/>
        </w:rPr>
        <w:t>1,86 mg monohydrát laktózy.</w:t>
      </w:r>
    </w:p>
    <w:p w:rsidR="00214B7F" w:rsidRPr="00DB4491" w:rsidRDefault="00214B7F" w:rsidP="00E81FD6">
      <w:pPr>
        <w:tabs>
          <w:tab w:val="left" w:pos="567"/>
        </w:tabs>
        <w:autoSpaceDE w:val="0"/>
        <w:autoSpaceDN w:val="0"/>
        <w:adjustRightInd w:val="0"/>
        <w:jc w:val="both"/>
        <w:rPr>
          <w:sz w:val="22"/>
          <w:szCs w:val="22"/>
        </w:rPr>
      </w:pPr>
      <w:r w:rsidRPr="00DB4491">
        <w:rPr>
          <w:sz w:val="22"/>
          <w:szCs w:val="22"/>
        </w:rPr>
        <w:t>Každá 50 mg tableta obsahuje 3,72 mg monohydrát laktózy.</w:t>
      </w:r>
    </w:p>
    <w:p w:rsidR="00214B7F" w:rsidRPr="00DB4491" w:rsidRDefault="00214B7F" w:rsidP="00E81FD6">
      <w:pPr>
        <w:tabs>
          <w:tab w:val="left" w:pos="567"/>
        </w:tabs>
        <w:autoSpaceDE w:val="0"/>
        <w:autoSpaceDN w:val="0"/>
        <w:adjustRightInd w:val="0"/>
        <w:jc w:val="both"/>
        <w:rPr>
          <w:sz w:val="22"/>
          <w:szCs w:val="22"/>
        </w:rPr>
      </w:pPr>
      <w:r w:rsidRPr="00DB4491">
        <w:rPr>
          <w:sz w:val="22"/>
          <w:szCs w:val="22"/>
        </w:rPr>
        <w:t>Každá 100 mg tableta obsahuje 7,44 mg monohydrát laktózy.</w:t>
      </w:r>
    </w:p>
    <w:p w:rsidR="00706991" w:rsidRPr="00DB4491" w:rsidRDefault="00706991" w:rsidP="00E81FD6">
      <w:pPr>
        <w:tabs>
          <w:tab w:val="left" w:pos="567"/>
        </w:tabs>
        <w:autoSpaceDE w:val="0"/>
        <w:autoSpaceDN w:val="0"/>
        <w:adjustRightInd w:val="0"/>
        <w:jc w:val="both"/>
        <w:rPr>
          <w:sz w:val="22"/>
          <w:szCs w:val="22"/>
        </w:rPr>
      </w:pPr>
    </w:p>
    <w:p w:rsidR="002379F8" w:rsidRPr="00DB4491" w:rsidRDefault="002379F8" w:rsidP="00E81FD6">
      <w:pPr>
        <w:tabs>
          <w:tab w:val="left" w:pos="567"/>
        </w:tabs>
        <w:autoSpaceDE w:val="0"/>
        <w:autoSpaceDN w:val="0"/>
        <w:adjustRightInd w:val="0"/>
        <w:jc w:val="both"/>
        <w:rPr>
          <w:sz w:val="22"/>
          <w:szCs w:val="22"/>
        </w:rPr>
      </w:pPr>
      <w:r w:rsidRPr="00DB4491">
        <w:rPr>
          <w:sz w:val="22"/>
          <w:szCs w:val="22"/>
        </w:rPr>
        <w:t>Úplný zoznam pomocných látok, pozri časť 6.1.</w:t>
      </w:r>
    </w:p>
    <w:p w:rsidR="0031627A" w:rsidRPr="00DB4491" w:rsidRDefault="0031627A" w:rsidP="00E81FD6">
      <w:pPr>
        <w:tabs>
          <w:tab w:val="left" w:pos="567"/>
        </w:tabs>
        <w:autoSpaceDE w:val="0"/>
        <w:autoSpaceDN w:val="0"/>
        <w:adjustRightInd w:val="0"/>
        <w:jc w:val="both"/>
        <w:rPr>
          <w:sz w:val="22"/>
          <w:szCs w:val="22"/>
        </w:rPr>
      </w:pPr>
    </w:p>
    <w:p w:rsidR="009B3BED" w:rsidRPr="00DB4491" w:rsidRDefault="009B3BED" w:rsidP="00E81FD6">
      <w:pPr>
        <w:tabs>
          <w:tab w:val="left" w:pos="567"/>
        </w:tabs>
        <w:autoSpaceDE w:val="0"/>
        <w:autoSpaceDN w:val="0"/>
        <w:adjustRightInd w:val="0"/>
        <w:jc w:val="both"/>
        <w:rPr>
          <w:sz w:val="22"/>
          <w:szCs w:val="22"/>
        </w:rPr>
      </w:pPr>
    </w:p>
    <w:p w:rsidR="002379F8" w:rsidRPr="00DB4491" w:rsidRDefault="00291E91" w:rsidP="00E81FD6">
      <w:pPr>
        <w:tabs>
          <w:tab w:val="left" w:pos="567"/>
        </w:tabs>
        <w:autoSpaceDE w:val="0"/>
        <w:autoSpaceDN w:val="0"/>
        <w:adjustRightInd w:val="0"/>
        <w:jc w:val="both"/>
        <w:rPr>
          <w:b/>
          <w:bCs/>
          <w:sz w:val="22"/>
          <w:szCs w:val="22"/>
        </w:rPr>
      </w:pPr>
      <w:r w:rsidRPr="00DB4491">
        <w:rPr>
          <w:b/>
          <w:bCs/>
          <w:sz w:val="22"/>
          <w:szCs w:val="22"/>
        </w:rPr>
        <w:t>3.</w:t>
      </w:r>
      <w:r w:rsidRPr="00DB4491">
        <w:rPr>
          <w:b/>
          <w:bCs/>
          <w:sz w:val="22"/>
          <w:szCs w:val="22"/>
        </w:rPr>
        <w:tab/>
      </w:r>
      <w:r w:rsidR="002379F8" w:rsidRPr="00DB4491">
        <w:rPr>
          <w:b/>
          <w:bCs/>
          <w:sz w:val="22"/>
          <w:szCs w:val="22"/>
        </w:rPr>
        <w:t>LIEKOVÁ FORMA</w:t>
      </w:r>
    </w:p>
    <w:p w:rsidR="0031627A" w:rsidRPr="00DB4491" w:rsidRDefault="0031627A" w:rsidP="00E81FD6">
      <w:pPr>
        <w:tabs>
          <w:tab w:val="left" w:pos="567"/>
        </w:tabs>
        <w:autoSpaceDE w:val="0"/>
        <w:autoSpaceDN w:val="0"/>
        <w:adjustRightInd w:val="0"/>
        <w:jc w:val="both"/>
        <w:rPr>
          <w:b/>
          <w:bCs/>
          <w:sz w:val="22"/>
          <w:szCs w:val="22"/>
        </w:rPr>
      </w:pPr>
    </w:p>
    <w:p w:rsidR="002379F8" w:rsidRPr="00DB4491" w:rsidRDefault="002379F8" w:rsidP="00E81FD6">
      <w:pPr>
        <w:tabs>
          <w:tab w:val="left" w:pos="567"/>
        </w:tabs>
        <w:autoSpaceDE w:val="0"/>
        <w:autoSpaceDN w:val="0"/>
        <w:adjustRightInd w:val="0"/>
        <w:jc w:val="both"/>
        <w:rPr>
          <w:sz w:val="22"/>
          <w:szCs w:val="22"/>
        </w:rPr>
      </w:pPr>
      <w:r w:rsidRPr="00DB4491">
        <w:rPr>
          <w:sz w:val="22"/>
          <w:szCs w:val="22"/>
        </w:rPr>
        <w:t>Filmom obalená tableta.</w:t>
      </w:r>
    </w:p>
    <w:p w:rsidR="00214B7F" w:rsidRPr="00DB4491" w:rsidRDefault="00214B7F" w:rsidP="00E81FD6">
      <w:pPr>
        <w:tabs>
          <w:tab w:val="left" w:pos="567"/>
        </w:tabs>
        <w:autoSpaceDE w:val="0"/>
        <w:autoSpaceDN w:val="0"/>
        <w:adjustRightInd w:val="0"/>
        <w:jc w:val="both"/>
        <w:rPr>
          <w:sz w:val="22"/>
          <w:szCs w:val="22"/>
        </w:rPr>
      </w:pPr>
    </w:p>
    <w:p w:rsidR="00214B7F" w:rsidRPr="00DB4491" w:rsidRDefault="00E81FD6" w:rsidP="00E81FD6">
      <w:pPr>
        <w:tabs>
          <w:tab w:val="left" w:pos="567"/>
        </w:tabs>
        <w:autoSpaceDE w:val="0"/>
        <w:autoSpaceDN w:val="0"/>
        <w:adjustRightInd w:val="0"/>
        <w:jc w:val="both"/>
        <w:rPr>
          <w:sz w:val="22"/>
          <w:szCs w:val="22"/>
        </w:rPr>
      </w:pPr>
      <w:r w:rsidRPr="00DB4491">
        <w:rPr>
          <w:sz w:val="22"/>
          <w:szCs w:val="22"/>
        </w:rPr>
        <w:t>Sildenafil Medreg</w:t>
      </w:r>
      <w:r w:rsidR="00214B7F" w:rsidRPr="00DB4491">
        <w:rPr>
          <w:sz w:val="22"/>
          <w:szCs w:val="22"/>
        </w:rPr>
        <w:t xml:space="preserve"> 25 mg:</w:t>
      </w:r>
    </w:p>
    <w:p w:rsidR="00214B7F" w:rsidRPr="00DB4491" w:rsidRDefault="00214B7F" w:rsidP="00E81FD6">
      <w:pPr>
        <w:tabs>
          <w:tab w:val="left" w:pos="567"/>
        </w:tabs>
        <w:autoSpaceDE w:val="0"/>
        <w:autoSpaceDN w:val="0"/>
        <w:adjustRightInd w:val="0"/>
        <w:jc w:val="both"/>
        <w:rPr>
          <w:sz w:val="22"/>
          <w:szCs w:val="22"/>
        </w:rPr>
      </w:pPr>
      <w:r w:rsidRPr="00DB4491">
        <w:rPr>
          <w:sz w:val="22"/>
          <w:szCs w:val="22"/>
        </w:rPr>
        <w:t>M</w:t>
      </w:r>
      <w:r w:rsidR="00AB5340" w:rsidRPr="00DB4491">
        <w:rPr>
          <w:sz w:val="22"/>
          <w:szCs w:val="22"/>
        </w:rPr>
        <w:t xml:space="preserve">odré </w:t>
      </w:r>
      <w:r w:rsidR="00D11C91" w:rsidRPr="00DB4491">
        <w:rPr>
          <w:sz w:val="22"/>
          <w:szCs w:val="22"/>
        </w:rPr>
        <w:t>okrúhle,</w:t>
      </w:r>
      <w:r w:rsidR="00AB5340" w:rsidRPr="00DB4491">
        <w:rPr>
          <w:sz w:val="22"/>
          <w:szCs w:val="22"/>
        </w:rPr>
        <w:t xml:space="preserve"> bikonvexné filmom obalené tablety</w:t>
      </w:r>
      <w:r w:rsidRPr="00DB4491">
        <w:rPr>
          <w:sz w:val="22"/>
          <w:szCs w:val="22"/>
        </w:rPr>
        <w:t xml:space="preserve"> s vyrazeným označením 124 na jednej strane a J na druhej strane.</w:t>
      </w:r>
    </w:p>
    <w:p w:rsidR="00214B7F" w:rsidRPr="00DB4491" w:rsidRDefault="00214B7F" w:rsidP="00E81FD6">
      <w:pPr>
        <w:tabs>
          <w:tab w:val="left" w:pos="567"/>
        </w:tabs>
        <w:autoSpaceDE w:val="0"/>
        <w:autoSpaceDN w:val="0"/>
        <w:adjustRightInd w:val="0"/>
        <w:jc w:val="both"/>
        <w:rPr>
          <w:sz w:val="22"/>
          <w:szCs w:val="22"/>
        </w:rPr>
      </w:pPr>
    </w:p>
    <w:p w:rsidR="00D11C91" w:rsidRPr="00DB4491" w:rsidRDefault="00E81FD6" w:rsidP="00E81FD6">
      <w:pPr>
        <w:tabs>
          <w:tab w:val="left" w:pos="567"/>
        </w:tabs>
        <w:autoSpaceDE w:val="0"/>
        <w:autoSpaceDN w:val="0"/>
        <w:adjustRightInd w:val="0"/>
        <w:jc w:val="both"/>
        <w:rPr>
          <w:sz w:val="22"/>
          <w:szCs w:val="22"/>
        </w:rPr>
      </w:pPr>
      <w:r w:rsidRPr="00DB4491">
        <w:rPr>
          <w:sz w:val="22"/>
          <w:szCs w:val="22"/>
        </w:rPr>
        <w:t>Sildenafil Medreg</w:t>
      </w:r>
      <w:r w:rsidR="00D11C91" w:rsidRPr="00DB4491">
        <w:rPr>
          <w:sz w:val="22"/>
          <w:szCs w:val="22"/>
        </w:rPr>
        <w:t xml:space="preserve"> 50 mg:</w:t>
      </w:r>
    </w:p>
    <w:p w:rsidR="00D11C91" w:rsidRPr="00DB4491" w:rsidRDefault="00D11C91" w:rsidP="00E81FD6">
      <w:pPr>
        <w:tabs>
          <w:tab w:val="left" w:pos="567"/>
        </w:tabs>
        <w:autoSpaceDE w:val="0"/>
        <w:autoSpaceDN w:val="0"/>
        <w:adjustRightInd w:val="0"/>
        <w:jc w:val="both"/>
        <w:rPr>
          <w:sz w:val="22"/>
          <w:szCs w:val="22"/>
        </w:rPr>
      </w:pPr>
      <w:r w:rsidRPr="00DB4491">
        <w:rPr>
          <w:sz w:val="22"/>
          <w:szCs w:val="22"/>
        </w:rPr>
        <w:t>Modré okrúhle, bikonvexné filmom obalené tablety s vyrazeným označením 125 na jednej strane a J na druhej strane</w:t>
      </w:r>
      <w:r w:rsidR="00E81FD6" w:rsidRPr="00DB4491">
        <w:rPr>
          <w:sz w:val="22"/>
          <w:szCs w:val="22"/>
        </w:rPr>
        <w:t>, s deliaci ryhou. Tableta sa môže rozdeliť na rovnaké dávky</w:t>
      </w:r>
      <w:r w:rsidRPr="00DB4491">
        <w:rPr>
          <w:sz w:val="22"/>
          <w:szCs w:val="22"/>
        </w:rPr>
        <w:t>.</w:t>
      </w:r>
    </w:p>
    <w:p w:rsidR="00D11C91" w:rsidRPr="00DB4491" w:rsidRDefault="00D11C91" w:rsidP="00E81FD6">
      <w:pPr>
        <w:tabs>
          <w:tab w:val="left" w:pos="567"/>
        </w:tabs>
        <w:autoSpaceDE w:val="0"/>
        <w:autoSpaceDN w:val="0"/>
        <w:adjustRightInd w:val="0"/>
        <w:jc w:val="both"/>
        <w:rPr>
          <w:sz w:val="22"/>
          <w:szCs w:val="22"/>
        </w:rPr>
      </w:pPr>
    </w:p>
    <w:p w:rsidR="00D11C91" w:rsidRPr="00DB4491" w:rsidRDefault="00E81FD6" w:rsidP="00E81FD6">
      <w:pPr>
        <w:tabs>
          <w:tab w:val="left" w:pos="567"/>
        </w:tabs>
        <w:autoSpaceDE w:val="0"/>
        <w:autoSpaceDN w:val="0"/>
        <w:adjustRightInd w:val="0"/>
        <w:jc w:val="both"/>
        <w:rPr>
          <w:sz w:val="22"/>
          <w:szCs w:val="22"/>
        </w:rPr>
      </w:pPr>
      <w:r w:rsidRPr="00DB4491">
        <w:rPr>
          <w:sz w:val="22"/>
          <w:szCs w:val="22"/>
        </w:rPr>
        <w:t>Sildenafil Medreg</w:t>
      </w:r>
      <w:r w:rsidR="00D11C91" w:rsidRPr="00DB4491">
        <w:rPr>
          <w:sz w:val="22"/>
          <w:szCs w:val="22"/>
        </w:rPr>
        <w:t xml:space="preserve"> 100 mg:</w:t>
      </w:r>
    </w:p>
    <w:p w:rsidR="00D11C91" w:rsidRPr="00DB4491" w:rsidRDefault="00D11C91" w:rsidP="00E81FD6">
      <w:pPr>
        <w:tabs>
          <w:tab w:val="left" w:pos="567"/>
        </w:tabs>
        <w:autoSpaceDE w:val="0"/>
        <w:autoSpaceDN w:val="0"/>
        <w:adjustRightInd w:val="0"/>
        <w:jc w:val="both"/>
        <w:rPr>
          <w:sz w:val="22"/>
          <w:szCs w:val="22"/>
        </w:rPr>
      </w:pPr>
      <w:r w:rsidRPr="00DB4491">
        <w:rPr>
          <w:sz w:val="22"/>
          <w:szCs w:val="22"/>
        </w:rPr>
        <w:t>Modré okrúhle, bikonvexné filmom obalené tablety s vyrazeným označením 126 na jednej strane a J na druhej strane</w:t>
      </w:r>
      <w:r w:rsidR="00E81FD6" w:rsidRPr="00DB4491">
        <w:rPr>
          <w:sz w:val="22"/>
          <w:szCs w:val="22"/>
        </w:rPr>
        <w:t>, s deliaci ryhou</w:t>
      </w:r>
      <w:r w:rsidRPr="00DB4491">
        <w:rPr>
          <w:sz w:val="22"/>
          <w:szCs w:val="22"/>
        </w:rPr>
        <w:t>.</w:t>
      </w:r>
      <w:r w:rsidR="00E81FD6" w:rsidRPr="00DB4491">
        <w:rPr>
          <w:sz w:val="22"/>
          <w:szCs w:val="22"/>
        </w:rPr>
        <w:t xml:space="preserve"> Tableta sa môže rozdeliť na rovnaké dávky.</w:t>
      </w:r>
    </w:p>
    <w:p w:rsidR="00B00820" w:rsidRPr="00DB4491" w:rsidRDefault="00B00820" w:rsidP="00E81FD6">
      <w:pPr>
        <w:tabs>
          <w:tab w:val="left" w:pos="567"/>
        </w:tabs>
        <w:autoSpaceDE w:val="0"/>
        <w:autoSpaceDN w:val="0"/>
        <w:adjustRightInd w:val="0"/>
        <w:jc w:val="both"/>
        <w:rPr>
          <w:sz w:val="22"/>
          <w:szCs w:val="22"/>
        </w:rPr>
      </w:pPr>
    </w:p>
    <w:p w:rsidR="009B3BED" w:rsidRPr="00DB4491" w:rsidRDefault="009B3BED" w:rsidP="00E81FD6">
      <w:pPr>
        <w:tabs>
          <w:tab w:val="left" w:pos="567"/>
        </w:tabs>
        <w:autoSpaceDE w:val="0"/>
        <w:autoSpaceDN w:val="0"/>
        <w:adjustRightInd w:val="0"/>
        <w:jc w:val="both"/>
        <w:rPr>
          <w:sz w:val="22"/>
          <w:szCs w:val="22"/>
        </w:rPr>
      </w:pPr>
    </w:p>
    <w:p w:rsidR="002379F8" w:rsidRPr="00DB4491" w:rsidRDefault="00291E91" w:rsidP="00E81FD6">
      <w:pPr>
        <w:tabs>
          <w:tab w:val="left" w:pos="567"/>
        </w:tabs>
        <w:autoSpaceDE w:val="0"/>
        <w:autoSpaceDN w:val="0"/>
        <w:adjustRightInd w:val="0"/>
        <w:jc w:val="both"/>
        <w:rPr>
          <w:b/>
          <w:bCs/>
          <w:sz w:val="22"/>
          <w:szCs w:val="22"/>
        </w:rPr>
      </w:pPr>
      <w:r w:rsidRPr="00DB4491">
        <w:rPr>
          <w:b/>
          <w:bCs/>
          <w:sz w:val="22"/>
          <w:szCs w:val="22"/>
        </w:rPr>
        <w:t>4.</w:t>
      </w:r>
      <w:r w:rsidRPr="00DB4491">
        <w:rPr>
          <w:b/>
          <w:bCs/>
          <w:sz w:val="22"/>
          <w:szCs w:val="22"/>
        </w:rPr>
        <w:tab/>
      </w:r>
      <w:r w:rsidR="002379F8" w:rsidRPr="00DB4491">
        <w:rPr>
          <w:b/>
          <w:bCs/>
          <w:sz w:val="22"/>
          <w:szCs w:val="22"/>
        </w:rPr>
        <w:t>KLINICKÉ ÚDAJE</w:t>
      </w:r>
    </w:p>
    <w:p w:rsidR="0031627A" w:rsidRPr="00DB4491" w:rsidRDefault="0031627A" w:rsidP="00E81FD6">
      <w:pPr>
        <w:tabs>
          <w:tab w:val="left" w:pos="567"/>
        </w:tabs>
        <w:autoSpaceDE w:val="0"/>
        <w:autoSpaceDN w:val="0"/>
        <w:adjustRightInd w:val="0"/>
        <w:jc w:val="both"/>
        <w:rPr>
          <w:b/>
          <w:bCs/>
          <w:sz w:val="22"/>
          <w:szCs w:val="22"/>
        </w:rPr>
      </w:pPr>
    </w:p>
    <w:p w:rsidR="002379F8" w:rsidRPr="00DB4491" w:rsidRDefault="00291E91" w:rsidP="00E81FD6">
      <w:pPr>
        <w:tabs>
          <w:tab w:val="left" w:pos="567"/>
        </w:tabs>
        <w:autoSpaceDE w:val="0"/>
        <w:autoSpaceDN w:val="0"/>
        <w:adjustRightInd w:val="0"/>
        <w:jc w:val="both"/>
        <w:rPr>
          <w:b/>
          <w:bCs/>
          <w:sz w:val="22"/>
          <w:szCs w:val="22"/>
        </w:rPr>
      </w:pPr>
      <w:r w:rsidRPr="00DB4491">
        <w:rPr>
          <w:b/>
          <w:bCs/>
          <w:sz w:val="22"/>
          <w:szCs w:val="22"/>
        </w:rPr>
        <w:t>4.1</w:t>
      </w:r>
      <w:r w:rsidRPr="00DB4491">
        <w:rPr>
          <w:b/>
          <w:bCs/>
          <w:sz w:val="22"/>
          <w:szCs w:val="22"/>
        </w:rPr>
        <w:tab/>
      </w:r>
      <w:r w:rsidR="002379F8" w:rsidRPr="00DB4491">
        <w:rPr>
          <w:b/>
          <w:bCs/>
          <w:sz w:val="22"/>
          <w:szCs w:val="22"/>
        </w:rPr>
        <w:t>Terapeutické indikácie</w:t>
      </w:r>
    </w:p>
    <w:p w:rsidR="0031627A" w:rsidRPr="00DB4491" w:rsidRDefault="0031627A" w:rsidP="00E81FD6">
      <w:pPr>
        <w:tabs>
          <w:tab w:val="left" w:pos="567"/>
        </w:tabs>
        <w:autoSpaceDE w:val="0"/>
        <w:autoSpaceDN w:val="0"/>
        <w:adjustRightInd w:val="0"/>
        <w:jc w:val="both"/>
        <w:rPr>
          <w:b/>
          <w:bCs/>
          <w:sz w:val="22"/>
          <w:szCs w:val="22"/>
        </w:rPr>
      </w:pPr>
    </w:p>
    <w:p w:rsidR="002379F8" w:rsidRPr="00DB4491" w:rsidRDefault="002379F8" w:rsidP="00E81FD6">
      <w:pPr>
        <w:tabs>
          <w:tab w:val="left" w:pos="567"/>
        </w:tabs>
        <w:autoSpaceDE w:val="0"/>
        <w:autoSpaceDN w:val="0"/>
        <w:adjustRightInd w:val="0"/>
        <w:jc w:val="both"/>
        <w:rPr>
          <w:sz w:val="22"/>
          <w:szCs w:val="22"/>
        </w:rPr>
      </w:pPr>
      <w:r w:rsidRPr="00DB4491">
        <w:rPr>
          <w:sz w:val="22"/>
          <w:szCs w:val="22"/>
        </w:rPr>
        <w:t>Liečba erektilnej dysfunkcie u mužov, čo je neschopnosť dosiahnuť alebo udržať dostatočnú erekciu</w:t>
      </w:r>
      <w:r w:rsidR="0031627A" w:rsidRPr="00DB4491">
        <w:rPr>
          <w:sz w:val="22"/>
          <w:szCs w:val="22"/>
        </w:rPr>
        <w:t xml:space="preserve"> </w:t>
      </w:r>
      <w:r w:rsidRPr="00DB4491">
        <w:rPr>
          <w:sz w:val="22"/>
          <w:szCs w:val="22"/>
        </w:rPr>
        <w:t>penisu na vykonanie uspokojivého pohlavného styku.</w:t>
      </w:r>
    </w:p>
    <w:p w:rsidR="00D11C91" w:rsidRPr="00DB4491" w:rsidRDefault="00D11C91" w:rsidP="00E81FD6">
      <w:pPr>
        <w:tabs>
          <w:tab w:val="left" w:pos="567"/>
        </w:tabs>
        <w:autoSpaceDE w:val="0"/>
        <w:autoSpaceDN w:val="0"/>
        <w:adjustRightInd w:val="0"/>
        <w:jc w:val="both"/>
        <w:rPr>
          <w:sz w:val="22"/>
          <w:szCs w:val="22"/>
        </w:rPr>
      </w:pPr>
    </w:p>
    <w:p w:rsidR="002379F8" w:rsidRPr="00DB4491" w:rsidRDefault="002379F8" w:rsidP="00E81FD6">
      <w:pPr>
        <w:tabs>
          <w:tab w:val="left" w:pos="567"/>
        </w:tabs>
        <w:autoSpaceDE w:val="0"/>
        <w:autoSpaceDN w:val="0"/>
        <w:adjustRightInd w:val="0"/>
        <w:jc w:val="both"/>
        <w:rPr>
          <w:sz w:val="22"/>
          <w:szCs w:val="22"/>
        </w:rPr>
      </w:pPr>
      <w:r w:rsidRPr="00DB4491">
        <w:rPr>
          <w:sz w:val="22"/>
          <w:szCs w:val="22"/>
        </w:rPr>
        <w:t>Aby bol</w:t>
      </w:r>
      <w:r w:rsidR="00164026" w:rsidRPr="00DB4491">
        <w:rPr>
          <w:sz w:val="22"/>
          <w:szCs w:val="22"/>
        </w:rPr>
        <w:t>i</w:t>
      </w:r>
      <w:r w:rsidR="0031627A" w:rsidRPr="00DB4491">
        <w:rPr>
          <w:sz w:val="22"/>
          <w:szCs w:val="22"/>
        </w:rPr>
        <w:t xml:space="preserve"> </w:t>
      </w:r>
      <w:r w:rsidR="00291E91" w:rsidRPr="00DB4491">
        <w:rPr>
          <w:sz w:val="22"/>
          <w:szCs w:val="22"/>
        </w:rPr>
        <w:t>s</w:t>
      </w:r>
      <w:r w:rsidR="00FE5F95" w:rsidRPr="00DB4491">
        <w:rPr>
          <w:sz w:val="22"/>
          <w:szCs w:val="22"/>
        </w:rPr>
        <w:t>ildenaf</w:t>
      </w:r>
      <w:r w:rsidR="00291E91" w:rsidRPr="00DB4491">
        <w:rPr>
          <w:sz w:val="22"/>
          <w:szCs w:val="22"/>
        </w:rPr>
        <w:t>il</w:t>
      </w:r>
      <w:r w:rsidR="0031627A" w:rsidRPr="00DB4491">
        <w:rPr>
          <w:sz w:val="22"/>
          <w:szCs w:val="22"/>
        </w:rPr>
        <w:t xml:space="preserve"> </w:t>
      </w:r>
      <w:r w:rsidR="00164026" w:rsidRPr="00DB4491">
        <w:rPr>
          <w:sz w:val="22"/>
          <w:szCs w:val="22"/>
        </w:rPr>
        <w:t xml:space="preserve">tablety </w:t>
      </w:r>
      <w:r w:rsidR="0031627A" w:rsidRPr="00DB4491">
        <w:rPr>
          <w:sz w:val="22"/>
          <w:szCs w:val="22"/>
        </w:rPr>
        <w:t>účinn</w:t>
      </w:r>
      <w:r w:rsidR="00164026" w:rsidRPr="00DB4491">
        <w:rPr>
          <w:sz w:val="22"/>
          <w:szCs w:val="22"/>
        </w:rPr>
        <w:t>é</w:t>
      </w:r>
      <w:r w:rsidRPr="00DB4491">
        <w:rPr>
          <w:sz w:val="22"/>
          <w:szCs w:val="22"/>
        </w:rPr>
        <w:t>, je potrebná sexuálna stimulácia.</w:t>
      </w:r>
    </w:p>
    <w:p w:rsidR="0031627A" w:rsidRPr="00DB4491" w:rsidRDefault="0031627A" w:rsidP="00E81FD6">
      <w:pPr>
        <w:tabs>
          <w:tab w:val="left" w:pos="567"/>
        </w:tabs>
        <w:autoSpaceDE w:val="0"/>
        <w:autoSpaceDN w:val="0"/>
        <w:adjustRightInd w:val="0"/>
        <w:jc w:val="both"/>
        <w:rPr>
          <w:sz w:val="22"/>
          <w:szCs w:val="22"/>
        </w:rPr>
      </w:pPr>
    </w:p>
    <w:p w:rsidR="002379F8" w:rsidRPr="00DB4491" w:rsidRDefault="00291E91" w:rsidP="00C41030">
      <w:pPr>
        <w:keepNext/>
        <w:tabs>
          <w:tab w:val="left" w:pos="567"/>
        </w:tabs>
        <w:autoSpaceDE w:val="0"/>
        <w:autoSpaceDN w:val="0"/>
        <w:adjustRightInd w:val="0"/>
        <w:jc w:val="both"/>
        <w:rPr>
          <w:b/>
          <w:bCs/>
          <w:sz w:val="22"/>
          <w:szCs w:val="22"/>
        </w:rPr>
      </w:pPr>
      <w:r w:rsidRPr="00DB4491">
        <w:rPr>
          <w:b/>
          <w:bCs/>
          <w:sz w:val="22"/>
          <w:szCs w:val="22"/>
        </w:rPr>
        <w:lastRenderedPageBreak/>
        <w:t>4.2</w:t>
      </w:r>
      <w:r w:rsidRPr="00DB4491">
        <w:rPr>
          <w:b/>
          <w:bCs/>
          <w:sz w:val="22"/>
          <w:szCs w:val="22"/>
        </w:rPr>
        <w:tab/>
      </w:r>
      <w:r w:rsidR="002379F8" w:rsidRPr="00DB4491">
        <w:rPr>
          <w:b/>
          <w:bCs/>
          <w:sz w:val="22"/>
          <w:szCs w:val="22"/>
        </w:rPr>
        <w:t>Dávkovanie a spôsob podávania</w:t>
      </w:r>
    </w:p>
    <w:p w:rsidR="0031627A" w:rsidRPr="00DB4491" w:rsidRDefault="0031627A" w:rsidP="00C41030">
      <w:pPr>
        <w:keepNext/>
        <w:tabs>
          <w:tab w:val="left" w:pos="567"/>
        </w:tabs>
        <w:autoSpaceDE w:val="0"/>
        <w:autoSpaceDN w:val="0"/>
        <w:adjustRightInd w:val="0"/>
        <w:jc w:val="both"/>
        <w:rPr>
          <w:b/>
          <w:bCs/>
          <w:sz w:val="22"/>
          <w:szCs w:val="22"/>
        </w:rPr>
      </w:pPr>
    </w:p>
    <w:p w:rsidR="00D11C91" w:rsidRPr="00DB4491" w:rsidRDefault="00D11C91" w:rsidP="00C41030">
      <w:pPr>
        <w:keepNext/>
        <w:tabs>
          <w:tab w:val="left" w:pos="567"/>
        </w:tabs>
        <w:autoSpaceDE w:val="0"/>
        <w:autoSpaceDN w:val="0"/>
        <w:adjustRightInd w:val="0"/>
        <w:jc w:val="both"/>
        <w:rPr>
          <w:sz w:val="22"/>
          <w:szCs w:val="22"/>
          <w:u w:val="single"/>
        </w:rPr>
      </w:pPr>
      <w:r w:rsidRPr="00DB4491">
        <w:rPr>
          <w:sz w:val="22"/>
          <w:szCs w:val="22"/>
          <w:u w:val="single"/>
        </w:rPr>
        <w:t>Dávkovanie</w:t>
      </w:r>
    </w:p>
    <w:p w:rsidR="00554B83" w:rsidRPr="00DB4491" w:rsidRDefault="00554B83" w:rsidP="00C41030">
      <w:pPr>
        <w:keepNext/>
        <w:autoSpaceDE w:val="0"/>
        <w:autoSpaceDN w:val="0"/>
        <w:adjustRightInd w:val="0"/>
        <w:jc w:val="both"/>
        <w:rPr>
          <w:i/>
          <w:iCs/>
          <w:sz w:val="22"/>
          <w:szCs w:val="22"/>
        </w:rPr>
      </w:pPr>
    </w:p>
    <w:p w:rsidR="002379F8" w:rsidRPr="00DB4491" w:rsidRDefault="00AB5340" w:rsidP="00C41030">
      <w:pPr>
        <w:keepNext/>
        <w:autoSpaceDE w:val="0"/>
        <w:autoSpaceDN w:val="0"/>
        <w:adjustRightInd w:val="0"/>
        <w:jc w:val="both"/>
        <w:rPr>
          <w:i/>
          <w:iCs/>
          <w:sz w:val="22"/>
          <w:szCs w:val="22"/>
        </w:rPr>
      </w:pPr>
      <w:r w:rsidRPr="00DB4491">
        <w:rPr>
          <w:i/>
          <w:iCs/>
          <w:sz w:val="22"/>
          <w:szCs w:val="22"/>
        </w:rPr>
        <w:t>Použitie u dospelých</w:t>
      </w:r>
    </w:p>
    <w:p w:rsidR="002379F8" w:rsidRPr="00DB4491" w:rsidRDefault="002379F8" w:rsidP="002379F8">
      <w:pPr>
        <w:autoSpaceDE w:val="0"/>
        <w:autoSpaceDN w:val="0"/>
        <w:adjustRightInd w:val="0"/>
        <w:jc w:val="both"/>
        <w:rPr>
          <w:sz w:val="22"/>
          <w:szCs w:val="22"/>
        </w:rPr>
      </w:pPr>
      <w:r w:rsidRPr="00DB4491">
        <w:rPr>
          <w:sz w:val="22"/>
          <w:szCs w:val="22"/>
        </w:rPr>
        <w:t>Odporúčaná dávka je 50 mg užitá podľa potreby približne 1 hodinu pred sexuálnou aktivitou. Podľa</w:t>
      </w:r>
      <w:r w:rsidR="0031627A" w:rsidRPr="00DB4491">
        <w:rPr>
          <w:sz w:val="22"/>
          <w:szCs w:val="22"/>
        </w:rPr>
        <w:t xml:space="preserve"> </w:t>
      </w:r>
      <w:r w:rsidRPr="00DB4491">
        <w:rPr>
          <w:sz w:val="22"/>
          <w:szCs w:val="22"/>
        </w:rPr>
        <w:t>účinnosti a tolerancie sa môže dávka zvýšiť na 100 mg alebo znížiť na 25 mg. Maximálna odporúčaná</w:t>
      </w:r>
      <w:r w:rsidR="0031627A" w:rsidRPr="00DB4491">
        <w:rPr>
          <w:sz w:val="22"/>
          <w:szCs w:val="22"/>
        </w:rPr>
        <w:t xml:space="preserve"> </w:t>
      </w:r>
      <w:r w:rsidRPr="00DB4491">
        <w:rPr>
          <w:sz w:val="22"/>
          <w:szCs w:val="22"/>
        </w:rPr>
        <w:t>dávka je 100 mg. Maximálna odporúčaná frekvencia dávkovania je jedenkrát denne.</w:t>
      </w:r>
    </w:p>
    <w:p w:rsidR="002379F8" w:rsidRPr="00DB4491" w:rsidRDefault="002379F8" w:rsidP="002379F8">
      <w:pPr>
        <w:autoSpaceDE w:val="0"/>
        <w:autoSpaceDN w:val="0"/>
        <w:adjustRightInd w:val="0"/>
        <w:jc w:val="both"/>
        <w:rPr>
          <w:sz w:val="22"/>
          <w:szCs w:val="22"/>
        </w:rPr>
      </w:pPr>
      <w:r w:rsidRPr="00DB4491">
        <w:rPr>
          <w:sz w:val="22"/>
          <w:szCs w:val="22"/>
        </w:rPr>
        <w:t>Ak sa užij</w:t>
      </w:r>
      <w:r w:rsidR="00164026" w:rsidRPr="00DB4491">
        <w:rPr>
          <w:sz w:val="22"/>
          <w:szCs w:val="22"/>
        </w:rPr>
        <w:t>ú</w:t>
      </w:r>
      <w:r w:rsidRPr="00DB4491">
        <w:rPr>
          <w:sz w:val="22"/>
          <w:szCs w:val="22"/>
        </w:rPr>
        <w:t xml:space="preserve"> </w:t>
      </w:r>
      <w:r w:rsidR="00291E91" w:rsidRPr="00DB4491">
        <w:rPr>
          <w:sz w:val="22"/>
          <w:szCs w:val="22"/>
        </w:rPr>
        <w:t>s</w:t>
      </w:r>
      <w:r w:rsidR="00FE5F95" w:rsidRPr="00DB4491">
        <w:rPr>
          <w:sz w:val="22"/>
          <w:szCs w:val="22"/>
        </w:rPr>
        <w:t>ildenaf</w:t>
      </w:r>
      <w:r w:rsidR="00291E91" w:rsidRPr="00DB4491">
        <w:rPr>
          <w:sz w:val="22"/>
          <w:szCs w:val="22"/>
        </w:rPr>
        <w:t>il</w:t>
      </w:r>
      <w:r w:rsidRPr="00DB4491">
        <w:rPr>
          <w:sz w:val="22"/>
          <w:szCs w:val="22"/>
        </w:rPr>
        <w:t xml:space="preserve"> </w:t>
      </w:r>
      <w:r w:rsidR="00164026" w:rsidRPr="00DB4491">
        <w:rPr>
          <w:sz w:val="22"/>
          <w:szCs w:val="22"/>
        </w:rPr>
        <w:t xml:space="preserve">tablety </w:t>
      </w:r>
      <w:r w:rsidRPr="00DB4491">
        <w:rPr>
          <w:sz w:val="22"/>
          <w:szCs w:val="22"/>
        </w:rPr>
        <w:t xml:space="preserve">spolu s jedlom, nástup účinku </w:t>
      </w:r>
      <w:r w:rsidR="00164026" w:rsidRPr="00DB4491">
        <w:rPr>
          <w:sz w:val="22"/>
          <w:szCs w:val="22"/>
        </w:rPr>
        <w:t xml:space="preserve">sa </w:t>
      </w:r>
      <w:r w:rsidRPr="00DB4491">
        <w:rPr>
          <w:sz w:val="22"/>
          <w:szCs w:val="22"/>
        </w:rPr>
        <w:t>môže oneskoriť v porovnaní s nástupom</w:t>
      </w:r>
      <w:r w:rsidR="0031627A" w:rsidRPr="00DB4491">
        <w:rPr>
          <w:sz w:val="22"/>
          <w:szCs w:val="22"/>
        </w:rPr>
        <w:t xml:space="preserve"> </w:t>
      </w:r>
      <w:r w:rsidRPr="00DB4491">
        <w:rPr>
          <w:sz w:val="22"/>
          <w:szCs w:val="22"/>
        </w:rPr>
        <w:t>účinku po užití lieku nalačno (pozri časť 5.2).</w:t>
      </w:r>
    </w:p>
    <w:p w:rsidR="00A7023B" w:rsidRPr="00DB4491" w:rsidRDefault="00A7023B" w:rsidP="002379F8">
      <w:pPr>
        <w:autoSpaceDE w:val="0"/>
        <w:autoSpaceDN w:val="0"/>
        <w:adjustRightInd w:val="0"/>
        <w:jc w:val="both"/>
        <w:rPr>
          <w:sz w:val="22"/>
          <w:szCs w:val="22"/>
        </w:rPr>
      </w:pPr>
    </w:p>
    <w:p w:rsidR="00917BF9" w:rsidRPr="00DB4491" w:rsidRDefault="00917BF9" w:rsidP="00917BF9">
      <w:pPr>
        <w:tabs>
          <w:tab w:val="left" w:pos="567"/>
        </w:tabs>
        <w:jc w:val="both"/>
        <w:rPr>
          <w:i/>
          <w:sz w:val="22"/>
          <w:szCs w:val="22"/>
          <w:u w:val="single"/>
        </w:rPr>
      </w:pPr>
      <w:r w:rsidRPr="00DB4491">
        <w:rPr>
          <w:i/>
          <w:sz w:val="22"/>
          <w:szCs w:val="22"/>
          <w:u w:val="single"/>
        </w:rPr>
        <w:t>Osobitné skupiny pacientov</w:t>
      </w:r>
    </w:p>
    <w:p w:rsidR="00917BF9" w:rsidRPr="00DB4491" w:rsidRDefault="00917BF9" w:rsidP="002379F8">
      <w:pPr>
        <w:autoSpaceDE w:val="0"/>
        <w:autoSpaceDN w:val="0"/>
        <w:adjustRightInd w:val="0"/>
        <w:jc w:val="both"/>
        <w:rPr>
          <w:sz w:val="22"/>
          <w:szCs w:val="22"/>
        </w:rPr>
      </w:pPr>
    </w:p>
    <w:p w:rsidR="00917BF9" w:rsidRPr="00DB4491" w:rsidRDefault="00917BF9" w:rsidP="00FE4674">
      <w:pPr>
        <w:autoSpaceDE w:val="0"/>
        <w:autoSpaceDN w:val="0"/>
        <w:adjustRightInd w:val="0"/>
        <w:jc w:val="both"/>
        <w:rPr>
          <w:i/>
          <w:iCs/>
          <w:sz w:val="22"/>
          <w:szCs w:val="22"/>
        </w:rPr>
      </w:pPr>
      <w:r w:rsidRPr="00DB4491">
        <w:rPr>
          <w:i/>
          <w:iCs/>
          <w:sz w:val="22"/>
          <w:szCs w:val="22"/>
        </w:rPr>
        <w:t>Starší pacienti</w:t>
      </w:r>
    </w:p>
    <w:p w:rsidR="002379F8" w:rsidRPr="00DB4491" w:rsidRDefault="002379F8" w:rsidP="00FE4674">
      <w:pPr>
        <w:autoSpaceDE w:val="0"/>
        <w:autoSpaceDN w:val="0"/>
        <w:adjustRightInd w:val="0"/>
        <w:jc w:val="both"/>
        <w:rPr>
          <w:sz w:val="22"/>
          <w:szCs w:val="22"/>
        </w:rPr>
      </w:pPr>
      <w:r w:rsidRPr="00DB4491">
        <w:rPr>
          <w:sz w:val="22"/>
          <w:szCs w:val="22"/>
        </w:rPr>
        <w:t xml:space="preserve">U starších ľudí </w:t>
      </w:r>
      <w:r w:rsidR="00917BF9" w:rsidRPr="00DB4491">
        <w:rPr>
          <w:sz w:val="22"/>
          <w:szCs w:val="22"/>
        </w:rPr>
        <w:t>sa nevyžaduje úprava dávkovania (≥ 65 rokov).</w:t>
      </w:r>
    </w:p>
    <w:p w:rsidR="00917BF9" w:rsidRPr="00DB4491" w:rsidRDefault="00917BF9" w:rsidP="00FE4674">
      <w:pPr>
        <w:autoSpaceDE w:val="0"/>
        <w:autoSpaceDN w:val="0"/>
        <w:adjustRightInd w:val="0"/>
        <w:jc w:val="both"/>
        <w:rPr>
          <w:sz w:val="22"/>
          <w:szCs w:val="22"/>
        </w:rPr>
      </w:pPr>
    </w:p>
    <w:p w:rsidR="002379F8" w:rsidRPr="00DB4491" w:rsidRDefault="002379F8" w:rsidP="00FE4674">
      <w:pPr>
        <w:keepNext/>
        <w:autoSpaceDE w:val="0"/>
        <w:autoSpaceDN w:val="0"/>
        <w:adjustRightInd w:val="0"/>
        <w:jc w:val="both"/>
        <w:rPr>
          <w:i/>
          <w:iCs/>
          <w:sz w:val="22"/>
          <w:szCs w:val="22"/>
        </w:rPr>
      </w:pPr>
      <w:r w:rsidRPr="00DB4491">
        <w:rPr>
          <w:i/>
          <w:iCs/>
          <w:sz w:val="22"/>
          <w:szCs w:val="22"/>
        </w:rPr>
        <w:t>Použitie u paciento</w:t>
      </w:r>
      <w:r w:rsidR="00AB5340" w:rsidRPr="00DB4491">
        <w:rPr>
          <w:i/>
          <w:iCs/>
          <w:sz w:val="22"/>
          <w:szCs w:val="22"/>
        </w:rPr>
        <w:t>v s poškodením funkcie obličiek</w:t>
      </w:r>
    </w:p>
    <w:p w:rsidR="002379F8" w:rsidRPr="00DB4491" w:rsidRDefault="002379F8" w:rsidP="00FE4674">
      <w:pPr>
        <w:autoSpaceDE w:val="0"/>
        <w:autoSpaceDN w:val="0"/>
        <w:adjustRightInd w:val="0"/>
        <w:jc w:val="both"/>
        <w:rPr>
          <w:sz w:val="22"/>
          <w:szCs w:val="22"/>
        </w:rPr>
      </w:pPr>
      <w:r w:rsidRPr="00DB4491">
        <w:rPr>
          <w:sz w:val="22"/>
          <w:szCs w:val="22"/>
        </w:rPr>
        <w:t>U pacientov s miernym a stredným poškodením funkcie obličiek (klírens kreatinínu = 30 - 80 ml/min)</w:t>
      </w:r>
      <w:r w:rsidR="0031627A" w:rsidRPr="00DB4491">
        <w:rPr>
          <w:sz w:val="22"/>
          <w:szCs w:val="22"/>
        </w:rPr>
        <w:t xml:space="preserve"> </w:t>
      </w:r>
      <w:r w:rsidRPr="00DB4491">
        <w:rPr>
          <w:sz w:val="22"/>
          <w:szCs w:val="22"/>
        </w:rPr>
        <w:t xml:space="preserve">sa odporúča rovnaké dávkovanie, ako je opísané v </w:t>
      </w:r>
      <w:r w:rsidR="005D6097" w:rsidRPr="00DB4491">
        <w:rPr>
          <w:sz w:val="22"/>
          <w:szCs w:val="22"/>
        </w:rPr>
        <w:t>odseku</w:t>
      </w:r>
      <w:r w:rsidRPr="00DB4491">
        <w:rPr>
          <w:sz w:val="22"/>
          <w:szCs w:val="22"/>
        </w:rPr>
        <w:t xml:space="preserve"> </w:t>
      </w:r>
      <w:r w:rsidR="00D91A3A" w:rsidRPr="00DB4491">
        <w:rPr>
          <w:sz w:val="22"/>
          <w:szCs w:val="22"/>
        </w:rPr>
        <w:t>„</w:t>
      </w:r>
      <w:r w:rsidRPr="00DB4491">
        <w:rPr>
          <w:sz w:val="22"/>
          <w:szCs w:val="22"/>
        </w:rPr>
        <w:t>Použitie u</w:t>
      </w:r>
      <w:r w:rsidR="00D91A3A" w:rsidRPr="00DB4491">
        <w:rPr>
          <w:sz w:val="22"/>
          <w:szCs w:val="22"/>
        </w:rPr>
        <w:t> </w:t>
      </w:r>
      <w:r w:rsidRPr="00DB4491">
        <w:rPr>
          <w:sz w:val="22"/>
          <w:szCs w:val="22"/>
        </w:rPr>
        <w:t>dospelých</w:t>
      </w:r>
      <w:r w:rsidR="00D91A3A" w:rsidRPr="00DB4491">
        <w:rPr>
          <w:sz w:val="22"/>
          <w:szCs w:val="22"/>
        </w:rPr>
        <w:t>“</w:t>
      </w:r>
      <w:r w:rsidRPr="00DB4491">
        <w:rPr>
          <w:sz w:val="22"/>
          <w:szCs w:val="22"/>
        </w:rPr>
        <w:t>.</w:t>
      </w:r>
    </w:p>
    <w:p w:rsidR="005D6097" w:rsidRPr="00DB4491" w:rsidRDefault="005D6097" w:rsidP="00FE4674">
      <w:pPr>
        <w:autoSpaceDE w:val="0"/>
        <w:autoSpaceDN w:val="0"/>
        <w:adjustRightInd w:val="0"/>
        <w:jc w:val="both"/>
        <w:rPr>
          <w:sz w:val="22"/>
          <w:szCs w:val="22"/>
        </w:rPr>
      </w:pPr>
    </w:p>
    <w:p w:rsidR="002379F8" w:rsidRPr="00DB4491" w:rsidRDefault="002379F8" w:rsidP="00FE4674">
      <w:pPr>
        <w:autoSpaceDE w:val="0"/>
        <w:autoSpaceDN w:val="0"/>
        <w:adjustRightInd w:val="0"/>
        <w:jc w:val="both"/>
        <w:rPr>
          <w:sz w:val="22"/>
          <w:szCs w:val="22"/>
        </w:rPr>
      </w:pPr>
      <w:r w:rsidRPr="00DB4491">
        <w:rPr>
          <w:sz w:val="22"/>
          <w:szCs w:val="22"/>
        </w:rPr>
        <w:t>Keďže klírens sildenafilu je u pacientov s ťažkým poškodením funkcie obličiek (klírens kreatinínu</w:t>
      </w:r>
      <w:r w:rsidR="0031627A" w:rsidRPr="00DB4491">
        <w:rPr>
          <w:sz w:val="22"/>
          <w:szCs w:val="22"/>
        </w:rPr>
        <w:t xml:space="preserve"> </w:t>
      </w:r>
      <w:r w:rsidRPr="00DB4491">
        <w:rPr>
          <w:sz w:val="22"/>
          <w:szCs w:val="22"/>
        </w:rPr>
        <w:t xml:space="preserve">&lt; 30 ml/min) znížený, má sa zvážiť dávka 25 mg. Podľa účinnosti a tolerancie je možné dávku </w:t>
      </w:r>
      <w:r w:rsidR="00D91A3A" w:rsidRPr="00DB4491">
        <w:rPr>
          <w:sz w:val="22"/>
          <w:szCs w:val="22"/>
        </w:rPr>
        <w:t xml:space="preserve">postupne </w:t>
      </w:r>
      <w:r w:rsidRPr="00DB4491">
        <w:rPr>
          <w:sz w:val="22"/>
          <w:szCs w:val="22"/>
        </w:rPr>
        <w:t>zvýšiť</w:t>
      </w:r>
      <w:r w:rsidR="0031627A" w:rsidRPr="00DB4491">
        <w:rPr>
          <w:sz w:val="22"/>
          <w:szCs w:val="22"/>
        </w:rPr>
        <w:t xml:space="preserve"> </w:t>
      </w:r>
      <w:r w:rsidRPr="00DB4491">
        <w:rPr>
          <w:sz w:val="22"/>
          <w:szCs w:val="22"/>
        </w:rPr>
        <w:t>na 50 mg a</w:t>
      </w:r>
      <w:r w:rsidR="00D91A3A" w:rsidRPr="00DB4491">
        <w:rPr>
          <w:sz w:val="22"/>
          <w:szCs w:val="22"/>
        </w:rPr>
        <w:t>ž</w:t>
      </w:r>
      <w:r w:rsidRPr="00DB4491">
        <w:rPr>
          <w:sz w:val="22"/>
          <w:szCs w:val="22"/>
        </w:rPr>
        <w:t xml:space="preserve"> 100 mg.</w:t>
      </w:r>
    </w:p>
    <w:p w:rsidR="0031627A" w:rsidRPr="00DB4491" w:rsidRDefault="0031627A" w:rsidP="00FE4674">
      <w:pPr>
        <w:autoSpaceDE w:val="0"/>
        <w:autoSpaceDN w:val="0"/>
        <w:adjustRightInd w:val="0"/>
        <w:jc w:val="both"/>
        <w:rPr>
          <w:sz w:val="22"/>
          <w:szCs w:val="22"/>
        </w:rPr>
      </w:pPr>
    </w:p>
    <w:p w:rsidR="002379F8" w:rsidRPr="00DB4491" w:rsidRDefault="002379F8" w:rsidP="00FE4674">
      <w:pPr>
        <w:autoSpaceDE w:val="0"/>
        <w:autoSpaceDN w:val="0"/>
        <w:adjustRightInd w:val="0"/>
        <w:jc w:val="both"/>
        <w:rPr>
          <w:i/>
          <w:iCs/>
          <w:sz w:val="22"/>
          <w:szCs w:val="22"/>
        </w:rPr>
      </w:pPr>
      <w:r w:rsidRPr="00DB4491">
        <w:rPr>
          <w:i/>
          <w:iCs/>
          <w:sz w:val="22"/>
          <w:szCs w:val="22"/>
        </w:rPr>
        <w:t>Použitie u pacien</w:t>
      </w:r>
      <w:r w:rsidR="00AB5340" w:rsidRPr="00DB4491">
        <w:rPr>
          <w:i/>
          <w:iCs/>
          <w:sz w:val="22"/>
          <w:szCs w:val="22"/>
        </w:rPr>
        <w:t>tov s poškodením funkcie pečene</w:t>
      </w:r>
    </w:p>
    <w:p w:rsidR="002379F8" w:rsidRPr="00DB4491" w:rsidRDefault="002379F8" w:rsidP="00FE4674">
      <w:pPr>
        <w:autoSpaceDE w:val="0"/>
        <w:autoSpaceDN w:val="0"/>
        <w:adjustRightInd w:val="0"/>
        <w:jc w:val="both"/>
        <w:rPr>
          <w:sz w:val="22"/>
          <w:szCs w:val="22"/>
        </w:rPr>
      </w:pPr>
      <w:r w:rsidRPr="00DB4491">
        <w:rPr>
          <w:sz w:val="22"/>
          <w:szCs w:val="22"/>
        </w:rPr>
        <w:t>Keďže klírens sildenafilu je u pacientov s poškodením funkcie pečene (napr. s cirhózou) znížený, má</w:t>
      </w:r>
      <w:r w:rsidR="0031627A" w:rsidRPr="00DB4491">
        <w:rPr>
          <w:sz w:val="22"/>
          <w:szCs w:val="22"/>
        </w:rPr>
        <w:t xml:space="preserve"> </w:t>
      </w:r>
      <w:r w:rsidRPr="00DB4491">
        <w:rPr>
          <w:sz w:val="22"/>
          <w:szCs w:val="22"/>
        </w:rPr>
        <w:t>sa zvážiť dávka 25 mg. Podľa účinnosti a tolerancie je možné dávku</w:t>
      </w:r>
      <w:r w:rsidR="00D91A3A" w:rsidRPr="00DB4491">
        <w:t xml:space="preserve"> </w:t>
      </w:r>
      <w:r w:rsidR="00D91A3A" w:rsidRPr="00DB4491">
        <w:rPr>
          <w:sz w:val="22"/>
          <w:szCs w:val="22"/>
        </w:rPr>
        <w:t>postupne</w:t>
      </w:r>
      <w:r w:rsidRPr="00DB4491">
        <w:rPr>
          <w:sz w:val="22"/>
          <w:szCs w:val="22"/>
        </w:rPr>
        <w:t xml:space="preserve"> zvýšiť na 50 mg a</w:t>
      </w:r>
      <w:r w:rsidR="00D91A3A" w:rsidRPr="00DB4491">
        <w:rPr>
          <w:sz w:val="22"/>
          <w:szCs w:val="22"/>
        </w:rPr>
        <w:t>ž</w:t>
      </w:r>
      <w:r w:rsidRPr="00DB4491">
        <w:rPr>
          <w:sz w:val="22"/>
          <w:szCs w:val="22"/>
        </w:rPr>
        <w:t xml:space="preserve"> 100 mg.</w:t>
      </w:r>
    </w:p>
    <w:p w:rsidR="007309B4" w:rsidRPr="00DB4491" w:rsidRDefault="007309B4" w:rsidP="00FE4674">
      <w:pPr>
        <w:autoSpaceDE w:val="0"/>
        <w:autoSpaceDN w:val="0"/>
        <w:adjustRightInd w:val="0"/>
        <w:jc w:val="both"/>
        <w:rPr>
          <w:sz w:val="22"/>
          <w:szCs w:val="22"/>
        </w:rPr>
      </w:pPr>
    </w:p>
    <w:p w:rsidR="005D6097" w:rsidRPr="00DB4491" w:rsidRDefault="005D6097" w:rsidP="00FE4674">
      <w:pPr>
        <w:autoSpaceDE w:val="0"/>
        <w:autoSpaceDN w:val="0"/>
        <w:adjustRightInd w:val="0"/>
        <w:jc w:val="both"/>
        <w:rPr>
          <w:i/>
          <w:iCs/>
          <w:sz w:val="22"/>
          <w:szCs w:val="22"/>
        </w:rPr>
      </w:pPr>
      <w:r w:rsidRPr="00DB4491">
        <w:rPr>
          <w:i/>
          <w:iCs/>
          <w:sz w:val="22"/>
          <w:szCs w:val="22"/>
        </w:rPr>
        <w:t>Pediatrická populácia</w:t>
      </w:r>
    </w:p>
    <w:p w:rsidR="002379F8" w:rsidRPr="00DB4491" w:rsidRDefault="001C0D5A" w:rsidP="00FE4674">
      <w:pPr>
        <w:autoSpaceDE w:val="0"/>
        <w:autoSpaceDN w:val="0"/>
        <w:adjustRightInd w:val="0"/>
        <w:jc w:val="both"/>
        <w:rPr>
          <w:sz w:val="22"/>
          <w:szCs w:val="22"/>
        </w:rPr>
      </w:pPr>
      <w:r w:rsidRPr="009378FD">
        <w:rPr>
          <w:sz w:val="22"/>
          <w:szCs w:val="22"/>
        </w:rPr>
        <w:t>Sildenafil Medreg</w:t>
      </w:r>
      <w:r w:rsidRPr="009378FD">
        <w:t xml:space="preserve"> </w:t>
      </w:r>
      <w:r w:rsidR="002379F8" w:rsidRPr="00DB4491">
        <w:rPr>
          <w:sz w:val="22"/>
          <w:szCs w:val="22"/>
        </w:rPr>
        <w:t>nie je indikovan</w:t>
      </w:r>
      <w:r w:rsidR="009143F0" w:rsidRPr="00DB4491">
        <w:rPr>
          <w:sz w:val="22"/>
          <w:szCs w:val="22"/>
        </w:rPr>
        <w:t>ý</w:t>
      </w:r>
      <w:r w:rsidR="002379F8" w:rsidRPr="00DB4491">
        <w:rPr>
          <w:sz w:val="22"/>
          <w:szCs w:val="22"/>
        </w:rPr>
        <w:t xml:space="preserve"> u osôb mladších ako 18 rokov. </w:t>
      </w:r>
    </w:p>
    <w:p w:rsidR="007736B8" w:rsidRPr="00DB4491" w:rsidRDefault="007736B8" w:rsidP="00FE4674">
      <w:pPr>
        <w:jc w:val="both"/>
        <w:rPr>
          <w:sz w:val="22"/>
          <w:szCs w:val="22"/>
        </w:rPr>
      </w:pPr>
    </w:p>
    <w:p w:rsidR="002379F8" w:rsidRPr="00DB4491" w:rsidRDefault="001C0D5A" w:rsidP="00FE4674">
      <w:pPr>
        <w:autoSpaceDE w:val="0"/>
        <w:autoSpaceDN w:val="0"/>
        <w:adjustRightInd w:val="0"/>
        <w:jc w:val="both"/>
        <w:rPr>
          <w:i/>
          <w:iCs/>
          <w:sz w:val="22"/>
          <w:szCs w:val="22"/>
        </w:rPr>
      </w:pPr>
      <w:r>
        <w:rPr>
          <w:i/>
          <w:iCs/>
          <w:sz w:val="22"/>
          <w:szCs w:val="22"/>
        </w:rPr>
        <w:t>Použitie u pacientov, ktorí užívajú iné lieky</w:t>
      </w:r>
    </w:p>
    <w:p w:rsidR="002379F8" w:rsidRPr="00DB4491" w:rsidRDefault="001C0D5A" w:rsidP="00FE4674">
      <w:pPr>
        <w:autoSpaceDE w:val="0"/>
        <w:autoSpaceDN w:val="0"/>
        <w:adjustRightInd w:val="0"/>
        <w:jc w:val="both"/>
        <w:rPr>
          <w:sz w:val="22"/>
          <w:szCs w:val="22"/>
        </w:rPr>
      </w:pPr>
      <w:r>
        <w:rPr>
          <w:sz w:val="22"/>
          <w:szCs w:val="22"/>
        </w:rPr>
        <w:t>S výnimkou ritonaviru, kedy sa súčasné podávanie so sildenafilom neodporúča (pozri časť 4.4), má sa u pacientov súčasne užívajúcich inhibítory CYP3A4 zvážiť úvodná dávka 25 mg (pozri časť 4.5).</w:t>
      </w:r>
    </w:p>
    <w:p w:rsidR="007309B4" w:rsidRPr="00DB4491" w:rsidRDefault="007309B4"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sz w:val="22"/>
          <w:szCs w:val="22"/>
        </w:rPr>
      </w:pPr>
      <w:r>
        <w:rPr>
          <w:sz w:val="22"/>
          <w:szCs w:val="22"/>
        </w:rPr>
        <w:t>Pacienti liečení alfablokátormi musia byť pred začatím liečby sildenafilom stabilizovaní, aby sa minimalizovala možnosť vzniku posturálnej hypotenzie. Navyše sa má zvážiť úvodná dávka sildenafilu 25 mg (pozri časti 4.4 a 4.5).</w:t>
      </w:r>
    </w:p>
    <w:p w:rsidR="007309B4" w:rsidRPr="00DB4491" w:rsidRDefault="007309B4" w:rsidP="00FE4674">
      <w:pPr>
        <w:autoSpaceDE w:val="0"/>
        <w:autoSpaceDN w:val="0"/>
        <w:adjustRightInd w:val="0"/>
        <w:jc w:val="both"/>
        <w:rPr>
          <w:sz w:val="22"/>
          <w:szCs w:val="22"/>
        </w:rPr>
      </w:pPr>
    </w:p>
    <w:p w:rsidR="001A77A7" w:rsidRPr="00DB4491" w:rsidRDefault="001C0D5A" w:rsidP="00FE4674">
      <w:pPr>
        <w:autoSpaceDE w:val="0"/>
        <w:autoSpaceDN w:val="0"/>
        <w:adjustRightInd w:val="0"/>
        <w:jc w:val="both"/>
        <w:rPr>
          <w:sz w:val="22"/>
          <w:szCs w:val="22"/>
          <w:u w:val="single"/>
        </w:rPr>
      </w:pPr>
      <w:r>
        <w:rPr>
          <w:sz w:val="22"/>
          <w:szCs w:val="22"/>
          <w:u w:val="single"/>
        </w:rPr>
        <w:t>Spôsob podávania</w:t>
      </w:r>
    </w:p>
    <w:p w:rsidR="001A77A7" w:rsidRPr="00DB4491" w:rsidRDefault="001A77A7" w:rsidP="00FE4674">
      <w:pPr>
        <w:autoSpaceDE w:val="0"/>
        <w:autoSpaceDN w:val="0"/>
        <w:adjustRightInd w:val="0"/>
        <w:jc w:val="both"/>
        <w:rPr>
          <w:sz w:val="22"/>
          <w:szCs w:val="22"/>
          <w:u w:val="single"/>
        </w:rPr>
      </w:pPr>
    </w:p>
    <w:p w:rsidR="001A77A7" w:rsidRPr="00DB4491" w:rsidRDefault="001C0D5A" w:rsidP="00164026">
      <w:pPr>
        <w:tabs>
          <w:tab w:val="left" w:pos="567"/>
        </w:tabs>
        <w:jc w:val="both"/>
        <w:rPr>
          <w:sz w:val="22"/>
          <w:szCs w:val="22"/>
        </w:rPr>
      </w:pPr>
      <w:r>
        <w:rPr>
          <w:sz w:val="22"/>
          <w:szCs w:val="22"/>
        </w:rPr>
        <w:t xml:space="preserve">Na perorálne podanie. </w:t>
      </w:r>
    </w:p>
    <w:p w:rsidR="001A77A7" w:rsidRPr="00DB4491" w:rsidRDefault="001A77A7"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b/>
          <w:bCs/>
          <w:sz w:val="22"/>
          <w:szCs w:val="22"/>
        </w:rPr>
      </w:pPr>
      <w:r>
        <w:rPr>
          <w:b/>
          <w:bCs/>
          <w:sz w:val="22"/>
          <w:szCs w:val="22"/>
        </w:rPr>
        <w:t>4.3</w:t>
      </w:r>
      <w:r>
        <w:rPr>
          <w:b/>
          <w:bCs/>
          <w:sz w:val="22"/>
          <w:szCs w:val="22"/>
        </w:rPr>
        <w:tab/>
        <w:t>Kontraindikácie</w:t>
      </w:r>
    </w:p>
    <w:p w:rsidR="007309B4" w:rsidRPr="00DB4491" w:rsidRDefault="007309B4" w:rsidP="00FE4674">
      <w:pPr>
        <w:autoSpaceDE w:val="0"/>
        <w:autoSpaceDN w:val="0"/>
        <w:adjustRightInd w:val="0"/>
        <w:jc w:val="both"/>
        <w:rPr>
          <w:b/>
          <w:bCs/>
          <w:sz w:val="22"/>
          <w:szCs w:val="22"/>
        </w:rPr>
      </w:pPr>
    </w:p>
    <w:p w:rsidR="002379F8" w:rsidRPr="00DB4491" w:rsidRDefault="001C0D5A" w:rsidP="00FE4674">
      <w:pPr>
        <w:autoSpaceDE w:val="0"/>
        <w:autoSpaceDN w:val="0"/>
        <w:adjustRightInd w:val="0"/>
        <w:jc w:val="both"/>
        <w:rPr>
          <w:sz w:val="22"/>
          <w:szCs w:val="22"/>
        </w:rPr>
      </w:pPr>
      <w:r>
        <w:rPr>
          <w:sz w:val="22"/>
          <w:szCs w:val="22"/>
        </w:rPr>
        <w:t>Precitlivenosť na sildenafil alebo na ktorúkoľvek z pomocných látok uvedených v časti 6.1.</w:t>
      </w:r>
    </w:p>
    <w:p w:rsidR="007309B4" w:rsidRPr="00DB4491" w:rsidRDefault="007309B4"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sz w:val="22"/>
          <w:szCs w:val="22"/>
        </w:rPr>
      </w:pPr>
      <w:r>
        <w:rPr>
          <w:sz w:val="22"/>
          <w:szCs w:val="22"/>
        </w:rPr>
        <w:t xml:space="preserve">V súlade so známym účinkom na metabolickú cestu oxidu dusnatého/cyklického guanozínmonofosfátu (cGMP) (pozri časť 5.1) sa preukázalo, že sildenafil potenciuje hypotenzívny účinok nitrátov, a preto jeho podanie spolu s donormi oxidu dusnatého (ako je </w:t>
      </w:r>
      <w:r w:rsidR="002379F8" w:rsidRPr="00DB4491">
        <w:rPr>
          <w:sz w:val="22"/>
          <w:szCs w:val="22"/>
        </w:rPr>
        <w:t>amylnitrit) alebo</w:t>
      </w:r>
      <w:r w:rsidR="007309B4" w:rsidRPr="00DB4491">
        <w:rPr>
          <w:sz w:val="22"/>
          <w:szCs w:val="22"/>
        </w:rPr>
        <w:t xml:space="preserve"> </w:t>
      </w:r>
      <w:r w:rsidR="002379F8" w:rsidRPr="00DB4491">
        <w:rPr>
          <w:sz w:val="22"/>
          <w:szCs w:val="22"/>
        </w:rPr>
        <w:t>nitrátmi v akejkoľvek forme je kontraindikované.</w:t>
      </w:r>
    </w:p>
    <w:p w:rsidR="007309B4" w:rsidRPr="00DB4491" w:rsidRDefault="007309B4"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sz w:val="22"/>
          <w:szCs w:val="22"/>
        </w:rPr>
      </w:pPr>
      <w:r>
        <w:rPr>
          <w:sz w:val="22"/>
          <w:szCs w:val="22"/>
        </w:rPr>
        <w:lastRenderedPageBreak/>
        <w:t>Látky určené na liečbu erektilnej dysfunkcie vrátane sildenafilu nemajú používať muži, u ktorých sa sexuálna aktivita neodporúča (napr. pacienti s ťažkými kardiovaskulárnymi poruchami ako nestabilná angina pectoris alebo ťažké srdcové zlyhávanie).</w:t>
      </w:r>
    </w:p>
    <w:p w:rsidR="007309B4" w:rsidRPr="00DB4491" w:rsidRDefault="007309B4"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sz w:val="22"/>
          <w:szCs w:val="22"/>
        </w:rPr>
      </w:pPr>
      <w:r>
        <w:rPr>
          <w:sz w:val="22"/>
          <w:szCs w:val="22"/>
        </w:rPr>
        <w:t>Sildenafil je kontraindikovaný u pacientov, ktorí majú stratu videnia v jednom oku v dôsledku nearteritickej prednej ischemickej neuropatie zrakového nervu (non-arteritic anterior ischaemic optic neuropathy, NAION) bez ohľadu na to, či táto príhoda súvisela alebo nesúvisela s predchádzajúcou expozíciou inhibítoru PDE5 (pozri časť 4.4).</w:t>
      </w:r>
    </w:p>
    <w:p w:rsidR="00112E53" w:rsidRPr="00DB4491" w:rsidRDefault="00112E53"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sz w:val="22"/>
          <w:szCs w:val="22"/>
        </w:rPr>
      </w:pPr>
      <w:r>
        <w:rPr>
          <w:sz w:val="22"/>
          <w:szCs w:val="22"/>
        </w:rPr>
        <w:t xml:space="preserve">Bezpečnosť sildenafilu sa neštudovala u nasledujúcich podskupín pacientov, a preto jeho použitie je u týchto pacientov kontraindikované: ťažké poškodenie funkcie pečene, hypotenzia (krvný tlak &lt; 90/50 mmHg), nedávno prekonaný infarkt myokardu alebo náhla cievna mozgová príhoda, hereditárne degeneratívne ochorenia retiny, ako sú </w:t>
      </w:r>
      <w:r>
        <w:rPr>
          <w:i/>
          <w:sz w:val="22"/>
          <w:szCs w:val="22"/>
        </w:rPr>
        <w:t>retinitis pigmentosa</w:t>
      </w:r>
      <w:r>
        <w:rPr>
          <w:sz w:val="22"/>
          <w:szCs w:val="22"/>
        </w:rPr>
        <w:t xml:space="preserve"> (menšina z týchto pacientov má genetickú poruchu retinálnej fosfodiesterázy).</w:t>
      </w:r>
    </w:p>
    <w:p w:rsidR="00112E53" w:rsidRPr="00DB4491" w:rsidRDefault="00112E53"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b/>
          <w:bCs/>
          <w:sz w:val="22"/>
          <w:szCs w:val="22"/>
        </w:rPr>
      </w:pPr>
      <w:r>
        <w:rPr>
          <w:b/>
          <w:bCs/>
          <w:sz w:val="22"/>
          <w:szCs w:val="22"/>
        </w:rPr>
        <w:t>4.4</w:t>
      </w:r>
      <w:r>
        <w:rPr>
          <w:b/>
          <w:bCs/>
          <w:sz w:val="22"/>
          <w:szCs w:val="22"/>
        </w:rPr>
        <w:tab/>
        <w:t>Osobitné upozornenia a opatrenia pri používaní</w:t>
      </w:r>
    </w:p>
    <w:p w:rsidR="00112E53" w:rsidRPr="00DB4491" w:rsidRDefault="00112E53" w:rsidP="00FE4674">
      <w:pPr>
        <w:autoSpaceDE w:val="0"/>
        <w:autoSpaceDN w:val="0"/>
        <w:adjustRightInd w:val="0"/>
        <w:jc w:val="both"/>
        <w:rPr>
          <w:b/>
          <w:bCs/>
          <w:sz w:val="22"/>
          <w:szCs w:val="22"/>
        </w:rPr>
      </w:pPr>
    </w:p>
    <w:p w:rsidR="002379F8" w:rsidRPr="00DB4491" w:rsidRDefault="001C0D5A" w:rsidP="00FE4674">
      <w:pPr>
        <w:autoSpaceDE w:val="0"/>
        <w:autoSpaceDN w:val="0"/>
        <w:adjustRightInd w:val="0"/>
        <w:jc w:val="both"/>
        <w:rPr>
          <w:sz w:val="22"/>
          <w:szCs w:val="22"/>
        </w:rPr>
      </w:pPr>
      <w:r>
        <w:rPr>
          <w:sz w:val="22"/>
          <w:szCs w:val="22"/>
        </w:rPr>
        <w:t>Na stanovenie diagnózy erektilnej dysfunkcie a určenie jej možných príčin sa má pred rozhodnutím o farmakologickej liečbe zistiť anamnéza a urobiť fyzikálne vyšetrenie.</w:t>
      </w:r>
    </w:p>
    <w:p w:rsidR="00112E53" w:rsidRPr="00DB4491" w:rsidRDefault="00112E53" w:rsidP="00FE4674">
      <w:pPr>
        <w:autoSpaceDE w:val="0"/>
        <w:autoSpaceDN w:val="0"/>
        <w:adjustRightInd w:val="0"/>
        <w:jc w:val="both"/>
        <w:rPr>
          <w:sz w:val="22"/>
          <w:szCs w:val="22"/>
        </w:rPr>
      </w:pPr>
    </w:p>
    <w:p w:rsidR="00367DCE" w:rsidRPr="00DB4491" w:rsidRDefault="001C0D5A" w:rsidP="00FE4674">
      <w:pPr>
        <w:autoSpaceDE w:val="0"/>
        <w:autoSpaceDN w:val="0"/>
        <w:adjustRightInd w:val="0"/>
        <w:jc w:val="both"/>
        <w:rPr>
          <w:i/>
          <w:sz w:val="22"/>
          <w:szCs w:val="22"/>
        </w:rPr>
      </w:pPr>
      <w:r>
        <w:rPr>
          <w:i/>
          <w:sz w:val="22"/>
          <w:szCs w:val="22"/>
        </w:rPr>
        <w:t>Kardiovaskulárne rizikové faktory</w:t>
      </w:r>
    </w:p>
    <w:p w:rsidR="002379F8" w:rsidRPr="00DB4491" w:rsidRDefault="001C0D5A" w:rsidP="00FE4674">
      <w:pPr>
        <w:autoSpaceDE w:val="0"/>
        <w:autoSpaceDN w:val="0"/>
        <w:adjustRightInd w:val="0"/>
        <w:jc w:val="both"/>
        <w:rPr>
          <w:sz w:val="22"/>
          <w:szCs w:val="22"/>
        </w:rPr>
      </w:pPr>
      <w:r>
        <w:rPr>
          <w:sz w:val="22"/>
          <w:szCs w:val="22"/>
        </w:rPr>
        <w:t>Pred začatím akejkoľvek liečby erektilnej dysfunkcie má lekár zohľadniť kardiovaskulárny status pacienta, lebo sexuálna aktivita je spojená s istým stupňom kardiálneho rizika. Sildenafil má vazodilatačné vlastnosti, ktoré vedú k miernemu a prechodnému zníženiu tlaku krvi (pozri časť 5.1). Pred predpísaním sildenafilu má lekár dôkladne zvážiť, či pacient netrpí takým ochorením, ktorého priebeh by mohli uvedené vazodilatačné účinky nepriaznivo ovplyvniť, najmä v kombinácii so sexuálnou aktivitou. Medzi pacientov so zvýšenou citlivosťou pri podaní vazodilatátorov patria najmä pacienti s obštrukciou výtoku z ľavej komory (napr. aortálna stenóza, hypertrofická obštrukčná kardiomyopatia) alebo pacienti so zriedkavým syndrómom multisystémovej atrofie, ktorý sa manifestuje ako ťažké poškodenie autonómnej kontroly krvného tlaku.</w:t>
      </w:r>
    </w:p>
    <w:p w:rsidR="0010684E" w:rsidRPr="00DB4491" w:rsidRDefault="0010684E"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sz w:val="22"/>
          <w:szCs w:val="22"/>
        </w:rPr>
      </w:pPr>
      <w:r>
        <w:rPr>
          <w:sz w:val="22"/>
          <w:szCs w:val="22"/>
        </w:rPr>
        <w:t>Sildenafil potenciuje hypotenzívny účinok nitrátov (pozri časť 4.3).</w:t>
      </w:r>
    </w:p>
    <w:p w:rsidR="0010684E" w:rsidRPr="00DB4491" w:rsidRDefault="0010684E" w:rsidP="00FE4674">
      <w:pPr>
        <w:autoSpaceDE w:val="0"/>
        <w:autoSpaceDN w:val="0"/>
        <w:adjustRightInd w:val="0"/>
        <w:jc w:val="both"/>
        <w:rPr>
          <w:sz w:val="22"/>
          <w:szCs w:val="22"/>
        </w:rPr>
      </w:pPr>
    </w:p>
    <w:p w:rsidR="002379F8" w:rsidRPr="00DB4491" w:rsidRDefault="001C0D5A" w:rsidP="00FE4674">
      <w:pPr>
        <w:autoSpaceDE w:val="0"/>
        <w:autoSpaceDN w:val="0"/>
        <w:adjustRightInd w:val="0"/>
        <w:jc w:val="both"/>
        <w:rPr>
          <w:sz w:val="22"/>
          <w:szCs w:val="22"/>
        </w:rPr>
      </w:pPr>
      <w:r>
        <w:rPr>
          <w:sz w:val="22"/>
          <w:szCs w:val="22"/>
        </w:rPr>
        <w:t>Po uvedení lieku na trh boli v časovej súvislosti s užitím sildenafilu hlásené závažné kardiovaskulárne príhody vrátane infarktu myokardu, nestabilnej angina pectoris, náhlej srdcovej smrti, komorovej arytmie, cerebrovaskulárnej hemorágie, tranzitórneho ischemického ataku, hypertenzie a hypotenzie. U väčšiny týchto pacientov, ale nie u všetkých, boli prítomné preexistujúce kardiovaskulárne rizikové faktory. Mnohé z týchto hlásených príhod vznikli počas alebo krátko po sexuálnom styku a niekoľko z nich sa vyskytlo krátko po užití sildenafilu, ale bez sexuálnej aktivity. Nie je možné určiť, či tieto príhody priamo súvisia s uvedenými alebo inými faktormi.</w:t>
      </w:r>
    </w:p>
    <w:p w:rsidR="002379F8" w:rsidRPr="00DB4491" w:rsidRDefault="002379F8" w:rsidP="00FE4674">
      <w:pPr>
        <w:jc w:val="both"/>
        <w:rPr>
          <w:sz w:val="22"/>
          <w:szCs w:val="22"/>
        </w:rPr>
      </w:pPr>
    </w:p>
    <w:p w:rsidR="00FE4674" w:rsidRPr="00DB4491" w:rsidRDefault="001C0D5A" w:rsidP="00FE4674">
      <w:pPr>
        <w:jc w:val="both"/>
        <w:rPr>
          <w:i/>
          <w:sz w:val="22"/>
          <w:szCs w:val="22"/>
        </w:rPr>
      </w:pPr>
      <w:r>
        <w:rPr>
          <w:i/>
          <w:sz w:val="22"/>
          <w:szCs w:val="22"/>
        </w:rPr>
        <w:t>Priapizmus</w:t>
      </w:r>
    </w:p>
    <w:p w:rsidR="002379F8" w:rsidRPr="00DB4491" w:rsidRDefault="001C0D5A" w:rsidP="00FE4674">
      <w:pPr>
        <w:autoSpaceDE w:val="0"/>
        <w:autoSpaceDN w:val="0"/>
        <w:adjustRightInd w:val="0"/>
        <w:jc w:val="both"/>
        <w:rPr>
          <w:sz w:val="22"/>
          <w:szCs w:val="22"/>
        </w:rPr>
      </w:pPr>
      <w:r>
        <w:rPr>
          <w:sz w:val="22"/>
          <w:szCs w:val="22"/>
        </w:rPr>
        <w:t>Látky na liečbu erektilnej dysfunkcie, vrátane sildenafilu, sa majú používať s opatrnosťou u pacientov s anatomickou deformáciou penisu (ako angulácia, kavernózna fibróza alebo Peyronieho choroba) alebo u pacientov s ochoreniami, ktoré predisponujú k priapizmu (ako kosáčiková anémia, mnohonásobný myelóm alebo leukémia).</w:t>
      </w:r>
    </w:p>
    <w:p w:rsidR="00C27851" w:rsidRPr="00DB4491" w:rsidRDefault="00C27851" w:rsidP="00FE4674">
      <w:pPr>
        <w:autoSpaceDE w:val="0"/>
        <w:autoSpaceDN w:val="0"/>
        <w:adjustRightInd w:val="0"/>
        <w:jc w:val="both"/>
        <w:rPr>
          <w:sz w:val="22"/>
          <w:szCs w:val="22"/>
        </w:rPr>
      </w:pPr>
    </w:p>
    <w:p w:rsidR="00FE4674" w:rsidRPr="00DB4491" w:rsidRDefault="001C0D5A" w:rsidP="00FE4674">
      <w:pPr>
        <w:autoSpaceDE w:val="0"/>
        <w:autoSpaceDN w:val="0"/>
        <w:adjustRightInd w:val="0"/>
        <w:jc w:val="both"/>
        <w:rPr>
          <w:sz w:val="22"/>
          <w:szCs w:val="22"/>
        </w:rPr>
      </w:pPr>
      <w:r>
        <w:rPr>
          <w:sz w:val="22"/>
          <w:szCs w:val="22"/>
        </w:rPr>
        <w:t>Z post-marketingových skúseností so sildenafilom boli hlásené predĺžené erekcie a priapizmus. V prípade erekcie, ktorá pretrváva dlhšie než 4 hodiny má pacient vyhľadať okamžitú zdravotnú pomoc. Ak priapizmus nie je liečený okamžite, môže to mať za následok poškodenie tkaniva penisu a trvalú stratu potencie.</w:t>
      </w:r>
    </w:p>
    <w:p w:rsidR="00FE4674" w:rsidRPr="00DB4491" w:rsidRDefault="00FE4674" w:rsidP="002379F8">
      <w:pPr>
        <w:autoSpaceDE w:val="0"/>
        <w:autoSpaceDN w:val="0"/>
        <w:adjustRightInd w:val="0"/>
        <w:jc w:val="both"/>
        <w:rPr>
          <w:sz w:val="22"/>
          <w:szCs w:val="22"/>
        </w:rPr>
      </w:pPr>
    </w:p>
    <w:p w:rsidR="00FE4674" w:rsidRPr="00DB4491" w:rsidRDefault="001C0D5A" w:rsidP="00FE4674">
      <w:pPr>
        <w:autoSpaceDE w:val="0"/>
        <w:autoSpaceDN w:val="0"/>
        <w:adjustRightInd w:val="0"/>
        <w:jc w:val="both"/>
        <w:rPr>
          <w:i/>
          <w:sz w:val="22"/>
          <w:szCs w:val="22"/>
        </w:rPr>
      </w:pPr>
      <w:r>
        <w:rPr>
          <w:i/>
          <w:sz w:val="22"/>
          <w:szCs w:val="22"/>
        </w:rPr>
        <w:t>Kombinovanie sildenafilu s inými PDE5 inhibítormi alebo inými liečebnými postupmi na liečbu erektilnej dysfunkcie</w:t>
      </w:r>
    </w:p>
    <w:p w:rsidR="0010684E" w:rsidRPr="00DB4491" w:rsidRDefault="001C0D5A" w:rsidP="00860778">
      <w:pPr>
        <w:autoSpaceDE w:val="0"/>
        <w:autoSpaceDN w:val="0"/>
        <w:adjustRightInd w:val="0"/>
        <w:jc w:val="both"/>
        <w:rPr>
          <w:sz w:val="22"/>
          <w:szCs w:val="22"/>
        </w:rPr>
      </w:pPr>
      <w:r>
        <w:rPr>
          <w:sz w:val="22"/>
          <w:szCs w:val="22"/>
        </w:rPr>
        <w:lastRenderedPageBreak/>
        <w:t>Bezpečnosť a účinnosť kombinácií sildenafilu s inými PDE5 inhibítormi alebo inými liečebnými postupmi na liečbu pľúcnej artériovej hypertenzie (PAH) obsahujúcimi sildenafil  alebo inými liečebnými postupmi na liečbu erektilnej dysfunkcie nebola študovaná. Preto sa použitie takýchto kombinácií neodporúča.</w:t>
      </w:r>
    </w:p>
    <w:p w:rsidR="00860778" w:rsidRPr="00DB4491" w:rsidRDefault="00860778" w:rsidP="00860778">
      <w:pPr>
        <w:autoSpaceDE w:val="0"/>
        <w:autoSpaceDN w:val="0"/>
        <w:adjustRightInd w:val="0"/>
        <w:jc w:val="both"/>
        <w:rPr>
          <w:sz w:val="22"/>
          <w:szCs w:val="22"/>
        </w:rPr>
      </w:pPr>
    </w:p>
    <w:p w:rsidR="00860778" w:rsidRPr="00DB4491" w:rsidRDefault="001C0D5A" w:rsidP="00C41030">
      <w:pPr>
        <w:keepNext/>
        <w:autoSpaceDE w:val="0"/>
        <w:autoSpaceDN w:val="0"/>
        <w:adjustRightInd w:val="0"/>
        <w:jc w:val="both"/>
        <w:rPr>
          <w:i/>
          <w:sz w:val="22"/>
          <w:szCs w:val="22"/>
        </w:rPr>
      </w:pPr>
      <w:r>
        <w:rPr>
          <w:i/>
          <w:sz w:val="22"/>
          <w:szCs w:val="22"/>
        </w:rPr>
        <w:t>Účinky na zrak</w:t>
      </w:r>
    </w:p>
    <w:p w:rsidR="00860778" w:rsidRPr="00DB4491" w:rsidRDefault="001C0D5A" w:rsidP="00860778">
      <w:pPr>
        <w:autoSpaceDE w:val="0"/>
        <w:autoSpaceDN w:val="0"/>
        <w:adjustRightInd w:val="0"/>
        <w:jc w:val="both"/>
        <w:rPr>
          <w:sz w:val="22"/>
          <w:szCs w:val="22"/>
        </w:rPr>
      </w:pPr>
      <w:r>
        <w:rPr>
          <w:sz w:val="22"/>
          <w:szCs w:val="22"/>
        </w:rPr>
        <w:t>V súvislosti s užitím sildenafilu a ostatných inhibítorov PDE5 boli spontánne hlásené prípady porúch zraku (pozri časť 4.8). súvislosti s užitím sildenafilu a ostatných inhibítorov PDE5 boli spontánne a z observačných štúdií hlásené prípady zriedkavého ochorenia, nearterickej prednej ischemickej neuropatie zrakového nervu (pozri časť 4.8). Pacienti majú byť poučení, aby v akomkoľvek prípade náhlej poruchy videnia prestali užívať sildenafil tablety a ihneď sa poradili s lekárom (pozri časť 4.3).</w:t>
      </w:r>
    </w:p>
    <w:p w:rsidR="00860778" w:rsidRPr="00DB4491" w:rsidRDefault="00860778" w:rsidP="00860778">
      <w:pPr>
        <w:autoSpaceDE w:val="0"/>
        <w:autoSpaceDN w:val="0"/>
        <w:adjustRightInd w:val="0"/>
        <w:jc w:val="both"/>
        <w:rPr>
          <w:sz w:val="22"/>
          <w:szCs w:val="22"/>
        </w:rPr>
      </w:pPr>
    </w:p>
    <w:p w:rsidR="0010684E" w:rsidRPr="00DB4491" w:rsidRDefault="001C0D5A" w:rsidP="002379F8">
      <w:pPr>
        <w:autoSpaceDE w:val="0"/>
        <w:autoSpaceDN w:val="0"/>
        <w:adjustRightInd w:val="0"/>
        <w:jc w:val="both"/>
        <w:rPr>
          <w:i/>
          <w:sz w:val="22"/>
          <w:szCs w:val="22"/>
        </w:rPr>
      </w:pPr>
      <w:r>
        <w:rPr>
          <w:i/>
          <w:sz w:val="22"/>
          <w:szCs w:val="22"/>
        </w:rPr>
        <w:t>Súčasné podávanie sildenafilu a ritonaviru</w:t>
      </w:r>
    </w:p>
    <w:p w:rsidR="002379F8" w:rsidRPr="00DB4491" w:rsidRDefault="001C0D5A" w:rsidP="002379F8">
      <w:pPr>
        <w:autoSpaceDE w:val="0"/>
        <w:autoSpaceDN w:val="0"/>
        <w:adjustRightInd w:val="0"/>
        <w:jc w:val="both"/>
        <w:rPr>
          <w:sz w:val="22"/>
          <w:szCs w:val="22"/>
        </w:rPr>
      </w:pPr>
      <w:r>
        <w:rPr>
          <w:sz w:val="22"/>
          <w:szCs w:val="22"/>
        </w:rPr>
        <w:t>Súčasné podávanie sildenafilu a ritonaviru sa neodporúča (pozri časť 4.5).</w:t>
      </w:r>
    </w:p>
    <w:p w:rsidR="0010684E" w:rsidRPr="00DB4491" w:rsidRDefault="0010684E" w:rsidP="002379F8">
      <w:pPr>
        <w:autoSpaceDE w:val="0"/>
        <w:autoSpaceDN w:val="0"/>
        <w:adjustRightInd w:val="0"/>
        <w:jc w:val="both"/>
        <w:rPr>
          <w:sz w:val="22"/>
          <w:szCs w:val="22"/>
        </w:rPr>
      </w:pPr>
    </w:p>
    <w:p w:rsidR="00860778" w:rsidRPr="00DB4491" w:rsidRDefault="001C0D5A" w:rsidP="002379F8">
      <w:pPr>
        <w:autoSpaceDE w:val="0"/>
        <w:autoSpaceDN w:val="0"/>
        <w:adjustRightInd w:val="0"/>
        <w:jc w:val="both"/>
        <w:rPr>
          <w:i/>
          <w:sz w:val="22"/>
          <w:szCs w:val="22"/>
        </w:rPr>
      </w:pPr>
      <w:r>
        <w:rPr>
          <w:i/>
          <w:sz w:val="22"/>
          <w:szCs w:val="22"/>
        </w:rPr>
        <w:t>Súčasné podávanie s alfablokátormi</w:t>
      </w:r>
    </w:p>
    <w:p w:rsidR="002379F8" w:rsidRPr="00DB4491" w:rsidRDefault="001C0D5A" w:rsidP="002379F8">
      <w:pPr>
        <w:autoSpaceDE w:val="0"/>
        <w:autoSpaceDN w:val="0"/>
        <w:adjustRightInd w:val="0"/>
        <w:jc w:val="both"/>
        <w:rPr>
          <w:sz w:val="22"/>
          <w:szCs w:val="22"/>
        </w:rPr>
      </w:pPr>
      <w:r>
        <w:rPr>
          <w:sz w:val="22"/>
          <w:szCs w:val="22"/>
        </w:rPr>
        <w:t>Opatrnosť sa odporúča, keď sa sildenafil podáva pacientom užívajúcim alfablokátory vzhľadom na to, že súčasné podávanie môže viesť u niektorých citlivých jedincov k symptomatickej hypotenzii (pozri časť 4.5). Najpravdepodobnejší čas jej výskytu je do 4 hodín po podaní sildenafilu. Pacienti liečení alfablokátormi musia byť pred začatím liečby sildenafilom hemodynamicky stabilizovaní, aby sa minimalizovala možnosť vzniku posturálnej hypotenzie. Má sa zvážiť úvodná dávka sildenafilu 25 mg (pozri časť 4.2). Lekári majú okrem toho poradiť pacientom, čo robiť v prípade príznakov posturálnej hypotenzie.</w:t>
      </w:r>
    </w:p>
    <w:p w:rsidR="0008465E" w:rsidRPr="00DB4491" w:rsidRDefault="0008465E" w:rsidP="002379F8">
      <w:pPr>
        <w:autoSpaceDE w:val="0"/>
        <w:autoSpaceDN w:val="0"/>
        <w:adjustRightInd w:val="0"/>
        <w:jc w:val="both"/>
        <w:rPr>
          <w:sz w:val="22"/>
          <w:szCs w:val="22"/>
        </w:rPr>
      </w:pPr>
    </w:p>
    <w:p w:rsidR="0008465E" w:rsidRPr="00DB4491" w:rsidRDefault="001C0D5A" w:rsidP="002379F8">
      <w:pPr>
        <w:autoSpaceDE w:val="0"/>
        <w:autoSpaceDN w:val="0"/>
        <w:adjustRightInd w:val="0"/>
        <w:jc w:val="both"/>
        <w:rPr>
          <w:i/>
          <w:sz w:val="22"/>
          <w:szCs w:val="22"/>
        </w:rPr>
      </w:pPr>
      <w:r>
        <w:rPr>
          <w:i/>
          <w:sz w:val="22"/>
          <w:szCs w:val="22"/>
        </w:rPr>
        <w:t>Účinky na krvácanie</w:t>
      </w:r>
    </w:p>
    <w:p w:rsidR="002379F8" w:rsidRPr="00DB4491" w:rsidRDefault="001C0D5A" w:rsidP="002379F8">
      <w:pPr>
        <w:autoSpaceDE w:val="0"/>
        <w:autoSpaceDN w:val="0"/>
        <w:adjustRightInd w:val="0"/>
        <w:jc w:val="both"/>
        <w:rPr>
          <w:sz w:val="22"/>
          <w:szCs w:val="22"/>
        </w:rPr>
      </w:pPr>
      <w:r>
        <w:rPr>
          <w:sz w:val="22"/>
          <w:szCs w:val="22"/>
        </w:rPr>
        <w:t xml:space="preserve">Štúdie </w:t>
      </w:r>
      <w:r>
        <w:rPr>
          <w:i/>
          <w:iCs/>
          <w:sz w:val="22"/>
          <w:szCs w:val="22"/>
        </w:rPr>
        <w:t xml:space="preserve">in vitro </w:t>
      </w:r>
      <w:r>
        <w:rPr>
          <w:sz w:val="22"/>
          <w:szCs w:val="22"/>
        </w:rPr>
        <w:t>s humánnymi krvnými doštičkami naznačujú, že sildenafil potenciuje antiagregačný účinok nitroprusidu sodného. Nie sú žiadne údaje o bezpečnosti podania sildenafilu pacientom s poruchami krvácania alebo s aktívnym peptickým vredom. Preto sa má sildenafil u týchto pacientov podávať iba po dôslednom zvážení prínosu a rizika liečby.</w:t>
      </w:r>
    </w:p>
    <w:p w:rsidR="0010684E" w:rsidRPr="00DB4491" w:rsidRDefault="0010684E" w:rsidP="002379F8">
      <w:pPr>
        <w:autoSpaceDE w:val="0"/>
        <w:autoSpaceDN w:val="0"/>
        <w:adjustRightInd w:val="0"/>
        <w:jc w:val="both"/>
        <w:rPr>
          <w:sz w:val="22"/>
          <w:szCs w:val="22"/>
        </w:rPr>
      </w:pPr>
    </w:p>
    <w:p w:rsidR="0008465E" w:rsidRPr="00DB4491" w:rsidRDefault="001C0D5A" w:rsidP="0008465E">
      <w:pPr>
        <w:autoSpaceDE w:val="0"/>
        <w:autoSpaceDN w:val="0"/>
        <w:adjustRightInd w:val="0"/>
        <w:jc w:val="both"/>
        <w:rPr>
          <w:sz w:val="22"/>
          <w:szCs w:val="22"/>
        </w:rPr>
      </w:pPr>
      <w:r>
        <w:rPr>
          <w:sz w:val="22"/>
          <w:szCs w:val="22"/>
        </w:rPr>
        <w:t>Filmový obal tablety obsahuje laktózu. Sildenafil Medreg sa nemá podávať mužom so zriedkavou vrodenou intoleranciou laponským deficitom laktázy alebo glukózo-galaktózovou malabsorpciou.</w:t>
      </w:r>
    </w:p>
    <w:p w:rsidR="0008465E" w:rsidRPr="00DB4491" w:rsidRDefault="0008465E" w:rsidP="002379F8">
      <w:pPr>
        <w:autoSpaceDE w:val="0"/>
        <w:autoSpaceDN w:val="0"/>
        <w:adjustRightInd w:val="0"/>
        <w:jc w:val="both"/>
        <w:rPr>
          <w:sz w:val="22"/>
          <w:szCs w:val="22"/>
        </w:rPr>
      </w:pPr>
    </w:p>
    <w:p w:rsidR="0008465E" w:rsidRPr="00DB4491" w:rsidRDefault="001C0D5A" w:rsidP="002379F8">
      <w:pPr>
        <w:autoSpaceDE w:val="0"/>
        <w:autoSpaceDN w:val="0"/>
        <w:adjustRightInd w:val="0"/>
        <w:jc w:val="both"/>
        <w:rPr>
          <w:i/>
          <w:sz w:val="22"/>
          <w:szCs w:val="22"/>
        </w:rPr>
      </w:pPr>
      <w:r>
        <w:rPr>
          <w:i/>
          <w:sz w:val="22"/>
          <w:szCs w:val="22"/>
        </w:rPr>
        <w:t>Ženy</w:t>
      </w:r>
    </w:p>
    <w:p w:rsidR="002379F8" w:rsidRPr="00DB4491" w:rsidRDefault="001C0D5A" w:rsidP="002379F8">
      <w:pPr>
        <w:autoSpaceDE w:val="0"/>
        <w:autoSpaceDN w:val="0"/>
        <w:adjustRightInd w:val="0"/>
        <w:jc w:val="both"/>
        <w:rPr>
          <w:sz w:val="22"/>
          <w:szCs w:val="22"/>
        </w:rPr>
      </w:pPr>
      <w:r>
        <w:rPr>
          <w:sz w:val="22"/>
          <w:szCs w:val="22"/>
        </w:rPr>
        <w:t>Sildenafil tablety nie sú indikované na použitie u žien.</w:t>
      </w:r>
    </w:p>
    <w:p w:rsidR="0010684E" w:rsidRPr="00DB4491" w:rsidRDefault="0010684E"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4.5</w:t>
      </w:r>
      <w:r>
        <w:rPr>
          <w:b/>
          <w:bCs/>
          <w:sz w:val="22"/>
          <w:szCs w:val="22"/>
        </w:rPr>
        <w:tab/>
        <w:t>Liekové a iné interakcie</w:t>
      </w:r>
    </w:p>
    <w:p w:rsidR="0010684E" w:rsidRPr="00DB4491" w:rsidRDefault="0010684E"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i/>
          <w:iCs/>
          <w:sz w:val="22"/>
          <w:szCs w:val="22"/>
        </w:rPr>
      </w:pPr>
      <w:r>
        <w:rPr>
          <w:i/>
          <w:iCs/>
          <w:sz w:val="22"/>
          <w:szCs w:val="22"/>
        </w:rPr>
        <w:t>Účinky iných liekov na sildenafil</w:t>
      </w:r>
    </w:p>
    <w:p w:rsidR="0010684E" w:rsidRPr="00DB4491" w:rsidRDefault="0010684E" w:rsidP="002379F8">
      <w:pPr>
        <w:autoSpaceDE w:val="0"/>
        <w:autoSpaceDN w:val="0"/>
        <w:adjustRightInd w:val="0"/>
        <w:jc w:val="both"/>
        <w:rPr>
          <w:i/>
          <w:iCs/>
          <w:sz w:val="22"/>
          <w:szCs w:val="22"/>
        </w:rPr>
      </w:pPr>
    </w:p>
    <w:p w:rsidR="002379F8" w:rsidRPr="00DB4491" w:rsidRDefault="001C0D5A" w:rsidP="002379F8">
      <w:pPr>
        <w:autoSpaceDE w:val="0"/>
        <w:autoSpaceDN w:val="0"/>
        <w:adjustRightInd w:val="0"/>
        <w:jc w:val="both"/>
        <w:rPr>
          <w:i/>
          <w:iCs/>
          <w:sz w:val="22"/>
          <w:szCs w:val="22"/>
          <w:u w:val="single"/>
        </w:rPr>
      </w:pPr>
      <w:r>
        <w:rPr>
          <w:i/>
          <w:iCs/>
          <w:sz w:val="22"/>
          <w:szCs w:val="22"/>
          <w:u w:val="single"/>
        </w:rPr>
        <w:t>Štúdie in vitro</w:t>
      </w:r>
    </w:p>
    <w:p w:rsidR="0008465E" w:rsidRPr="00DB4491" w:rsidRDefault="001C0D5A" w:rsidP="002379F8">
      <w:pPr>
        <w:autoSpaceDE w:val="0"/>
        <w:autoSpaceDN w:val="0"/>
        <w:adjustRightInd w:val="0"/>
        <w:jc w:val="both"/>
        <w:rPr>
          <w:sz w:val="22"/>
          <w:szCs w:val="22"/>
        </w:rPr>
      </w:pPr>
      <w:r>
        <w:rPr>
          <w:sz w:val="22"/>
          <w:szCs w:val="22"/>
        </w:rPr>
        <w:t>Sildenafil je v rozhodujúcej miere metabolizovaný (CYP) izoenzýmami 3A4 (hlavná metabolická cesta) a 2C9 (vedľajšia metabolická cesta) cytochrómu P450. Inhibítory týchto izoenzýmov môžu preto znížiť klírens sildenafilu a induktory týchto izoenzýmov môžu zvýšiť klírens sildenafilu.</w:t>
      </w:r>
    </w:p>
    <w:p w:rsidR="0010684E" w:rsidRPr="00DB4491" w:rsidRDefault="001C0D5A" w:rsidP="002379F8">
      <w:pPr>
        <w:autoSpaceDE w:val="0"/>
        <w:autoSpaceDN w:val="0"/>
        <w:adjustRightInd w:val="0"/>
        <w:jc w:val="both"/>
        <w:rPr>
          <w:sz w:val="22"/>
          <w:szCs w:val="22"/>
        </w:rPr>
      </w:pPr>
      <w:r>
        <w:rPr>
          <w:sz w:val="22"/>
          <w:szCs w:val="22"/>
        </w:rPr>
        <w:t xml:space="preserve"> </w:t>
      </w:r>
    </w:p>
    <w:p w:rsidR="002379F8" w:rsidRPr="00DB4491" w:rsidRDefault="001C0D5A" w:rsidP="002379F8">
      <w:pPr>
        <w:autoSpaceDE w:val="0"/>
        <w:autoSpaceDN w:val="0"/>
        <w:adjustRightInd w:val="0"/>
        <w:jc w:val="both"/>
        <w:rPr>
          <w:i/>
          <w:iCs/>
          <w:sz w:val="22"/>
          <w:szCs w:val="22"/>
          <w:u w:val="single"/>
        </w:rPr>
      </w:pPr>
      <w:r>
        <w:rPr>
          <w:i/>
          <w:iCs/>
          <w:sz w:val="22"/>
          <w:szCs w:val="22"/>
          <w:u w:val="single"/>
        </w:rPr>
        <w:t>Štúdie in vivo</w:t>
      </w:r>
    </w:p>
    <w:p w:rsidR="002379F8" w:rsidRPr="00DB4491" w:rsidRDefault="001C0D5A" w:rsidP="002379F8">
      <w:pPr>
        <w:autoSpaceDE w:val="0"/>
        <w:autoSpaceDN w:val="0"/>
        <w:adjustRightInd w:val="0"/>
        <w:jc w:val="both"/>
        <w:rPr>
          <w:sz w:val="22"/>
          <w:szCs w:val="22"/>
        </w:rPr>
      </w:pPr>
      <w:r>
        <w:rPr>
          <w:sz w:val="22"/>
          <w:szCs w:val="22"/>
        </w:rPr>
        <w:t>Analýzy farmakokinetických údajov rôznych skupín pacientov, ktorí boli sledovaní v klinických štúdiách naznačujú, že dochádza k zníženiu klírensu sildenafilu, ak sa podáva súčasne s inhibítormi izoenzýmu CYP3A4 (ako sú ketokonazol, erytromycín, cimetidín). Hoci sa u týchto pacientov nezaznamenalo žiadne zvýšenie výskytu nežiaducich účinkov, aj napriek tomu, ak sa sildenafil podáva súčasne s inhibítormi CYP3A4, má sa zvážiť úvodná dávka 25 mg.</w:t>
      </w:r>
    </w:p>
    <w:p w:rsidR="00C70A80" w:rsidRPr="00DB4491" w:rsidRDefault="00C70A80"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Súčasné podávanie inhibítora HIV proteázy ritonaviru, ktorý je veľmi silný inhibítor cytochrómu P450, v rovnovážnom stave (500 mg dvakrát denne) a sildenafilu (100 mg jednorazová dávka) viedlo k 300 % (4-násobnému) vzostupu C</w:t>
      </w:r>
      <w:r>
        <w:rPr>
          <w:sz w:val="22"/>
          <w:szCs w:val="22"/>
          <w:vertAlign w:val="subscript"/>
        </w:rPr>
        <w:t>max</w:t>
      </w:r>
      <w:r>
        <w:rPr>
          <w:sz w:val="22"/>
          <w:szCs w:val="22"/>
        </w:rPr>
        <w:t xml:space="preserve"> sildenafilu a k 1000 % (11-násobnému) vzostupu AUC </w:t>
      </w:r>
      <w:r>
        <w:rPr>
          <w:sz w:val="22"/>
          <w:szCs w:val="22"/>
        </w:rPr>
        <w:lastRenderedPageBreak/>
        <w:t>sildenafilu v plazme. Po uplynutí 24 hodín boli plazmatické koncentrácie sildenafilu ešte stále približne 200 ng/ml, v porovnaní s približne 5 ng/ml, ak bol sildenafil podaný samostatne. Tieto údaje sú v súlade s výraznými účinkami ritonaviru na široké spektrum substrátov P450. Sildenafil neovplyvňuje farmakokinetiku ritonaviru. Vzhľadom na tieto farmakokinetické výsledky súčasné podávanie sildenafilu a ritonaviru sa neodporúča (pozri časť 4.4) a v žiadnom prípade maximálna dávka sildenafilu nesmie za žiadnych okolností prekročiť 25 mg za 48 hodín.</w:t>
      </w:r>
    </w:p>
    <w:p w:rsidR="00C70A80" w:rsidRPr="00DB4491" w:rsidRDefault="00C70A80"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 xml:space="preserve">Súčasné podávanie inhibítora HIV proteázy sakvinaviru, inhibítora CYP3A4 v rovnovážnom stave (1200 mg trikrát denne) a sildenafilu (100 mg jednorazová dávka) viedlo k 140 % vzostupu </w:t>
      </w:r>
      <w:proofErr w:type="spellStart"/>
      <w:r w:rsidR="007F7479">
        <w:rPr>
          <w:sz w:val="22"/>
          <w:szCs w:val="22"/>
        </w:rPr>
        <w:t>c</w:t>
      </w:r>
      <w:r w:rsidR="007F7479" w:rsidRPr="00DB4491">
        <w:rPr>
          <w:sz w:val="22"/>
          <w:szCs w:val="22"/>
          <w:vertAlign w:val="subscript"/>
        </w:rPr>
        <w:t>max</w:t>
      </w:r>
      <w:proofErr w:type="spellEnd"/>
      <w:r w:rsidR="007F7479" w:rsidRPr="00DB4491">
        <w:rPr>
          <w:sz w:val="22"/>
          <w:szCs w:val="22"/>
        </w:rPr>
        <w:t xml:space="preserve"> </w:t>
      </w:r>
      <w:r>
        <w:rPr>
          <w:sz w:val="22"/>
          <w:szCs w:val="22"/>
        </w:rPr>
        <w:t>sildenafilu a k 210 % vzostupu AUC sildenafilu. Sildenafil neovplyvňuje farmakokinetiku sakvinaviru (pozri časť 4.2). Predpokladá sa, že silnejšie inhibítory CYP3A4, ako sú ketonazol a itrakonazol, by mali výraznejšie účinky.</w:t>
      </w:r>
    </w:p>
    <w:p w:rsidR="00C70A80" w:rsidRPr="00DB4491" w:rsidRDefault="00C70A80"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 xml:space="preserve">Ak sa sildenafil podával jednorazovo v dávke 100 mg spolu s erytromycínom, špecifickým inhibítorom CYP3A4 v rovnovážnom stave (500 mg dvakrát denne 5 dní), zaznamenal sa 182 % vzostup systémovej expozície sildenafilom (AUC). U zdravých dobrovoľníkov mužského pohlavia sa nedokázal vplyv azitromycínu (500 mg denne počas 3 dní) na AUC, </w:t>
      </w:r>
      <w:proofErr w:type="spellStart"/>
      <w:r w:rsidR="007F7479">
        <w:rPr>
          <w:sz w:val="22"/>
          <w:szCs w:val="22"/>
        </w:rPr>
        <w:t>c</w:t>
      </w:r>
      <w:r w:rsidR="007F7479" w:rsidRPr="00DB4491">
        <w:rPr>
          <w:sz w:val="22"/>
          <w:szCs w:val="22"/>
          <w:vertAlign w:val="subscript"/>
        </w:rPr>
        <w:t>max</w:t>
      </w:r>
      <w:proofErr w:type="spellEnd"/>
      <w:r w:rsidR="002379F8" w:rsidRPr="00DB4491">
        <w:rPr>
          <w:sz w:val="22"/>
          <w:szCs w:val="22"/>
        </w:rPr>
        <w:t>, t</w:t>
      </w:r>
      <w:r w:rsidR="002379F8" w:rsidRPr="00DB4491">
        <w:rPr>
          <w:sz w:val="22"/>
          <w:szCs w:val="22"/>
          <w:vertAlign w:val="subscript"/>
        </w:rPr>
        <w:t>max</w:t>
      </w:r>
      <w:r w:rsidR="002379F8" w:rsidRPr="00DB4491">
        <w:rPr>
          <w:sz w:val="22"/>
          <w:szCs w:val="22"/>
        </w:rPr>
        <w:t>, eliminačnú rýchlostnú</w:t>
      </w:r>
      <w:r>
        <w:rPr>
          <w:sz w:val="22"/>
          <w:szCs w:val="22"/>
        </w:rPr>
        <w:t xml:space="preserve"> konštantu alebo následne na polčas sildenafilu alebo jeho hlavný cirkulujúci metabolit. Pri súčasnom podávaní sildenafilu (50 mg) a cimetidínu (800 mg), ktorý je inhibítorom cytochrómu P450 a nešpecifickým inhibítorom CYP3A4, zdravým dobrovoľníkom sa zaznamenal 56 % vzostup plazmatickej koncentrácie sildenafilu.</w:t>
      </w:r>
    </w:p>
    <w:p w:rsidR="00C70A80" w:rsidRPr="00DB4491" w:rsidRDefault="00C70A80"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Grapefruitová šťava je slabým inhibítorom CYP3A4 metabolizmu v črevnej stene a môže vyvolať mierny vzostup plazmatických hladín sildenafilu.</w:t>
      </w:r>
    </w:p>
    <w:p w:rsidR="00C70A80" w:rsidRPr="00DB4491" w:rsidRDefault="00C70A80"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Biologická dostupnosť sildenafilu nebola ovplyvnená podaním jednorazových dávok antacíd (hydroxidu horečnatého/hydroxidu hlinitého).</w:t>
      </w:r>
    </w:p>
    <w:p w:rsidR="00C70A80" w:rsidRPr="00DB4491" w:rsidRDefault="00C70A80" w:rsidP="002379F8">
      <w:pPr>
        <w:autoSpaceDE w:val="0"/>
        <w:autoSpaceDN w:val="0"/>
        <w:adjustRightInd w:val="0"/>
        <w:jc w:val="both"/>
        <w:rPr>
          <w:sz w:val="22"/>
          <w:szCs w:val="22"/>
        </w:rPr>
      </w:pPr>
    </w:p>
    <w:p w:rsidR="002761F1" w:rsidRPr="00DB4491" w:rsidRDefault="001C0D5A" w:rsidP="002761F1">
      <w:pPr>
        <w:autoSpaceDE w:val="0"/>
        <w:autoSpaceDN w:val="0"/>
        <w:adjustRightInd w:val="0"/>
        <w:jc w:val="both"/>
        <w:rPr>
          <w:sz w:val="22"/>
          <w:szCs w:val="22"/>
        </w:rPr>
      </w:pPr>
      <w:r>
        <w:rPr>
          <w:sz w:val="22"/>
          <w:szCs w:val="22"/>
        </w:rPr>
        <w:t xml:space="preserve">Aj keď sa špecifické interakčné štúdie nerobili so všetkými liekmi, analýzy farmakokinetických údajov rôznych skupín pacientov nepreukázali žiadny vplyv inhibítorov CYP2C9 (ako sú tolbutamid, warfarín, fenytoín), inhibítorov CYP2D6 (ako sú selektívne inhibítory spätného vychytávania serotonínu, tricyklické antidepresíva), tiazidov a príbuzných diuretík, slučkových diuretík a draslík šetriacich diuretík, inhibítorov angiotenzín konvertujúceho enzýmu, blokátorov vápnikových kanálov, betablokátorov alebo induktorov metabolizmu CYP450 (ako sú rifampicín, barbituráty) na farmakokinetiku sildenafilu pri ich súčasnom podaní. V štúdii so zdravými dobrovoľníkmi mužského pohlavia viedlo súčasné podávanie antagonistu endotelínu, bosentanu (stredne silný induktor CYP3A4, induktor CYP2C9 a pravdepodobne CYP2C19) v rovnovážnom stave (125 mg dvakrát denne) so sildenafilom v rovnovážnom stave (80 mg trikrát denne) k 62,6 % zníženiu AUC a k 55,4 % zníženiu </w:t>
      </w:r>
      <w:proofErr w:type="spellStart"/>
      <w:r w:rsidR="007F7479">
        <w:rPr>
          <w:sz w:val="22"/>
          <w:szCs w:val="22"/>
        </w:rPr>
        <w:t>c</w:t>
      </w:r>
      <w:r w:rsidRPr="009378FD">
        <w:rPr>
          <w:sz w:val="22"/>
          <w:szCs w:val="22"/>
          <w:vertAlign w:val="subscript"/>
        </w:rPr>
        <w:t>max</w:t>
      </w:r>
      <w:proofErr w:type="spellEnd"/>
      <w:r w:rsidR="007F7479" w:rsidRPr="00DB4491">
        <w:rPr>
          <w:sz w:val="22"/>
          <w:szCs w:val="22"/>
        </w:rPr>
        <w:t xml:space="preserve"> </w:t>
      </w:r>
      <w:r w:rsidR="002761F1" w:rsidRPr="00DB4491">
        <w:rPr>
          <w:sz w:val="22"/>
          <w:szCs w:val="22"/>
        </w:rPr>
        <w:t>sildenafilu. Preto súčasné podávanie silných CYP3A4 induktorov ako rifampicín môže</w:t>
      </w:r>
      <w:r>
        <w:rPr>
          <w:sz w:val="22"/>
          <w:szCs w:val="22"/>
        </w:rPr>
        <w:t xml:space="preserve"> spôsobiť väčší pokles plazmatickej koncentrácie sildenafilu. </w:t>
      </w:r>
    </w:p>
    <w:p w:rsidR="000E096B" w:rsidRPr="00DB4491" w:rsidRDefault="000E096B" w:rsidP="002761F1">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Nikorandil je hybrid aktivátora draslíkových kanálov a nitrátu. Vzhľadom na nitrátovú zložku má potenciál pre závažné interakcie so sildenafilom.</w:t>
      </w:r>
    </w:p>
    <w:p w:rsidR="008C1025" w:rsidRPr="00DB4491" w:rsidRDefault="008C1025"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i/>
          <w:iCs/>
          <w:sz w:val="22"/>
          <w:szCs w:val="22"/>
        </w:rPr>
      </w:pPr>
      <w:r>
        <w:rPr>
          <w:i/>
          <w:iCs/>
          <w:sz w:val="22"/>
          <w:szCs w:val="22"/>
        </w:rPr>
        <w:t>Účinky sildenafilu na iné lieky</w:t>
      </w:r>
    </w:p>
    <w:p w:rsidR="008C1025" w:rsidRPr="00DB4491" w:rsidRDefault="008C1025" w:rsidP="002379F8">
      <w:pPr>
        <w:autoSpaceDE w:val="0"/>
        <w:autoSpaceDN w:val="0"/>
        <w:adjustRightInd w:val="0"/>
        <w:jc w:val="both"/>
        <w:rPr>
          <w:i/>
          <w:iCs/>
          <w:sz w:val="22"/>
          <w:szCs w:val="22"/>
        </w:rPr>
      </w:pPr>
    </w:p>
    <w:p w:rsidR="002379F8" w:rsidRPr="00DB4491" w:rsidRDefault="001C0D5A" w:rsidP="002379F8">
      <w:pPr>
        <w:autoSpaceDE w:val="0"/>
        <w:autoSpaceDN w:val="0"/>
        <w:adjustRightInd w:val="0"/>
        <w:jc w:val="both"/>
        <w:rPr>
          <w:i/>
          <w:iCs/>
          <w:sz w:val="22"/>
          <w:szCs w:val="22"/>
          <w:u w:val="single"/>
        </w:rPr>
      </w:pPr>
      <w:r>
        <w:rPr>
          <w:i/>
          <w:iCs/>
          <w:sz w:val="22"/>
          <w:szCs w:val="22"/>
          <w:u w:val="single"/>
        </w:rPr>
        <w:t>Štúdie in vitro</w:t>
      </w:r>
    </w:p>
    <w:p w:rsidR="002379F8" w:rsidRPr="00DB4491" w:rsidRDefault="001C0D5A" w:rsidP="002379F8">
      <w:pPr>
        <w:autoSpaceDE w:val="0"/>
        <w:autoSpaceDN w:val="0"/>
        <w:adjustRightInd w:val="0"/>
        <w:jc w:val="both"/>
        <w:rPr>
          <w:sz w:val="22"/>
          <w:szCs w:val="22"/>
        </w:rPr>
      </w:pPr>
      <w:r>
        <w:rPr>
          <w:sz w:val="22"/>
          <w:szCs w:val="22"/>
        </w:rPr>
        <w:t>Sildenafil je slabým inhibítorom (IC</w:t>
      </w:r>
      <w:r>
        <w:rPr>
          <w:sz w:val="22"/>
          <w:szCs w:val="22"/>
          <w:vertAlign w:val="subscript"/>
        </w:rPr>
        <w:t>50</w:t>
      </w:r>
      <w:r>
        <w:rPr>
          <w:sz w:val="22"/>
          <w:szCs w:val="22"/>
        </w:rPr>
        <w:t xml:space="preserve"> &gt; 150 μmol/l) izoforiem 1A2, 2C9, 2C19, 2D6, 2E1 a 3A4 cytochrómu P450. Je však nepravdepodobné, že by sildenafil tablety ovplyvňovali klírens substrátov týchto izoenzýmov, keďže vrcholová koncentrácia sildenafilu pri podávaní v odporúčaných dávkach je približne 1 μmol/l. </w:t>
      </w:r>
    </w:p>
    <w:p w:rsidR="008C1025" w:rsidRPr="00DB4491" w:rsidRDefault="008C1025"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Nie sú žiadne údaje o interakcii sildenafilu s nešpecifickými inhibítormi fosfodiesterázy, ako sú teofylín alebo dipyridamol.</w:t>
      </w:r>
    </w:p>
    <w:p w:rsidR="00AB00F1" w:rsidRPr="00DB4491" w:rsidRDefault="00AB00F1" w:rsidP="002379F8">
      <w:pPr>
        <w:autoSpaceDE w:val="0"/>
        <w:autoSpaceDN w:val="0"/>
        <w:adjustRightInd w:val="0"/>
        <w:jc w:val="both"/>
        <w:rPr>
          <w:i/>
          <w:iCs/>
          <w:sz w:val="22"/>
          <w:szCs w:val="22"/>
          <w:u w:val="single"/>
        </w:rPr>
      </w:pPr>
    </w:p>
    <w:p w:rsidR="002379F8" w:rsidRPr="00DB4491" w:rsidRDefault="001C0D5A" w:rsidP="00C41030">
      <w:pPr>
        <w:keepNext/>
        <w:autoSpaceDE w:val="0"/>
        <w:autoSpaceDN w:val="0"/>
        <w:adjustRightInd w:val="0"/>
        <w:jc w:val="both"/>
        <w:rPr>
          <w:i/>
          <w:iCs/>
          <w:sz w:val="22"/>
          <w:szCs w:val="22"/>
          <w:u w:val="single"/>
        </w:rPr>
      </w:pPr>
      <w:r>
        <w:rPr>
          <w:i/>
          <w:iCs/>
          <w:sz w:val="22"/>
          <w:szCs w:val="22"/>
          <w:u w:val="single"/>
        </w:rPr>
        <w:lastRenderedPageBreak/>
        <w:t>Štúdie in vivo</w:t>
      </w:r>
    </w:p>
    <w:p w:rsidR="002379F8" w:rsidRPr="00DB4491" w:rsidRDefault="001C0D5A" w:rsidP="002379F8">
      <w:pPr>
        <w:autoSpaceDE w:val="0"/>
        <w:autoSpaceDN w:val="0"/>
        <w:adjustRightInd w:val="0"/>
        <w:jc w:val="both"/>
        <w:rPr>
          <w:sz w:val="22"/>
          <w:szCs w:val="22"/>
        </w:rPr>
      </w:pPr>
      <w:r>
        <w:rPr>
          <w:sz w:val="22"/>
          <w:szCs w:val="22"/>
        </w:rPr>
        <w:t>V súlade so známym účinkom sildenafilu na metabolickú cestu oxid dusnatý/cGMP (pozri časť 5.1) sa preukázalo, že sildenafil potenciuje hypotenzívny účinok nitrátov, a preto je jeho súčasné podanie s donormi oxidu dusnatého alebo nitrátmi v akejkoľvek forme kontraindikované (pozri časť 4.3).</w:t>
      </w:r>
    </w:p>
    <w:p w:rsidR="008C1025" w:rsidRPr="00DB4491" w:rsidRDefault="008C1025"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Súbežné podávanie sildenafilu pacientom užívajúcim alfablokátory môže viesť u niektorých citlivých jedincov k symptomatickej hypotenzii. Najpravdepodobnejší čas jej výskytu je do 4 hodín po podaní sildenafilu (pozri časti 4.2 a 4.4). V troch špecifických liekových interakčných štúdiách sa pacientom s benígnou hyperpláziou prostaty (BPH), stabilizovaným na liečbe doxazosínom, súčasne podával alfablokátor doxazosín (4 mg a 8 mg) a sildenafil (25 mg, 50 mg alebo 100 mg). V týchto štúdiách sa u sledovanej populácie pozorovalo priemerné dodatočné zníženie tlaku krvi v ľahu o 7/7 mmHg, 9/5 mmHg a 8/4 mmHg a priemerné dodatočné zníženie tlaku krvi v stoji o 6/6 mmHg, 11/4 mmHg a 4/5 mmHg. Keď sa sildenafil a doxazosín podávali súčasne pacientom stabilizovaným na liečbe doxazosínom, hlásenia o výskyte symptomatickej posturálnej hypotenzie u pacientov boli ojedinelé. Tieto hlásenia zahŕňali závraty a stratu rovnováhy, ale nie synkopu.</w:t>
      </w:r>
    </w:p>
    <w:p w:rsidR="008C1025" w:rsidRPr="00DB4491" w:rsidRDefault="008C1025"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Nezaznamenali sa žiadne signifikantné interakcie sildenafilu (50 mg) ani s tolbutamidom (250 mg), warfarínom (</w:t>
      </w:r>
      <w:r>
        <w:t>40 mg</w:t>
      </w:r>
      <w:r>
        <w:rPr>
          <w:sz w:val="22"/>
          <w:szCs w:val="22"/>
        </w:rPr>
        <w:t>), ani s liekmi, ktoré sú metabolizované CYP2C9.</w:t>
      </w:r>
    </w:p>
    <w:p w:rsidR="008C1025" w:rsidRPr="00DB4491" w:rsidRDefault="008C1025"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Sildenafil (50 mg) nepotencioval predĺženie času krvácania zapríčineného kyselinou acetylsalicylovou (150 mg).</w:t>
      </w:r>
    </w:p>
    <w:p w:rsidR="008C1025" w:rsidRPr="00DB4491" w:rsidRDefault="008C1025"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Sildenafil (50 mg) nepotencioval hypotenzívny účinok alkoholu u zdravých dobrovoľníkov, ktorí mali priemernú maximálnu koncentráciu alkoholu v krvi 80 mg/dl.</w:t>
      </w:r>
    </w:p>
    <w:p w:rsidR="008C1025" w:rsidRPr="00DB4491" w:rsidRDefault="008C1025"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Analýza výsledkov o podávaní s antihypertenzívami, ako sú diuretiká, betablokátory, ACE inhibítory, antagonisti angiotenzínu II, iné antihypertenzíva (vazodilatátory a centrálne pôsobiace), blokátory adrenergných neurónov, blokátory vápnikových kanálov a alfablokátory, nepreukázala žiadny rozdiel v profile nežiaducich účinkov medzi pacientmi, ktorí užívali sildenafil, a pacientami, ktorí užívali placebo. V špecifickej interakčnej štúdii u pacientov s hypertenziou, ktorí súčasne užívali amlodipín so sildenafilom (100 mg), sa zaznamenalo ďalšie zníženie systolického tlaku krvi v ľahu o 8 mmHg. Zodpovedajúce ďalšie zníženie diastolického tlaku krvi v ľahu bolo o 7 mmHg. Toto ďalšie zníženie tlaku krvi malo podobný rozsah, ako keď sa sildenafil podával zdravým dobrovoľníkom samostatne (pozri časť 5.1).</w:t>
      </w:r>
    </w:p>
    <w:p w:rsidR="000D5A72" w:rsidRPr="00DB4491" w:rsidRDefault="000D5A72"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Sildenafil (100 mg) neovplyvnil farmakokinetiku inhibítorov HIV proteáz v rovnovážnom stave, sa</w:t>
      </w:r>
      <w:r w:rsidR="00E427D1">
        <w:rPr>
          <w:sz w:val="22"/>
          <w:szCs w:val="22"/>
        </w:rPr>
        <w:t>kv</w:t>
      </w:r>
      <w:r w:rsidR="00E427D1" w:rsidRPr="00DB4491">
        <w:rPr>
          <w:sz w:val="22"/>
          <w:szCs w:val="22"/>
        </w:rPr>
        <w:t xml:space="preserve">inaviru </w:t>
      </w:r>
      <w:r w:rsidR="002379F8" w:rsidRPr="00DB4491">
        <w:rPr>
          <w:sz w:val="22"/>
          <w:szCs w:val="22"/>
        </w:rPr>
        <w:t>a ritonaviru, ktoré sú oba substrátmi CYP3A4.</w:t>
      </w:r>
    </w:p>
    <w:p w:rsidR="004A127A" w:rsidRPr="00DB4491" w:rsidRDefault="004A127A" w:rsidP="002379F8">
      <w:pPr>
        <w:autoSpaceDE w:val="0"/>
        <w:autoSpaceDN w:val="0"/>
        <w:adjustRightInd w:val="0"/>
        <w:jc w:val="both"/>
        <w:rPr>
          <w:sz w:val="22"/>
          <w:szCs w:val="22"/>
        </w:rPr>
      </w:pPr>
    </w:p>
    <w:p w:rsidR="004A127A" w:rsidRPr="00DB4491" w:rsidRDefault="001C0D5A" w:rsidP="004A127A">
      <w:pPr>
        <w:autoSpaceDE w:val="0"/>
        <w:autoSpaceDN w:val="0"/>
        <w:adjustRightInd w:val="0"/>
        <w:jc w:val="both"/>
        <w:rPr>
          <w:sz w:val="22"/>
          <w:szCs w:val="22"/>
        </w:rPr>
      </w:pPr>
      <w:r>
        <w:rPr>
          <w:sz w:val="22"/>
          <w:szCs w:val="22"/>
        </w:rPr>
        <w:t xml:space="preserve">U zdravých dobrovoľníkov mužského pohlavia viedol sildenafil v rovnovážnom stave (80 mg trikrát denne) k 49,8 % zvýšeniu AUC bosentanu a k 42 % zvýšeniu </w:t>
      </w:r>
      <w:proofErr w:type="spellStart"/>
      <w:r w:rsidR="00E427D1">
        <w:rPr>
          <w:sz w:val="22"/>
          <w:szCs w:val="22"/>
        </w:rPr>
        <w:t>c</w:t>
      </w:r>
      <w:r w:rsidRPr="009378FD">
        <w:rPr>
          <w:sz w:val="22"/>
          <w:szCs w:val="22"/>
          <w:vertAlign w:val="subscript"/>
        </w:rPr>
        <w:t>max</w:t>
      </w:r>
      <w:proofErr w:type="spellEnd"/>
      <w:r w:rsidR="00E427D1" w:rsidRPr="00DB4491">
        <w:rPr>
          <w:sz w:val="22"/>
          <w:szCs w:val="22"/>
        </w:rPr>
        <w:t xml:space="preserve"> </w:t>
      </w:r>
      <w:proofErr w:type="spellStart"/>
      <w:r w:rsidR="004A127A" w:rsidRPr="00DB4491">
        <w:rPr>
          <w:sz w:val="22"/>
          <w:szCs w:val="22"/>
        </w:rPr>
        <w:t>bosentanu</w:t>
      </w:r>
      <w:proofErr w:type="spellEnd"/>
      <w:r w:rsidR="004A127A" w:rsidRPr="00DB4491">
        <w:rPr>
          <w:sz w:val="22"/>
          <w:szCs w:val="22"/>
        </w:rPr>
        <w:t xml:space="preserve"> (125 mg dvakrát denne).</w:t>
      </w:r>
    </w:p>
    <w:p w:rsidR="000D5A72" w:rsidRPr="00DB4491" w:rsidRDefault="000D5A72"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4.6</w:t>
      </w:r>
      <w:r>
        <w:rPr>
          <w:b/>
          <w:bCs/>
          <w:sz w:val="22"/>
          <w:szCs w:val="22"/>
        </w:rPr>
        <w:tab/>
        <w:t>Fertilita, gravidita a laktácia</w:t>
      </w:r>
    </w:p>
    <w:p w:rsidR="000D5A72" w:rsidRPr="00DB4491" w:rsidRDefault="000D5A72"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sz w:val="22"/>
          <w:szCs w:val="22"/>
        </w:rPr>
      </w:pPr>
      <w:r>
        <w:rPr>
          <w:sz w:val="22"/>
          <w:szCs w:val="22"/>
        </w:rPr>
        <w:t>Sildenafil tablety nie sú indikované na použitie u žien.</w:t>
      </w:r>
    </w:p>
    <w:p w:rsidR="00AB5340" w:rsidRPr="00DB4491" w:rsidRDefault="00AB5340" w:rsidP="002379F8">
      <w:pPr>
        <w:autoSpaceDE w:val="0"/>
        <w:autoSpaceDN w:val="0"/>
        <w:adjustRightInd w:val="0"/>
        <w:jc w:val="both"/>
        <w:rPr>
          <w:sz w:val="22"/>
          <w:szCs w:val="22"/>
        </w:rPr>
      </w:pPr>
    </w:p>
    <w:p w:rsidR="004A127A" w:rsidRPr="00DB4491" w:rsidRDefault="001C0D5A" w:rsidP="002379F8">
      <w:pPr>
        <w:autoSpaceDE w:val="0"/>
        <w:autoSpaceDN w:val="0"/>
        <w:adjustRightInd w:val="0"/>
        <w:jc w:val="both"/>
        <w:rPr>
          <w:sz w:val="22"/>
          <w:szCs w:val="22"/>
        </w:rPr>
      </w:pPr>
      <w:r>
        <w:rPr>
          <w:sz w:val="22"/>
          <w:szCs w:val="22"/>
        </w:rPr>
        <w:t>Nie sú k dispozícii adekvátne a kontrolované štúdie u gravidných alebo dojčiacich žien.</w:t>
      </w:r>
    </w:p>
    <w:p w:rsidR="004A127A" w:rsidRPr="00DB4491" w:rsidRDefault="004A127A" w:rsidP="002379F8">
      <w:pPr>
        <w:autoSpaceDE w:val="0"/>
        <w:autoSpaceDN w:val="0"/>
        <w:adjustRightInd w:val="0"/>
        <w:jc w:val="both"/>
        <w:rPr>
          <w:sz w:val="22"/>
          <w:szCs w:val="22"/>
        </w:rPr>
      </w:pPr>
    </w:p>
    <w:p w:rsidR="00B2377E" w:rsidRPr="00DB4491" w:rsidRDefault="001C0D5A" w:rsidP="004A127A">
      <w:pPr>
        <w:autoSpaceDE w:val="0"/>
        <w:autoSpaceDN w:val="0"/>
        <w:adjustRightInd w:val="0"/>
        <w:jc w:val="both"/>
        <w:rPr>
          <w:sz w:val="22"/>
          <w:szCs w:val="22"/>
        </w:rPr>
      </w:pPr>
      <w:r>
        <w:rPr>
          <w:sz w:val="22"/>
          <w:szCs w:val="22"/>
        </w:rPr>
        <w:t>Nebol prítomný žiaden efekt na mobilitu spermií alebo ich morfológiu po podaní jednotlivej perorálnej dávky 100 mg sildenafilu u zdravých dobrovoľníkov (pozri časť 5.1).</w:t>
      </w:r>
    </w:p>
    <w:p w:rsidR="004A127A" w:rsidRPr="00DB4491" w:rsidRDefault="004A127A" w:rsidP="004A127A">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4.7</w:t>
      </w:r>
      <w:r>
        <w:rPr>
          <w:b/>
          <w:bCs/>
          <w:sz w:val="22"/>
          <w:szCs w:val="22"/>
        </w:rPr>
        <w:tab/>
        <w:t>Ovplyvnenie schopnosti viesť vozidlá a obsluhovať stroje</w:t>
      </w:r>
    </w:p>
    <w:p w:rsidR="00971C72" w:rsidRPr="00DB4491" w:rsidRDefault="00971C72" w:rsidP="002379F8">
      <w:pPr>
        <w:autoSpaceDE w:val="0"/>
        <w:autoSpaceDN w:val="0"/>
        <w:adjustRightInd w:val="0"/>
        <w:jc w:val="both"/>
        <w:rPr>
          <w:b/>
          <w:bCs/>
          <w:sz w:val="22"/>
          <w:szCs w:val="22"/>
        </w:rPr>
      </w:pPr>
    </w:p>
    <w:p w:rsidR="00971C72" w:rsidRPr="00DB4491" w:rsidRDefault="001C0D5A" w:rsidP="002379F8">
      <w:pPr>
        <w:autoSpaceDE w:val="0"/>
        <w:autoSpaceDN w:val="0"/>
        <w:adjustRightInd w:val="0"/>
        <w:jc w:val="both"/>
        <w:rPr>
          <w:sz w:val="22"/>
          <w:szCs w:val="22"/>
        </w:rPr>
      </w:pPr>
      <w:r>
        <w:rPr>
          <w:sz w:val="22"/>
          <w:szCs w:val="22"/>
        </w:rPr>
        <w:t xml:space="preserve">Neuskutočnili sa žiadne štúdie o účinkoch na schopnosť viesť vozidlá a obsluhovať stroje. </w:t>
      </w:r>
    </w:p>
    <w:p w:rsidR="00971C72" w:rsidRPr="00DB4491" w:rsidRDefault="00971C72"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lastRenderedPageBreak/>
        <w:t>Keďže závrat a zmenené videnie boli hlásené v klinických štúdiách so sildenafilom, pacienti predtým, ako budú viesť vozidlá a obsluhovať stroje, majú poznať, ako reagujú na podanie tabliet sildenafilu.</w:t>
      </w:r>
    </w:p>
    <w:p w:rsidR="00971C72" w:rsidRPr="00DB4491" w:rsidRDefault="00971C72" w:rsidP="002379F8">
      <w:pPr>
        <w:autoSpaceDE w:val="0"/>
        <w:autoSpaceDN w:val="0"/>
        <w:adjustRightInd w:val="0"/>
        <w:jc w:val="both"/>
        <w:rPr>
          <w:sz w:val="22"/>
          <w:szCs w:val="22"/>
        </w:rPr>
      </w:pPr>
    </w:p>
    <w:p w:rsidR="002379F8" w:rsidRPr="00DB4491" w:rsidRDefault="001C0D5A" w:rsidP="00C41030">
      <w:pPr>
        <w:keepNext/>
        <w:autoSpaceDE w:val="0"/>
        <w:autoSpaceDN w:val="0"/>
        <w:adjustRightInd w:val="0"/>
        <w:jc w:val="both"/>
        <w:rPr>
          <w:b/>
          <w:bCs/>
          <w:sz w:val="22"/>
          <w:szCs w:val="22"/>
        </w:rPr>
      </w:pPr>
      <w:r>
        <w:rPr>
          <w:b/>
          <w:bCs/>
          <w:sz w:val="22"/>
          <w:szCs w:val="22"/>
        </w:rPr>
        <w:t>4.8</w:t>
      </w:r>
      <w:r>
        <w:rPr>
          <w:b/>
          <w:bCs/>
          <w:sz w:val="22"/>
          <w:szCs w:val="22"/>
        </w:rPr>
        <w:tab/>
        <w:t>Nežiaduce účinky</w:t>
      </w:r>
    </w:p>
    <w:p w:rsidR="00971C72" w:rsidRPr="00DB4491" w:rsidRDefault="00971C72" w:rsidP="00C41030">
      <w:pPr>
        <w:keepNext/>
        <w:autoSpaceDE w:val="0"/>
        <w:autoSpaceDN w:val="0"/>
        <w:adjustRightInd w:val="0"/>
        <w:jc w:val="both"/>
        <w:rPr>
          <w:b/>
          <w:bCs/>
          <w:sz w:val="22"/>
          <w:szCs w:val="22"/>
        </w:rPr>
      </w:pPr>
    </w:p>
    <w:p w:rsidR="00BB3F6C" w:rsidRPr="00DB4491" w:rsidRDefault="001C0D5A" w:rsidP="00C41030">
      <w:pPr>
        <w:keepNext/>
        <w:autoSpaceDE w:val="0"/>
        <w:autoSpaceDN w:val="0"/>
        <w:adjustRightInd w:val="0"/>
        <w:jc w:val="both"/>
        <w:rPr>
          <w:sz w:val="22"/>
          <w:szCs w:val="22"/>
          <w:u w:val="single"/>
        </w:rPr>
      </w:pPr>
      <w:r>
        <w:rPr>
          <w:sz w:val="22"/>
          <w:szCs w:val="22"/>
          <w:u w:val="single"/>
        </w:rPr>
        <w:t>Súhrn bezpečnostného profilu</w:t>
      </w:r>
    </w:p>
    <w:p w:rsidR="000B73B8" w:rsidRPr="00DB4491" w:rsidRDefault="001C0D5A" w:rsidP="000B73B8">
      <w:pPr>
        <w:autoSpaceDE w:val="0"/>
        <w:autoSpaceDN w:val="0"/>
        <w:adjustRightInd w:val="0"/>
        <w:jc w:val="both"/>
        <w:rPr>
          <w:sz w:val="22"/>
          <w:szCs w:val="22"/>
        </w:rPr>
      </w:pPr>
      <w:r>
        <w:rPr>
          <w:sz w:val="22"/>
          <w:szCs w:val="22"/>
        </w:rPr>
        <w:t>Bezpečnostný profil sildenafilu je založený na 8691 pacientoch, ktorí dostávali odporúčaný dávkovací režim v rámci 67 placebom kontrolovaných klinických štúdií. Najčastejšie hlásené nežiaduce reakcie v klinických štúdiách u pacientov liečených sildenafilom boli bolesť hlavy, návaly, dyspepsia, poruchy videnia, nazálna kongescia, závraty a porucha farebného videnia.</w:t>
      </w:r>
    </w:p>
    <w:p w:rsidR="00F27016" w:rsidRPr="00DB4491" w:rsidRDefault="00F27016" w:rsidP="000B73B8">
      <w:pPr>
        <w:autoSpaceDE w:val="0"/>
        <w:autoSpaceDN w:val="0"/>
        <w:adjustRightInd w:val="0"/>
        <w:jc w:val="both"/>
        <w:rPr>
          <w:sz w:val="22"/>
          <w:szCs w:val="22"/>
        </w:rPr>
      </w:pPr>
    </w:p>
    <w:p w:rsidR="000B73B8" w:rsidRPr="00DB4491" w:rsidRDefault="001C0D5A" w:rsidP="000B73B8">
      <w:pPr>
        <w:autoSpaceDE w:val="0"/>
        <w:autoSpaceDN w:val="0"/>
        <w:adjustRightInd w:val="0"/>
        <w:jc w:val="both"/>
        <w:rPr>
          <w:sz w:val="22"/>
          <w:szCs w:val="22"/>
        </w:rPr>
      </w:pPr>
      <w:r>
        <w:rPr>
          <w:sz w:val="22"/>
          <w:szCs w:val="22"/>
        </w:rPr>
        <w:t>Nežiaduce reakcie v rámci sledovania po uvedení lieku na trh boli zhromaždené počas obdobia približne &gt;9 rokov. Vzhľadom na to, že nie všetky nežiaduce reakcie sú hlásené, frekvencie týchto reakcií sa nedajú spoľahlivo určiť.</w:t>
      </w:r>
    </w:p>
    <w:p w:rsidR="00F27016" w:rsidRPr="00DB4491" w:rsidRDefault="00F27016" w:rsidP="000B73B8">
      <w:pPr>
        <w:autoSpaceDE w:val="0"/>
        <w:autoSpaceDN w:val="0"/>
        <w:adjustRightInd w:val="0"/>
        <w:jc w:val="both"/>
        <w:rPr>
          <w:sz w:val="22"/>
          <w:szCs w:val="22"/>
        </w:rPr>
      </w:pPr>
    </w:p>
    <w:p w:rsidR="00BB3F6C" w:rsidRPr="00DB4491" w:rsidRDefault="001C0D5A" w:rsidP="000B73B8">
      <w:pPr>
        <w:autoSpaceDE w:val="0"/>
        <w:autoSpaceDN w:val="0"/>
        <w:adjustRightInd w:val="0"/>
        <w:jc w:val="both"/>
        <w:rPr>
          <w:sz w:val="22"/>
          <w:szCs w:val="22"/>
          <w:u w:val="single"/>
        </w:rPr>
      </w:pPr>
      <w:r>
        <w:rPr>
          <w:sz w:val="22"/>
          <w:szCs w:val="22"/>
          <w:u w:val="single"/>
        </w:rPr>
        <w:t>Zoznam nežiaducich reakcií zostavený do tabuľky</w:t>
      </w:r>
    </w:p>
    <w:p w:rsidR="00BB3F6C" w:rsidRPr="00DB4491" w:rsidRDefault="00BB3F6C" w:rsidP="000B73B8">
      <w:pPr>
        <w:autoSpaceDE w:val="0"/>
        <w:autoSpaceDN w:val="0"/>
        <w:adjustRightInd w:val="0"/>
        <w:jc w:val="both"/>
        <w:rPr>
          <w:sz w:val="22"/>
          <w:szCs w:val="22"/>
        </w:rPr>
      </w:pPr>
    </w:p>
    <w:p w:rsidR="000B73B8" w:rsidRPr="00DB4491" w:rsidRDefault="001C0D5A" w:rsidP="00F27016">
      <w:pPr>
        <w:autoSpaceDE w:val="0"/>
        <w:autoSpaceDN w:val="0"/>
        <w:adjustRightInd w:val="0"/>
        <w:jc w:val="both"/>
        <w:rPr>
          <w:sz w:val="22"/>
          <w:szCs w:val="22"/>
        </w:rPr>
      </w:pPr>
      <w:r>
        <w:rPr>
          <w:sz w:val="22"/>
          <w:szCs w:val="22"/>
        </w:rPr>
        <w:t>V tabuľke uvedenej nižšie sú všetky klinicky dôležité nežiaduce reakcie, ktoré sa vyskytli v rámci klinických štúdií s incidenciou väčšou ako pri placebe, uvedené podľa triedy orgánových systémov a frekvencie: veľmi časté (≥1/10), časté (≥1/100 až &lt;1/10), menej časté (≥1/1000 až &lt;1/100), zriedkavé (≥1/10 000 až &lt;1/1000).</w:t>
      </w:r>
    </w:p>
    <w:p w:rsidR="000B73B8" w:rsidRPr="00DB4491" w:rsidRDefault="001C0D5A" w:rsidP="00F27016">
      <w:pPr>
        <w:autoSpaceDE w:val="0"/>
        <w:autoSpaceDN w:val="0"/>
        <w:adjustRightInd w:val="0"/>
        <w:jc w:val="both"/>
        <w:rPr>
          <w:sz w:val="22"/>
          <w:szCs w:val="22"/>
        </w:rPr>
      </w:pPr>
      <w:r>
        <w:rPr>
          <w:sz w:val="22"/>
          <w:szCs w:val="22"/>
        </w:rPr>
        <w:t>Okrem toho je zahrnutá aj frekvencia klinicky dôležitých nežiaducich reakcií hlásených po uvedení lieku na trh, uvedená ako neznáma.</w:t>
      </w:r>
    </w:p>
    <w:p w:rsidR="00F27016" w:rsidRPr="00DB4491" w:rsidRDefault="00F27016" w:rsidP="00F27016">
      <w:pPr>
        <w:autoSpaceDE w:val="0"/>
        <w:autoSpaceDN w:val="0"/>
        <w:adjustRightInd w:val="0"/>
        <w:jc w:val="both"/>
        <w:rPr>
          <w:sz w:val="22"/>
          <w:szCs w:val="22"/>
        </w:rPr>
      </w:pPr>
    </w:p>
    <w:p w:rsidR="000B73B8" w:rsidRPr="00DB4491" w:rsidRDefault="001C0D5A" w:rsidP="00F27016">
      <w:pPr>
        <w:autoSpaceDE w:val="0"/>
        <w:autoSpaceDN w:val="0"/>
        <w:adjustRightInd w:val="0"/>
        <w:jc w:val="both"/>
        <w:rPr>
          <w:sz w:val="22"/>
          <w:szCs w:val="22"/>
        </w:rPr>
      </w:pPr>
      <w:r>
        <w:rPr>
          <w:sz w:val="22"/>
          <w:szCs w:val="22"/>
        </w:rPr>
        <w:t>V rámci jednotlivých skupín frekvencií sú nežiaduce účinky usporiadané v poradí klesajúcej závažnosti.</w:t>
      </w:r>
    </w:p>
    <w:p w:rsidR="000B73B8" w:rsidRPr="00DB4491" w:rsidRDefault="000B73B8" w:rsidP="000B73B8">
      <w:pPr>
        <w:autoSpaceDE w:val="0"/>
        <w:autoSpaceDN w:val="0"/>
        <w:adjustRightInd w:val="0"/>
        <w:jc w:val="both"/>
        <w:rPr>
          <w:sz w:val="22"/>
          <w:szCs w:val="22"/>
        </w:rPr>
      </w:pPr>
    </w:p>
    <w:p w:rsidR="002E6AB7" w:rsidRPr="00DB4491" w:rsidRDefault="001C0D5A" w:rsidP="00F27016">
      <w:pPr>
        <w:autoSpaceDE w:val="0"/>
        <w:autoSpaceDN w:val="0"/>
        <w:adjustRightInd w:val="0"/>
        <w:jc w:val="both"/>
        <w:rPr>
          <w:rFonts w:ascii="TimesNewRomanPS-BoldMT CE" w:hAnsi="TimesNewRomanPS-BoldMT CE" w:cs="TimesNewRomanPS-BoldMT CE"/>
          <w:b/>
          <w:iCs/>
          <w:sz w:val="22"/>
          <w:szCs w:val="22"/>
        </w:rPr>
      </w:pPr>
      <w:r>
        <w:rPr>
          <w:rFonts w:ascii="TimesNewRomanPS-BoldMT CE" w:hAnsi="TimesNewRomanPS-BoldMT CE" w:cs="TimesNewRomanPS-BoldMT CE"/>
          <w:b/>
          <w:iCs/>
          <w:sz w:val="22"/>
          <w:szCs w:val="22"/>
          <w:u w:val="single"/>
        </w:rPr>
        <w:t>Tabuľka 1:</w:t>
      </w:r>
      <w:r>
        <w:rPr>
          <w:rFonts w:ascii="TimesNewRomanPS-BoldMT" w:hAnsi="TimesNewRomanPS-BoldMT" w:cs="TimesNewRomanPS-BoldMT"/>
          <w:b/>
          <w:iCs/>
          <w:sz w:val="22"/>
          <w:szCs w:val="22"/>
        </w:rPr>
        <w:t xml:space="preserve"> Klinicky dôležité než</w:t>
      </w:r>
      <w:r>
        <w:rPr>
          <w:rFonts w:ascii="TimesNewRomanPS-BoldMT CE" w:hAnsi="TimesNewRomanPS-BoldMT CE" w:cs="TimesNewRomanPS-BoldMT CE"/>
          <w:b/>
          <w:iCs/>
          <w:sz w:val="22"/>
          <w:szCs w:val="22"/>
        </w:rPr>
        <w:t>iaduce reakcie hlásené v kontrolovaných klinických štúdiách s incidenciou väčšou ako pri placebe a klinicky dôležité nežiaduce reakcie hlásené v rámci sledovania po uvedení lieku na trh</w:t>
      </w:r>
    </w:p>
    <w:p w:rsidR="00BB3F6C" w:rsidRPr="00DB4491" w:rsidRDefault="00BB3F6C" w:rsidP="00F27016">
      <w:pPr>
        <w:autoSpaceDE w:val="0"/>
        <w:autoSpaceDN w:val="0"/>
        <w:adjustRightInd w:val="0"/>
        <w:jc w:val="both"/>
        <w:rPr>
          <w:rFonts w:ascii="TimesNewRomanPS-BoldMT CE" w:hAnsi="TimesNewRomanPS-BoldMT CE" w:cs="TimesNewRomanPS-BoldMT CE"/>
          <w:b/>
          <w:iCs/>
          <w:sz w:val="22"/>
          <w:szCs w:val="22"/>
        </w:rPr>
      </w:pPr>
    </w:p>
    <w:tbl>
      <w:tblPr>
        <w:tblW w:w="9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3"/>
        <w:gridCol w:w="6119"/>
      </w:tblGrid>
      <w:tr w:rsidR="002E6AB7" w:rsidRPr="00DB4491" w:rsidTr="007A323E">
        <w:trPr>
          <w:jc w:val="center"/>
        </w:trPr>
        <w:tc>
          <w:tcPr>
            <w:tcW w:w="3003" w:type="dxa"/>
            <w:shd w:val="clear" w:color="auto" w:fill="auto"/>
            <w:vAlign w:val="center"/>
          </w:tcPr>
          <w:p w:rsidR="002E6AB7" w:rsidRPr="00DB4491" w:rsidRDefault="001C0D5A" w:rsidP="00C41030">
            <w:pPr>
              <w:autoSpaceDE w:val="0"/>
              <w:autoSpaceDN w:val="0"/>
              <w:adjustRightInd w:val="0"/>
              <w:jc w:val="both"/>
              <w:rPr>
                <w:b/>
                <w:bCs/>
                <w:sz w:val="22"/>
                <w:szCs w:val="22"/>
              </w:rPr>
            </w:pPr>
            <w:r>
              <w:rPr>
                <w:b/>
                <w:bCs/>
                <w:sz w:val="22"/>
                <w:szCs w:val="22"/>
              </w:rPr>
              <w:t>Trieda orgánových systémov</w:t>
            </w:r>
          </w:p>
        </w:tc>
        <w:tc>
          <w:tcPr>
            <w:tcW w:w="6119" w:type="dxa"/>
            <w:shd w:val="clear" w:color="auto" w:fill="auto"/>
            <w:vAlign w:val="center"/>
          </w:tcPr>
          <w:p w:rsidR="002E6AB7" w:rsidRPr="00DB4491" w:rsidRDefault="001C0D5A" w:rsidP="00C41030">
            <w:pPr>
              <w:autoSpaceDE w:val="0"/>
              <w:autoSpaceDN w:val="0"/>
              <w:adjustRightInd w:val="0"/>
              <w:jc w:val="both"/>
              <w:rPr>
                <w:b/>
                <w:bCs/>
                <w:sz w:val="22"/>
                <w:szCs w:val="22"/>
              </w:rPr>
            </w:pPr>
            <w:r>
              <w:rPr>
                <w:b/>
                <w:bCs/>
                <w:sz w:val="22"/>
                <w:szCs w:val="22"/>
              </w:rPr>
              <w:t>Nežiaduce reakcie</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jc w:val="both"/>
              <w:rPr>
                <w:b/>
                <w:iCs/>
                <w:sz w:val="22"/>
                <w:szCs w:val="22"/>
              </w:rPr>
            </w:pPr>
            <w:r>
              <w:rPr>
                <w:b/>
                <w:iCs/>
                <w:sz w:val="22"/>
                <w:szCs w:val="22"/>
              </w:rPr>
              <w:t>Poruchy imunitného systému</w:t>
            </w:r>
          </w:p>
        </w:tc>
      </w:tr>
      <w:tr w:rsidR="002E6AB7" w:rsidRPr="00DB4491" w:rsidTr="007A323E">
        <w:trPr>
          <w:jc w:val="center"/>
        </w:trPr>
        <w:tc>
          <w:tcPr>
            <w:tcW w:w="3003"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Zriedkavé</w:t>
            </w:r>
          </w:p>
        </w:tc>
        <w:tc>
          <w:tcPr>
            <w:tcW w:w="6119"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hypersenzitívne reakcie</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jc w:val="both"/>
              <w:rPr>
                <w:b/>
                <w:iCs/>
                <w:sz w:val="22"/>
                <w:szCs w:val="22"/>
              </w:rPr>
            </w:pPr>
            <w:r>
              <w:rPr>
                <w:b/>
                <w:iCs/>
                <w:sz w:val="22"/>
                <w:szCs w:val="22"/>
              </w:rPr>
              <w:t>Poruchy nervového systému</w:t>
            </w:r>
          </w:p>
        </w:tc>
      </w:tr>
      <w:tr w:rsidR="002E6AB7" w:rsidRPr="00DB4491" w:rsidTr="007A323E">
        <w:trPr>
          <w:jc w:val="center"/>
        </w:trPr>
        <w:tc>
          <w:tcPr>
            <w:tcW w:w="3003"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Veľmi časté</w:t>
            </w:r>
          </w:p>
        </w:tc>
        <w:tc>
          <w:tcPr>
            <w:tcW w:w="6119"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bolesť hlavy</w:t>
            </w:r>
          </w:p>
        </w:tc>
      </w:tr>
      <w:tr w:rsidR="002E6AB7" w:rsidRPr="00DB4491" w:rsidTr="007A323E">
        <w:trPr>
          <w:jc w:val="center"/>
        </w:trPr>
        <w:tc>
          <w:tcPr>
            <w:tcW w:w="3003"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Časté</w:t>
            </w:r>
          </w:p>
        </w:tc>
        <w:tc>
          <w:tcPr>
            <w:tcW w:w="6119"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závrat</w:t>
            </w:r>
          </w:p>
        </w:tc>
      </w:tr>
      <w:tr w:rsidR="002E6AB7" w:rsidRPr="00DB4491" w:rsidTr="007A323E">
        <w:trPr>
          <w:jc w:val="center"/>
        </w:trPr>
        <w:tc>
          <w:tcPr>
            <w:tcW w:w="3003"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Menej časté</w:t>
            </w:r>
          </w:p>
        </w:tc>
        <w:tc>
          <w:tcPr>
            <w:tcW w:w="6119"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somnolencia, hypoestézia</w:t>
            </w:r>
          </w:p>
        </w:tc>
      </w:tr>
      <w:tr w:rsidR="002E6AB7" w:rsidRPr="00DB4491" w:rsidTr="007A323E">
        <w:trPr>
          <w:jc w:val="center"/>
        </w:trPr>
        <w:tc>
          <w:tcPr>
            <w:tcW w:w="3003"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Zriedkavé</w:t>
            </w:r>
          </w:p>
        </w:tc>
        <w:tc>
          <w:tcPr>
            <w:tcW w:w="6119"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cerebrovaskulárna príhoda, synkopa</w:t>
            </w:r>
          </w:p>
        </w:tc>
      </w:tr>
      <w:tr w:rsidR="002E6AB7" w:rsidRPr="00DB4491" w:rsidTr="007A323E">
        <w:trPr>
          <w:jc w:val="center"/>
        </w:trPr>
        <w:tc>
          <w:tcPr>
            <w:tcW w:w="3003"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Neznáme</w:t>
            </w:r>
          </w:p>
        </w:tc>
        <w:tc>
          <w:tcPr>
            <w:tcW w:w="6119" w:type="dxa"/>
            <w:shd w:val="clear" w:color="auto" w:fill="auto"/>
            <w:vAlign w:val="center"/>
          </w:tcPr>
          <w:p w:rsidR="002E6AB7" w:rsidRPr="00DB4491" w:rsidRDefault="001C0D5A" w:rsidP="00C41030">
            <w:pPr>
              <w:autoSpaceDE w:val="0"/>
              <w:autoSpaceDN w:val="0"/>
              <w:adjustRightInd w:val="0"/>
              <w:jc w:val="both"/>
              <w:rPr>
                <w:b/>
                <w:bCs/>
                <w:sz w:val="22"/>
                <w:szCs w:val="22"/>
              </w:rPr>
            </w:pPr>
            <w:r>
              <w:rPr>
                <w:sz w:val="22"/>
                <w:szCs w:val="22"/>
              </w:rPr>
              <w:t>tranzitórny ischemický atak, záchvat, recidíva záchvatov</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jc w:val="both"/>
              <w:rPr>
                <w:b/>
                <w:iCs/>
                <w:sz w:val="22"/>
                <w:szCs w:val="22"/>
                <w:highlight w:val="yellow"/>
              </w:rPr>
            </w:pPr>
            <w:r>
              <w:rPr>
                <w:b/>
                <w:iCs/>
                <w:sz w:val="22"/>
                <w:szCs w:val="22"/>
              </w:rPr>
              <w:t>Poruchy oka</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b/>
                <w:bCs/>
                <w:sz w:val="22"/>
                <w:szCs w:val="22"/>
              </w:rPr>
            </w:pPr>
            <w:r>
              <w:rPr>
                <w:sz w:val="22"/>
                <w:szCs w:val="22"/>
              </w:rPr>
              <w:t>Časté</w:t>
            </w:r>
          </w:p>
        </w:tc>
        <w:tc>
          <w:tcPr>
            <w:tcW w:w="6119" w:type="dxa"/>
            <w:shd w:val="clear" w:color="auto" w:fill="auto"/>
            <w:vAlign w:val="center"/>
          </w:tcPr>
          <w:p w:rsidR="00C84988" w:rsidRPr="00DB4491" w:rsidRDefault="001C0D5A" w:rsidP="00C41030">
            <w:pPr>
              <w:autoSpaceDE w:val="0"/>
              <w:autoSpaceDN w:val="0"/>
              <w:adjustRightInd w:val="0"/>
              <w:jc w:val="both"/>
              <w:rPr>
                <w:b/>
                <w:bCs/>
                <w:sz w:val="22"/>
                <w:szCs w:val="22"/>
              </w:rPr>
            </w:pPr>
            <w:r>
              <w:rPr>
                <w:sz w:val="22"/>
                <w:szCs w:val="22"/>
              </w:rPr>
              <w:t>poruchy videnia, porucha farebného videnia</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b/>
                <w:bCs/>
                <w:sz w:val="22"/>
                <w:szCs w:val="22"/>
              </w:rPr>
            </w:pPr>
            <w:r>
              <w:rPr>
                <w:sz w:val="22"/>
                <w:szCs w:val="22"/>
              </w:rPr>
              <w:t>Menej časté</w:t>
            </w:r>
          </w:p>
        </w:tc>
        <w:tc>
          <w:tcPr>
            <w:tcW w:w="6119" w:type="dxa"/>
            <w:shd w:val="clear" w:color="auto" w:fill="auto"/>
            <w:vAlign w:val="center"/>
          </w:tcPr>
          <w:p w:rsidR="00C84988" w:rsidRPr="00DB4491" w:rsidRDefault="001C0D5A" w:rsidP="00C41030">
            <w:pPr>
              <w:autoSpaceDE w:val="0"/>
              <w:autoSpaceDN w:val="0"/>
              <w:adjustRightInd w:val="0"/>
              <w:jc w:val="both"/>
              <w:rPr>
                <w:b/>
                <w:bCs/>
                <w:sz w:val="22"/>
                <w:szCs w:val="22"/>
              </w:rPr>
            </w:pPr>
            <w:r>
              <w:rPr>
                <w:sz w:val="22"/>
                <w:szCs w:val="22"/>
              </w:rPr>
              <w:t>ochorenia spojoviek, ochorenia oka, poruchy slzenia, iné ochorenia oka</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Neznáme</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nearteritická predná ischemická neuropatia zrakového nervu (NAION), oklúzia ciev sietnice, poruchy v zornom poli</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rPr>
                <w:b/>
                <w:iCs/>
                <w:sz w:val="22"/>
                <w:szCs w:val="22"/>
                <w:highlight w:val="yellow"/>
              </w:rPr>
            </w:pPr>
            <w:r>
              <w:rPr>
                <w:b/>
                <w:iCs/>
                <w:sz w:val="22"/>
                <w:szCs w:val="22"/>
              </w:rPr>
              <w:t>Poruchy ucha a labyrintu</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Menej časté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vertigo, tinnitus</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Zriedkavé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hluchota</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rPr>
                <w:b/>
                <w:iCs/>
                <w:sz w:val="22"/>
                <w:szCs w:val="22"/>
              </w:rPr>
            </w:pPr>
            <w:r>
              <w:rPr>
                <w:b/>
                <w:iCs/>
                <w:sz w:val="22"/>
                <w:szCs w:val="22"/>
              </w:rPr>
              <w:t>Poruchy ciev</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Časté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návaly</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Zriedkavé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hypertenzia, hypotenzia</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rPr>
                <w:b/>
                <w:iCs/>
                <w:sz w:val="22"/>
                <w:szCs w:val="22"/>
              </w:rPr>
            </w:pPr>
            <w:r>
              <w:rPr>
                <w:b/>
                <w:iCs/>
                <w:sz w:val="22"/>
                <w:szCs w:val="22"/>
              </w:rPr>
              <w:t>Poruchy srdca a srdcovej činnosti</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Menej časté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palpitácie, tachykardia</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lastRenderedPageBreak/>
              <w:t>Zriedkavé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infarkt myokardu, fibrilácia predsiení</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Neznáme</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komorová arytmia, nestabilná angina pectoris, náhla srdcová smrť</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rPr>
                <w:b/>
                <w:iCs/>
                <w:sz w:val="22"/>
                <w:szCs w:val="22"/>
                <w:highlight w:val="yellow"/>
              </w:rPr>
            </w:pPr>
            <w:r>
              <w:rPr>
                <w:b/>
                <w:iCs/>
                <w:sz w:val="22"/>
                <w:szCs w:val="22"/>
              </w:rPr>
              <w:t>Poruchy dýchacej sústavy, hrudníka a mediastína</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Časté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nazálna kongescia</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Zriedkavé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epistaxa</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rPr>
                <w:b/>
                <w:iCs/>
                <w:sz w:val="22"/>
                <w:szCs w:val="22"/>
                <w:highlight w:val="yellow"/>
              </w:rPr>
            </w:pPr>
            <w:r>
              <w:rPr>
                <w:b/>
                <w:iCs/>
                <w:sz w:val="22"/>
                <w:szCs w:val="22"/>
              </w:rPr>
              <w:t>Poruchy gastrointestinálneho traktu</w:t>
            </w:r>
          </w:p>
        </w:tc>
      </w:tr>
      <w:tr w:rsidR="00C84988" w:rsidRPr="00DB4491" w:rsidTr="007A323E">
        <w:trPr>
          <w:jc w:val="center"/>
        </w:trPr>
        <w:tc>
          <w:tcPr>
            <w:tcW w:w="3003" w:type="dxa"/>
            <w:shd w:val="clear" w:color="auto" w:fill="auto"/>
            <w:vAlign w:val="center"/>
          </w:tcPr>
          <w:p w:rsidR="00C84988" w:rsidRPr="00DB4491" w:rsidRDefault="001C0D5A" w:rsidP="00C41030">
            <w:pPr>
              <w:autoSpaceDE w:val="0"/>
              <w:autoSpaceDN w:val="0"/>
              <w:adjustRightInd w:val="0"/>
              <w:jc w:val="both"/>
              <w:rPr>
                <w:sz w:val="22"/>
                <w:szCs w:val="22"/>
              </w:rPr>
            </w:pPr>
            <w:r>
              <w:rPr>
                <w:sz w:val="22"/>
                <w:szCs w:val="22"/>
              </w:rPr>
              <w:t>Časté</w:t>
            </w:r>
          </w:p>
        </w:tc>
        <w:tc>
          <w:tcPr>
            <w:tcW w:w="6119" w:type="dxa"/>
            <w:shd w:val="clear" w:color="auto" w:fill="auto"/>
            <w:vAlign w:val="center"/>
          </w:tcPr>
          <w:p w:rsidR="00C84988" w:rsidRPr="00DB4491" w:rsidRDefault="001C0D5A" w:rsidP="00C41030">
            <w:pPr>
              <w:autoSpaceDE w:val="0"/>
              <w:autoSpaceDN w:val="0"/>
              <w:adjustRightInd w:val="0"/>
              <w:rPr>
                <w:sz w:val="22"/>
                <w:szCs w:val="22"/>
              </w:rPr>
            </w:pPr>
            <w:r>
              <w:rPr>
                <w:sz w:val="22"/>
                <w:szCs w:val="22"/>
              </w:rPr>
              <w:t>dyspepsia</w:t>
            </w:r>
          </w:p>
        </w:tc>
      </w:tr>
      <w:tr w:rsidR="00C91E0F" w:rsidRPr="00DB4491" w:rsidTr="007A323E">
        <w:trPr>
          <w:jc w:val="center"/>
        </w:trPr>
        <w:tc>
          <w:tcPr>
            <w:tcW w:w="3003" w:type="dxa"/>
            <w:shd w:val="clear" w:color="auto" w:fill="auto"/>
            <w:vAlign w:val="center"/>
          </w:tcPr>
          <w:p w:rsidR="00C91E0F" w:rsidRPr="00DB4491" w:rsidRDefault="001C0D5A" w:rsidP="00C41030">
            <w:pPr>
              <w:autoSpaceDE w:val="0"/>
              <w:autoSpaceDN w:val="0"/>
              <w:adjustRightInd w:val="0"/>
              <w:jc w:val="both"/>
              <w:rPr>
                <w:sz w:val="22"/>
                <w:szCs w:val="22"/>
              </w:rPr>
            </w:pPr>
            <w:r>
              <w:rPr>
                <w:sz w:val="22"/>
                <w:szCs w:val="22"/>
              </w:rPr>
              <w:t>Menej časté</w:t>
            </w:r>
          </w:p>
        </w:tc>
        <w:tc>
          <w:tcPr>
            <w:tcW w:w="6119" w:type="dxa"/>
            <w:shd w:val="clear" w:color="auto" w:fill="auto"/>
            <w:vAlign w:val="center"/>
          </w:tcPr>
          <w:p w:rsidR="00C91E0F" w:rsidRPr="00DB4491" w:rsidRDefault="001C0D5A" w:rsidP="00C41030">
            <w:pPr>
              <w:autoSpaceDE w:val="0"/>
              <w:autoSpaceDN w:val="0"/>
              <w:adjustRightInd w:val="0"/>
              <w:rPr>
                <w:sz w:val="22"/>
                <w:szCs w:val="22"/>
              </w:rPr>
            </w:pPr>
            <w:r>
              <w:rPr>
                <w:sz w:val="22"/>
                <w:szCs w:val="22"/>
              </w:rPr>
              <w:t>vracanie, nauzea, sucho v ústach</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rPr>
                <w:b/>
                <w:iCs/>
                <w:sz w:val="22"/>
                <w:szCs w:val="22"/>
                <w:highlight w:val="yellow"/>
              </w:rPr>
            </w:pPr>
            <w:r>
              <w:rPr>
                <w:b/>
                <w:iCs/>
                <w:sz w:val="22"/>
                <w:szCs w:val="22"/>
              </w:rPr>
              <w:t>Poruchy kože a podkožného tkaniva</w:t>
            </w:r>
          </w:p>
        </w:tc>
      </w:tr>
      <w:tr w:rsidR="00C91E0F" w:rsidRPr="00DB4491" w:rsidTr="007A323E">
        <w:trPr>
          <w:jc w:val="center"/>
        </w:trPr>
        <w:tc>
          <w:tcPr>
            <w:tcW w:w="3003" w:type="dxa"/>
            <w:shd w:val="clear" w:color="auto" w:fill="auto"/>
            <w:vAlign w:val="center"/>
          </w:tcPr>
          <w:p w:rsidR="00C91E0F" w:rsidRPr="00DB4491" w:rsidRDefault="001C0D5A" w:rsidP="00C41030">
            <w:pPr>
              <w:autoSpaceDE w:val="0"/>
              <w:autoSpaceDN w:val="0"/>
              <w:adjustRightInd w:val="0"/>
              <w:jc w:val="both"/>
              <w:rPr>
                <w:sz w:val="22"/>
                <w:szCs w:val="22"/>
                <w:highlight w:val="yellow"/>
              </w:rPr>
            </w:pPr>
            <w:r>
              <w:rPr>
                <w:sz w:val="22"/>
                <w:szCs w:val="22"/>
              </w:rPr>
              <w:t>Menej časté</w:t>
            </w:r>
          </w:p>
        </w:tc>
        <w:tc>
          <w:tcPr>
            <w:tcW w:w="6119" w:type="dxa"/>
            <w:shd w:val="clear" w:color="auto" w:fill="auto"/>
            <w:vAlign w:val="center"/>
          </w:tcPr>
          <w:p w:rsidR="00C91E0F" w:rsidRPr="00DB4491" w:rsidRDefault="001C0D5A" w:rsidP="00C41030">
            <w:pPr>
              <w:autoSpaceDE w:val="0"/>
              <w:autoSpaceDN w:val="0"/>
              <w:adjustRightInd w:val="0"/>
              <w:rPr>
                <w:sz w:val="22"/>
                <w:szCs w:val="22"/>
                <w:highlight w:val="yellow"/>
              </w:rPr>
            </w:pPr>
            <w:r>
              <w:rPr>
                <w:sz w:val="22"/>
                <w:szCs w:val="22"/>
              </w:rPr>
              <w:t>kožná vyrážka</w:t>
            </w:r>
          </w:p>
        </w:tc>
      </w:tr>
      <w:tr w:rsidR="00C9146E" w:rsidRPr="00DB4491" w:rsidTr="007A323E">
        <w:trPr>
          <w:jc w:val="center"/>
        </w:trPr>
        <w:tc>
          <w:tcPr>
            <w:tcW w:w="3003" w:type="dxa"/>
            <w:shd w:val="clear" w:color="auto" w:fill="auto"/>
            <w:vAlign w:val="center"/>
          </w:tcPr>
          <w:p w:rsidR="00C9146E" w:rsidRPr="00DB4491" w:rsidRDefault="001C0D5A" w:rsidP="00C41030">
            <w:pPr>
              <w:autoSpaceDE w:val="0"/>
              <w:autoSpaceDN w:val="0"/>
              <w:adjustRightInd w:val="0"/>
              <w:jc w:val="both"/>
              <w:rPr>
                <w:sz w:val="22"/>
                <w:szCs w:val="22"/>
                <w:highlight w:val="yellow"/>
              </w:rPr>
            </w:pPr>
            <w:r>
              <w:rPr>
                <w:sz w:val="22"/>
                <w:szCs w:val="22"/>
              </w:rPr>
              <w:t>Neznáme</w:t>
            </w:r>
          </w:p>
        </w:tc>
        <w:tc>
          <w:tcPr>
            <w:tcW w:w="6119" w:type="dxa"/>
            <w:shd w:val="clear" w:color="auto" w:fill="auto"/>
            <w:vAlign w:val="center"/>
          </w:tcPr>
          <w:p w:rsidR="00C9146E" w:rsidRPr="00DB4491" w:rsidRDefault="001C0D5A" w:rsidP="00C41030">
            <w:pPr>
              <w:autoSpaceDE w:val="0"/>
              <w:autoSpaceDN w:val="0"/>
              <w:adjustRightInd w:val="0"/>
              <w:rPr>
                <w:sz w:val="22"/>
                <w:szCs w:val="22"/>
                <w:highlight w:val="yellow"/>
              </w:rPr>
            </w:pPr>
            <w:r>
              <w:rPr>
                <w:sz w:val="22"/>
                <w:szCs w:val="22"/>
              </w:rPr>
              <w:t>Stevensov-Johnsonov syndróm (SJS), toxická epidermálna nekrolýza (TEN)</w:t>
            </w:r>
          </w:p>
        </w:tc>
      </w:tr>
      <w:tr w:rsidR="00F27016" w:rsidRPr="00DB4491">
        <w:trPr>
          <w:jc w:val="center"/>
        </w:trPr>
        <w:tc>
          <w:tcPr>
            <w:tcW w:w="9122" w:type="dxa"/>
            <w:gridSpan w:val="2"/>
            <w:shd w:val="clear" w:color="auto" w:fill="auto"/>
            <w:vAlign w:val="center"/>
          </w:tcPr>
          <w:p w:rsidR="00F27016" w:rsidRPr="00DB4491" w:rsidRDefault="001C0D5A" w:rsidP="00C41030">
            <w:pPr>
              <w:autoSpaceDE w:val="0"/>
              <w:autoSpaceDN w:val="0"/>
              <w:adjustRightInd w:val="0"/>
              <w:rPr>
                <w:b/>
                <w:iCs/>
                <w:sz w:val="22"/>
                <w:szCs w:val="22"/>
                <w:highlight w:val="yellow"/>
              </w:rPr>
            </w:pPr>
            <w:r>
              <w:rPr>
                <w:b/>
                <w:iCs/>
                <w:sz w:val="22"/>
                <w:szCs w:val="22"/>
              </w:rPr>
              <w:t>Poruchy kostrovej a svalovej sústavy a spojivového tkaniva</w:t>
            </w:r>
          </w:p>
        </w:tc>
      </w:tr>
      <w:tr w:rsidR="00C91E0F" w:rsidRPr="00DB4491" w:rsidTr="007A323E">
        <w:trPr>
          <w:jc w:val="center"/>
        </w:trPr>
        <w:tc>
          <w:tcPr>
            <w:tcW w:w="3003" w:type="dxa"/>
            <w:shd w:val="clear" w:color="auto" w:fill="auto"/>
            <w:vAlign w:val="center"/>
          </w:tcPr>
          <w:p w:rsidR="00C91E0F" w:rsidRPr="00DB4491" w:rsidRDefault="001C0D5A" w:rsidP="00C41030">
            <w:pPr>
              <w:autoSpaceDE w:val="0"/>
              <w:autoSpaceDN w:val="0"/>
              <w:adjustRightInd w:val="0"/>
              <w:jc w:val="both"/>
              <w:rPr>
                <w:sz w:val="22"/>
                <w:szCs w:val="22"/>
              </w:rPr>
            </w:pPr>
            <w:r>
              <w:rPr>
                <w:sz w:val="22"/>
                <w:szCs w:val="22"/>
              </w:rPr>
              <w:t>Menej časté</w:t>
            </w:r>
          </w:p>
        </w:tc>
        <w:tc>
          <w:tcPr>
            <w:tcW w:w="6119" w:type="dxa"/>
            <w:shd w:val="clear" w:color="auto" w:fill="auto"/>
            <w:vAlign w:val="center"/>
          </w:tcPr>
          <w:p w:rsidR="00C91E0F" w:rsidRPr="00DB4491" w:rsidRDefault="001C0D5A" w:rsidP="00C41030">
            <w:pPr>
              <w:autoSpaceDE w:val="0"/>
              <w:autoSpaceDN w:val="0"/>
              <w:adjustRightInd w:val="0"/>
              <w:rPr>
                <w:sz w:val="22"/>
                <w:szCs w:val="22"/>
              </w:rPr>
            </w:pPr>
            <w:r>
              <w:rPr>
                <w:sz w:val="22"/>
                <w:szCs w:val="22"/>
              </w:rPr>
              <w:t>myalgia</w:t>
            </w:r>
          </w:p>
        </w:tc>
      </w:tr>
      <w:tr w:rsidR="00B442AB" w:rsidRPr="00DB4491" w:rsidTr="00F072B2">
        <w:trPr>
          <w:jc w:val="center"/>
        </w:trPr>
        <w:tc>
          <w:tcPr>
            <w:tcW w:w="9122" w:type="dxa"/>
            <w:gridSpan w:val="2"/>
            <w:shd w:val="clear" w:color="auto" w:fill="auto"/>
            <w:vAlign w:val="center"/>
          </w:tcPr>
          <w:p w:rsidR="00B442AB" w:rsidRPr="00DB4491" w:rsidRDefault="001C0D5A" w:rsidP="00C41030">
            <w:pPr>
              <w:autoSpaceDE w:val="0"/>
              <w:autoSpaceDN w:val="0"/>
              <w:adjustRightInd w:val="0"/>
              <w:rPr>
                <w:b/>
                <w:sz w:val="22"/>
                <w:szCs w:val="22"/>
              </w:rPr>
            </w:pPr>
            <w:r>
              <w:rPr>
                <w:b/>
                <w:iCs/>
                <w:sz w:val="22"/>
                <w:szCs w:val="22"/>
              </w:rPr>
              <w:t>Poruchy obličiek a močových ciest</w:t>
            </w:r>
          </w:p>
        </w:tc>
      </w:tr>
      <w:tr w:rsidR="00B442AB" w:rsidRPr="00DB4491" w:rsidTr="007A323E">
        <w:trPr>
          <w:jc w:val="center"/>
        </w:trPr>
        <w:tc>
          <w:tcPr>
            <w:tcW w:w="3003" w:type="dxa"/>
            <w:shd w:val="clear" w:color="auto" w:fill="auto"/>
            <w:vAlign w:val="center"/>
          </w:tcPr>
          <w:p w:rsidR="00B442AB" w:rsidRPr="00DB4491" w:rsidRDefault="001C0D5A" w:rsidP="00C41030">
            <w:pPr>
              <w:autoSpaceDE w:val="0"/>
              <w:autoSpaceDN w:val="0"/>
              <w:adjustRightInd w:val="0"/>
              <w:jc w:val="both"/>
              <w:rPr>
                <w:sz w:val="22"/>
                <w:szCs w:val="22"/>
              </w:rPr>
            </w:pPr>
            <w:r>
              <w:rPr>
                <w:sz w:val="22"/>
                <w:szCs w:val="22"/>
              </w:rPr>
              <w:t>Menej časté</w:t>
            </w:r>
          </w:p>
        </w:tc>
        <w:tc>
          <w:tcPr>
            <w:tcW w:w="6119" w:type="dxa"/>
            <w:shd w:val="clear" w:color="auto" w:fill="auto"/>
            <w:vAlign w:val="center"/>
          </w:tcPr>
          <w:p w:rsidR="00B442AB" w:rsidRPr="00DB4491" w:rsidRDefault="001C0D5A" w:rsidP="00C41030">
            <w:pPr>
              <w:autoSpaceDE w:val="0"/>
              <w:autoSpaceDN w:val="0"/>
              <w:adjustRightInd w:val="0"/>
              <w:rPr>
                <w:sz w:val="22"/>
                <w:szCs w:val="22"/>
              </w:rPr>
            </w:pPr>
            <w:r>
              <w:rPr>
                <w:sz w:val="22"/>
                <w:szCs w:val="22"/>
              </w:rPr>
              <w:t>hematúria</w:t>
            </w:r>
          </w:p>
        </w:tc>
      </w:tr>
      <w:tr w:rsidR="002E653E" w:rsidRPr="00DB4491" w:rsidTr="002E653E">
        <w:trPr>
          <w:jc w:val="center"/>
        </w:trPr>
        <w:tc>
          <w:tcPr>
            <w:tcW w:w="9122" w:type="dxa"/>
            <w:gridSpan w:val="2"/>
            <w:shd w:val="clear" w:color="auto" w:fill="auto"/>
            <w:vAlign w:val="center"/>
          </w:tcPr>
          <w:p w:rsidR="002E653E" w:rsidRPr="00DB4491" w:rsidRDefault="001C0D5A" w:rsidP="003E1016">
            <w:pPr>
              <w:autoSpaceDE w:val="0"/>
              <w:autoSpaceDN w:val="0"/>
              <w:adjustRightInd w:val="0"/>
              <w:rPr>
                <w:b/>
                <w:iCs/>
                <w:sz w:val="22"/>
                <w:szCs w:val="22"/>
                <w:highlight w:val="yellow"/>
              </w:rPr>
            </w:pPr>
            <w:r>
              <w:rPr>
                <w:b/>
                <w:iCs/>
                <w:sz w:val="22"/>
                <w:szCs w:val="22"/>
              </w:rPr>
              <w:t>Poruchy reprodukčného systému a prsníkov</w:t>
            </w:r>
          </w:p>
        </w:tc>
      </w:tr>
      <w:tr w:rsidR="00B442AB" w:rsidRPr="00DB4491" w:rsidTr="002E653E">
        <w:trPr>
          <w:jc w:val="center"/>
        </w:trPr>
        <w:tc>
          <w:tcPr>
            <w:tcW w:w="3003" w:type="dxa"/>
            <w:shd w:val="clear" w:color="auto" w:fill="auto"/>
            <w:vAlign w:val="center"/>
          </w:tcPr>
          <w:p w:rsidR="00B442AB" w:rsidRPr="00DB4491" w:rsidRDefault="001C0D5A" w:rsidP="003E1016">
            <w:pPr>
              <w:autoSpaceDE w:val="0"/>
              <w:autoSpaceDN w:val="0"/>
              <w:adjustRightInd w:val="0"/>
              <w:jc w:val="both"/>
              <w:rPr>
                <w:sz w:val="22"/>
                <w:szCs w:val="22"/>
                <w:highlight w:val="yellow"/>
              </w:rPr>
            </w:pPr>
            <w:r>
              <w:rPr>
                <w:sz w:val="22"/>
                <w:szCs w:val="22"/>
              </w:rPr>
              <w:t>Menej časté</w:t>
            </w:r>
          </w:p>
        </w:tc>
        <w:tc>
          <w:tcPr>
            <w:tcW w:w="6119" w:type="dxa"/>
            <w:shd w:val="clear" w:color="auto" w:fill="auto"/>
            <w:vAlign w:val="center"/>
          </w:tcPr>
          <w:p w:rsidR="00B442AB" w:rsidRPr="00DB4491" w:rsidRDefault="001C0D5A" w:rsidP="003E1016">
            <w:pPr>
              <w:autoSpaceDE w:val="0"/>
              <w:autoSpaceDN w:val="0"/>
              <w:adjustRightInd w:val="0"/>
              <w:rPr>
                <w:sz w:val="22"/>
                <w:szCs w:val="22"/>
                <w:highlight w:val="yellow"/>
              </w:rPr>
            </w:pPr>
            <w:r>
              <w:rPr>
                <w:sz w:val="22"/>
                <w:szCs w:val="22"/>
              </w:rPr>
              <w:t>hematospermia, hemorágie v penise</w:t>
            </w:r>
          </w:p>
        </w:tc>
      </w:tr>
      <w:tr w:rsidR="002E653E" w:rsidRPr="00DB4491" w:rsidTr="002E653E">
        <w:trPr>
          <w:jc w:val="center"/>
        </w:trPr>
        <w:tc>
          <w:tcPr>
            <w:tcW w:w="3003" w:type="dxa"/>
            <w:shd w:val="clear" w:color="auto" w:fill="auto"/>
            <w:vAlign w:val="center"/>
          </w:tcPr>
          <w:p w:rsidR="002E653E" w:rsidRPr="00DB4491" w:rsidRDefault="001C0D5A" w:rsidP="003E1016">
            <w:pPr>
              <w:autoSpaceDE w:val="0"/>
              <w:autoSpaceDN w:val="0"/>
              <w:adjustRightInd w:val="0"/>
              <w:jc w:val="both"/>
              <w:rPr>
                <w:sz w:val="22"/>
                <w:szCs w:val="22"/>
              </w:rPr>
            </w:pPr>
            <w:r>
              <w:rPr>
                <w:sz w:val="22"/>
                <w:szCs w:val="22"/>
              </w:rPr>
              <w:t>Neznáme</w:t>
            </w:r>
          </w:p>
        </w:tc>
        <w:tc>
          <w:tcPr>
            <w:tcW w:w="6119" w:type="dxa"/>
            <w:shd w:val="clear" w:color="auto" w:fill="auto"/>
            <w:vAlign w:val="center"/>
          </w:tcPr>
          <w:p w:rsidR="002E653E" w:rsidRPr="00DB4491" w:rsidRDefault="001C0D5A">
            <w:pPr>
              <w:autoSpaceDE w:val="0"/>
              <w:autoSpaceDN w:val="0"/>
              <w:adjustRightInd w:val="0"/>
              <w:rPr>
                <w:sz w:val="22"/>
                <w:szCs w:val="22"/>
              </w:rPr>
            </w:pPr>
            <w:r>
              <w:rPr>
                <w:sz w:val="22"/>
                <w:szCs w:val="22"/>
              </w:rPr>
              <w:t>priapizmus, prolongovaná erekcia</w:t>
            </w:r>
          </w:p>
        </w:tc>
      </w:tr>
      <w:tr w:rsidR="002E653E" w:rsidRPr="00DB4491" w:rsidTr="002E653E">
        <w:trPr>
          <w:jc w:val="center"/>
        </w:trPr>
        <w:tc>
          <w:tcPr>
            <w:tcW w:w="9122" w:type="dxa"/>
            <w:gridSpan w:val="2"/>
            <w:shd w:val="clear" w:color="auto" w:fill="auto"/>
            <w:vAlign w:val="center"/>
          </w:tcPr>
          <w:p w:rsidR="002E653E" w:rsidRPr="00DB4491" w:rsidRDefault="001C0D5A" w:rsidP="003E1016">
            <w:pPr>
              <w:autoSpaceDE w:val="0"/>
              <w:autoSpaceDN w:val="0"/>
              <w:adjustRightInd w:val="0"/>
              <w:rPr>
                <w:b/>
                <w:iCs/>
                <w:sz w:val="22"/>
                <w:szCs w:val="22"/>
                <w:highlight w:val="yellow"/>
              </w:rPr>
            </w:pPr>
            <w:r>
              <w:rPr>
                <w:b/>
                <w:iCs/>
                <w:sz w:val="22"/>
                <w:szCs w:val="22"/>
              </w:rPr>
              <w:t>Celkové poruchy a reakcie v mieste podania</w:t>
            </w:r>
          </w:p>
        </w:tc>
      </w:tr>
      <w:tr w:rsidR="002E653E" w:rsidRPr="00DB4491" w:rsidTr="002E653E">
        <w:trPr>
          <w:jc w:val="center"/>
        </w:trPr>
        <w:tc>
          <w:tcPr>
            <w:tcW w:w="3003" w:type="dxa"/>
            <w:shd w:val="clear" w:color="auto" w:fill="auto"/>
            <w:vAlign w:val="center"/>
          </w:tcPr>
          <w:p w:rsidR="002E653E" w:rsidRPr="00DB4491" w:rsidRDefault="001C0D5A" w:rsidP="003E1016">
            <w:pPr>
              <w:autoSpaceDE w:val="0"/>
              <w:autoSpaceDN w:val="0"/>
              <w:adjustRightInd w:val="0"/>
              <w:jc w:val="both"/>
              <w:rPr>
                <w:sz w:val="22"/>
                <w:szCs w:val="22"/>
              </w:rPr>
            </w:pPr>
            <w:r>
              <w:rPr>
                <w:sz w:val="22"/>
                <w:szCs w:val="22"/>
              </w:rPr>
              <w:t>Menej časté</w:t>
            </w:r>
          </w:p>
        </w:tc>
        <w:tc>
          <w:tcPr>
            <w:tcW w:w="6119" w:type="dxa"/>
            <w:shd w:val="clear" w:color="auto" w:fill="auto"/>
            <w:vAlign w:val="center"/>
          </w:tcPr>
          <w:p w:rsidR="002E653E" w:rsidRPr="00DB4491" w:rsidRDefault="001C0D5A">
            <w:pPr>
              <w:autoSpaceDE w:val="0"/>
              <w:autoSpaceDN w:val="0"/>
              <w:adjustRightInd w:val="0"/>
              <w:rPr>
                <w:sz w:val="22"/>
                <w:szCs w:val="22"/>
              </w:rPr>
            </w:pPr>
            <w:r>
              <w:rPr>
                <w:sz w:val="22"/>
                <w:szCs w:val="22"/>
              </w:rPr>
              <w:t>bolesť na hrudníku, únava</w:t>
            </w:r>
          </w:p>
        </w:tc>
      </w:tr>
      <w:tr w:rsidR="002E653E" w:rsidRPr="00DB4491">
        <w:trPr>
          <w:jc w:val="center"/>
        </w:trPr>
        <w:tc>
          <w:tcPr>
            <w:tcW w:w="9122" w:type="dxa"/>
            <w:gridSpan w:val="2"/>
            <w:shd w:val="clear" w:color="auto" w:fill="auto"/>
            <w:vAlign w:val="center"/>
          </w:tcPr>
          <w:p w:rsidR="002E653E" w:rsidRPr="00DB4491" w:rsidRDefault="001C0D5A" w:rsidP="00C41030">
            <w:pPr>
              <w:autoSpaceDE w:val="0"/>
              <w:autoSpaceDN w:val="0"/>
              <w:adjustRightInd w:val="0"/>
              <w:rPr>
                <w:b/>
                <w:iCs/>
                <w:sz w:val="22"/>
                <w:szCs w:val="22"/>
              </w:rPr>
            </w:pPr>
            <w:r>
              <w:rPr>
                <w:b/>
                <w:iCs/>
                <w:sz w:val="22"/>
                <w:szCs w:val="22"/>
              </w:rPr>
              <w:t>Laboratórne a funkčné vyšetrenia</w:t>
            </w:r>
          </w:p>
        </w:tc>
      </w:tr>
      <w:tr w:rsidR="002E653E" w:rsidRPr="00DB4491" w:rsidTr="007A323E">
        <w:trPr>
          <w:jc w:val="center"/>
        </w:trPr>
        <w:tc>
          <w:tcPr>
            <w:tcW w:w="3003" w:type="dxa"/>
            <w:shd w:val="clear" w:color="auto" w:fill="auto"/>
            <w:vAlign w:val="center"/>
          </w:tcPr>
          <w:p w:rsidR="002E653E" w:rsidRPr="00DB4491" w:rsidRDefault="001C0D5A" w:rsidP="00C41030">
            <w:pPr>
              <w:autoSpaceDE w:val="0"/>
              <w:autoSpaceDN w:val="0"/>
              <w:adjustRightInd w:val="0"/>
              <w:jc w:val="both"/>
              <w:rPr>
                <w:sz w:val="22"/>
                <w:szCs w:val="22"/>
              </w:rPr>
            </w:pPr>
            <w:r>
              <w:rPr>
                <w:sz w:val="22"/>
                <w:szCs w:val="22"/>
              </w:rPr>
              <w:t>Menej časté</w:t>
            </w:r>
          </w:p>
        </w:tc>
        <w:tc>
          <w:tcPr>
            <w:tcW w:w="6119" w:type="dxa"/>
            <w:shd w:val="clear" w:color="auto" w:fill="auto"/>
            <w:vAlign w:val="center"/>
          </w:tcPr>
          <w:p w:rsidR="002E653E" w:rsidRPr="00DB4491" w:rsidRDefault="001C0D5A" w:rsidP="00C41030">
            <w:pPr>
              <w:autoSpaceDE w:val="0"/>
              <w:autoSpaceDN w:val="0"/>
              <w:adjustRightInd w:val="0"/>
              <w:rPr>
                <w:sz w:val="22"/>
                <w:szCs w:val="22"/>
              </w:rPr>
            </w:pPr>
            <w:r>
              <w:rPr>
                <w:sz w:val="22"/>
                <w:szCs w:val="22"/>
              </w:rPr>
              <w:t>zvýšená srdcová frekvencia</w:t>
            </w:r>
          </w:p>
        </w:tc>
      </w:tr>
    </w:tbl>
    <w:p w:rsidR="000B73B8" w:rsidRPr="00DB4491" w:rsidRDefault="000B73B8" w:rsidP="007A323E">
      <w:pPr>
        <w:autoSpaceDE w:val="0"/>
        <w:autoSpaceDN w:val="0"/>
        <w:adjustRightInd w:val="0"/>
        <w:jc w:val="both"/>
        <w:rPr>
          <w:b/>
          <w:bCs/>
          <w:sz w:val="22"/>
          <w:szCs w:val="22"/>
        </w:rPr>
      </w:pPr>
    </w:p>
    <w:p w:rsidR="00B442AB" w:rsidRPr="00DB4491" w:rsidRDefault="001C0D5A" w:rsidP="00B442AB">
      <w:pPr>
        <w:autoSpaceDE w:val="0"/>
        <w:autoSpaceDN w:val="0"/>
        <w:adjustRightInd w:val="0"/>
        <w:jc w:val="both"/>
        <w:rPr>
          <w:sz w:val="22"/>
          <w:szCs w:val="22"/>
          <w:u w:val="single"/>
        </w:rPr>
      </w:pPr>
      <w:r>
        <w:rPr>
          <w:sz w:val="22"/>
          <w:szCs w:val="22"/>
          <w:u w:val="single"/>
        </w:rPr>
        <w:t>Hlásenie podozrení na nežiaduce reakcie</w:t>
      </w:r>
    </w:p>
    <w:p w:rsidR="00B442AB" w:rsidRPr="00DB4491" w:rsidRDefault="001C0D5A" w:rsidP="00B442AB">
      <w:pPr>
        <w:autoSpaceDE w:val="0"/>
        <w:autoSpaceDN w:val="0"/>
        <w:adjustRightInd w:val="0"/>
        <w:jc w:val="both"/>
        <w:rPr>
          <w:sz w:val="22"/>
          <w:szCs w:val="22"/>
        </w:rPr>
      </w:pPr>
      <w:r>
        <w:rPr>
          <w:sz w:val="22"/>
          <w:szCs w:val="22"/>
        </w:rPr>
        <w:t xml:space="preserve">Hlásenie podozrení na nežiaduce reakcie po registrácii lieku je dôležité. Umožňuje priebežné monitorovanie pomeru prínosu a rizika lieku. Od zdravotníckych pracovníkov sa vyžaduje, aby hlásili akékoľvek podozrenia na nežiaduce reakcie prostredníctvom </w:t>
      </w:r>
      <w:r>
        <w:rPr>
          <w:noProof/>
          <w:sz w:val="22"/>
          <w:szCs w:val="22"/>
          <w:highlight w:val="lightGray"/>
        </w:rPr>
        <w:t>národného systému hlásenia uvedeného v </w:t>
      </w:r>
      <w:hyperlink r:id="rId7" w:history="1">
        <w:r w:rsidR="002F0D4B" w:rsidRPr="00DB4491">
          <w:rPr>
            <w:rStyle w:val="Hypertextovprepojenie"/>
            <w:noProof/>
            <w:sz w:val="22"/>
            <w:szCs w:val="22"/>
            <w:highlight w:val="lightGray"/>
          </w:rPr>
          <w:t>Prílohe V</w:t>
        </w:r>
      </w:hyperlink>
      <w:r w:rsidR="002F0D4B" w:rsidRPr="00DB4491">
        <w:rPr>
          <w:color w:val="008000"/>
          <w:sz w:val="22"/>
          <w:szCs w:val="22"/>
          <w:highlight w:val="lightGray"/>
        </w:rPr>
        <w:t>*</w:t>
      </w:r>
      <w:r w:rsidR="002F0D4B" w:rsidRPr="00DB4491">
        <w:rPr>
          <w:color w:val="008000"/>
          <w:sz w:val="22"/>
          <w:szCs w:val="22"/>
        </w:rPr>
        <w:t>.</w:t>
      </w:r>
    </w:p>
    <w:p w:rsidR="00B442AB" w:rsidRPr="00DB4491" w:rsidRDefault="00B442AB" w:rsidP="00B442AB">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4.9</w:t>
      </w:r>
      <w:r>
        <w:rPr>
          <w:b/>
          <w:bCs/>
          <w:sz w:val="22"/>
          <w:szCs w:val="22"/>
        </w:rPr>
        <w:tab/>
        <w:t>Predávkovanie</w:t>
      </w:r>
    </w:p>
    <w:p w:rsidR="0096476F" w:rsidRPr="00DB4491" w:rsidRDefault="0096476F"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sz w:val="22"/>
          <w:szCs w:val="22"/>
        </w:rPr>
      </w:pPr>
      <w:r>
        <w:rPr>
          <w:sz w:val="22"/>
          <w:szCs w:val="22"/>
        </w:rPr>
        <w:t>V štúdiách so zdravými dobrovoľníkmi boli po podaní jednorazovej dávky do 800 mg nežiaduce účinky podobné ako pri podaní nižších dávok, ale vyskytovali sa častejšie a boli závažnejšie. Dávky 200 mg neviedli k väčšej účinnosti, ale viedli k vyššiemu výskytu nežiaducich účinkov (bolesť hlavy, návaly, závrat, dyspepsia, nazálna kongescia, zmena videnia).</w:t>
      </w:r>
    </w:p>
    <w:p w:rsidR="0096476F" w:rsidRPr="00DB4491" w:rsidRDefault="0096476F"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V prípade predávkovania sa majú podľa potreby zaviesť štandardné podporné opatrenia. Keďže sildenafil je pevne viazaný na bielkoviny plazmy a neeliminuje sa močom, nie je pravdepodobné, že by renálna dialýza mala urýchliť klírens sildenafilu.</w:t>
      </w:r>
    </w:p>
    <w:p w:rsidR="0096476F" w:rsidRPr="00DB4491" w:rsidRDefault="0096476F" w:rsidP="002379F8">
      <w:pPr>
        <w:autoSpaceDE w:val="0"/>
        <w:autoSpaceDN w:val="0"/>
        <w:adjustRightInd w:val="0"/>
        <w:jc w:val="both"/>
        <w:rPr>
          <w:sz w:val="22"/>
          <w:szCs w:val="22"/>
        </w:rPr>
      </w:pPr>
    </w:p>
    <w:p w:rsidR="00C80631" w:rsidRPr="00DB4491" w:rsidRDefault="00C80631" w:rsidP="002379F8">
      <w:pPr>
        <w:autoSpaceDE w:val="0"/>
        <w:autoSpaceDN w:val="0"/>
        <w:adjustRightInd w:val="0"/>
        <w:jc w:val="both"/>
        <w:rPr>
          <w:sz w:val="22"/>
          <w:szCs w:val="22"/>
        </w:rPr>
      </w:pPr>
    </w:p>
    <w:p w:rsidR="002379F8" w:rsidRPr="00DB4491" w:rsidRDefault="001C0D5A" w:rsidP="00C41030">
      <w:pPr>
        <w:keepNext/>
        <w:autoSpaceDE w:val="0"/>
        <w:autoSpaceDN w:val="0"/>
        <w:adjustRightInd w:val="0"/>
        <w:jc w:val="both"/>
        <w:rPr>
          <w:b/>
          <w:bCs/>
          <w:sz w:val="22"/>
          <w:szCs w:val="22"/>
        </w:rPr>
      </w:pPr>
      <w:r>
        <w:rPr>
          <w:b/>
          <w:bCs/>
          <w:sz w:val="22"/>
          <w:szCs w:val="22"/>
        </w:rPr>
        <w:t>5.</w:t>
      </w:r>
      <w:r>
        <w:rPr>
          <w:b/>
          <w:bCs/>
          <w:sz w:val="22"/>
          <w:szCs w:val="22"/>
        </w:rPr>
        <w:tab/>
        <w:t>FARMAKOLOGICKÉ VLASTNOSTI</w:t>
      </w:r>
    </w:p>
    <w:p w:rsidR="0096476F" w:rsidRPr="00DB4491" w:rsidRDefault="0096476F" w:rsidP="00C41030">
      <w:pPr>
        <w:keepNext/>
        <w:autoSpaceDE w:val="0"/>
        <w:autoSpaceDN w:val="0"/>
        <w:adjustRightInd w:val="0"/>
        <w:jc w:val="both"/>
        <w:rPr>
          <w:b/>
          <w:bCs/>
          <w:sz w:val="22"/>
          <w:szCs w:val="22"/>
        </w:rPr>
      </w:pPr>
    </w:p>
    <w:p w:rsidR="002379F8" w:rsidRPr="00DB4491" w:rsidRDefault="001C0D5A" w:rsidP="00C41030">
      <w:pPr>
        <w:keepNext/>
        <w:autoSpaceDE w:val="0"/>
        <w:autoSpaceDN w:val="0"/>
        <w:adjustRightInd w:val="0"/>
        <w:jc w:val="both"/>
        <w:rPr>
          <w:b/>
          <w:bCs/>
          <w:sz w:val="22"/>
          <w:szCs w:val="22"/>
        </w:rPr>
      </w:pPr>
      <w:r>
        <w:rPr>
          <w:b/>
          <w:bCs/>
          <w:sz w:val="22"/>
          <w:szCs w:val="22"/>
        </w:rPr>
        <w:t>5.1</w:t>
      </w:r>
      <w:r>
        <w:rPr>
          <w:b/>
          <w:bCs/>
          <w:sz w:val="22"/>
          <w:szCs w:val="22"/>
        </w:rPr>
        <w:tab/>
        <w:t>Farmakodynamické vlastnosti</w:t>
      </w:r>
    </w:p>
    <w:p w:rsidR="0096476F" w:rsidRPr="00DB4491" w:rsidRDefault="0096476F" w:rsidP="00C41030">
      <w:pPr>
        <w:keepNext/>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sz w:val="22"/>
          <w:szCs w:val="22"/>
        </w:rPr>
      </w:pPr>
      <w:r>
        <w:rPr>
          <w:sz w:val="22"/>
          <w:szCs w:val="22"/>
        </w:rPr>
        <w:t>Farmakoterapeutická skupina: lieky určené na liečbu erektilnej dysfunkcie</w:t>
      </w:r>
      <w:r>
        <w:t xml:space="preserve">, </w:t>
      </w:r>
      <w:r>
        <w:rPr>
          <w:sz w:val="22"/>
          <w:szCs w:val="22"/>
        </w:rPr>
        <w:t xml:space="preserve"> ATC kód: G04BE03</w:t>
      </w:r>
    </w:p>
    <w:p w:rsidR="0096476F" w:rsidRPr="00DB4491" w:rsidRDefault="0096476F" w:rsidP="002379F8">
      <w:pPr>
        <w:autoSpaceDE w:val="0"/>
        <w:autoSpaceDN w:val="0"/>
        <w:adjustRightInd w:val="0"/>
        <w:jc w:val="both"/>
        <w:rPr>
          <w:sz w:val="22"/>
          <w:szCs w:val="22"/>
        </w:rPr>
      </w:pPr>
    </w:p>
    <w:p w:rsidR="008B16EA" w:rsidRPr="00DB4491" w:rsidRDefault="001C0D5A" w:rsidP="002379F8">
      <w:pPr>
        <w:autoSpaceDE w:val="0"/>
        <w:autoSpaceDN w:val="0"/>
        <w:adjustRightInd w:val="0"/>
        <w:jc w:val="both"/>
        <w:rPr>
          <w:i/>
          <w:sz w:val="22"/>
          <w:szCs w:val="22"/>
        </w:rPr>
      </w:pPr>
      <w:r>
        <w:rPr>
          <w:i/>
          <w:sz w:val="22"/>
          <w:szCs w:val="22"/>
        </w:rPr>
        <w:t>Mechanizmus účinku</w:t>
      </w:r>
    </w:p>
    <w:p w:rsidR="002379F8" w:rsidRPr="00DB4491" w:rsidRDefault="001C0D5A" w:rsidP="002379F8">
      <w:pPr>
        <w:autoSpaceDE w:val="0"/>
        <w:autoSpaceDN w:val="0"/>
        <w:adjustRightInd w:val="0"/>
        <w:jc w:val="both"/>
        <w:rPr>
          <w:sz w:val="22"/>
          <w:szCs w:val="22"/>
        </w:rPr>
      </w:pPr>
      <w:r>
        <w:rPr>
          <w:sz w:val="22"/>
          <w:szCs w:val="22"/>
        </w:rPr>
        <w:t>Sildenafil sa používa na perorálnu formu liečby erektilnej dysfunkcie. Za prirodzených podmienok, t.j. po sexuálnej stimulácii, obnovuje narušenú erektilnú funkciu zvýšením prítoku krvi do penisu.</w:t>
      </w:r>
    </w:p>
    <w:p w:rsidR="002379F8" w:rsidRPr="00DB4491" w:rsidRDefault="002379F8" w:rsidP="002379F8">
      <w:pPr>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 xml:space="preserve">Fyziologický mechanizmus, ktorý je zodpovedný za erekciu penisu, zahrňuje uvoľňovanie oxidu dusnatého (NO) v kavernóznom telese penisu počas sexuálnej stimulácie. Oxid dusnatý potom </w:t>
      </w:r>
      <w:r>
        <w:rPr>
          <w:sz w:val="22"/>
          <w:szCs w:val="22"/>
        </w:rPr>
        <w:lastRenderedPageBreak/>
        <w:t>aktivuje enzým guanylátcyklázu, čo nakoniec vedie ku zvýšeniu koncentrácie cyklického guanozínmonofosfátu (cGMP) a relaxácii hladkých svalov v kavernóznom telese, čo umožní prítok krvi.</w:t>
      </w:r>
    </w:p>
    <w:p w:rsidR="0096476F" w:rsidRPr="00DB4491" w:rsidRDefault="0096476F"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Sildenafil je silný a selektívny inhibítor cGMP špecifickej fosfodiesterázy typu 5 (PDE5) v kavernóznom telese, kde je PDE5 zodpovedná za degradáciu cGMP. Účinok sildenafilu na erekciu je založený na periférnom pôsobení. Sildenafil nemá priamy relaxačný účinok na izolované humánne kavernózne teleso, ale účinne zvyšuje relaxačný účinok oxidu dusnatého (NO) na toto tkanivo. Ak je aktivovaná metabolická cesta NO/cGMP, ako je to v prípade sexuálnej stimulácie, tak inhibícia PDE5 účinkom sildenafilu vedie k zvýšeniu koncentrácie cGMP v kavernóznom telese. Preto dochádza k očakávanému priaznivému farmakologickému účinku sildenafilu iba v prípade sexuálnej stimulácie.</w:t>
      </w:r>
    </w:p>
    <w:p w:rsidR="00BF2919" w:rsidRPr="00DB4491" w:rsidRDefault="00BF2919" w:rsidP="002379F8">
      <w:pPr>
        <w:autoSpaceDE w:val="0"/>
        <w:autoSpaceDN w:val="0"/>
        <w:adjustRightInd w:val="0"/>
        <w:jc w:val="both"/>
        <w:rPr>
          <w:sz w:val="22"/>
          <w:szCs w:val="22"/>
        </w:rPr>
      </w:pPr>
    </w:p>
    <w:p w:rsidR="0096476F" w:rsidRPr="00DB4491" w:rsidRDefault="001C0D5A" w:rsidP="002379F8">
      <w:pPr>
        <w:autoSpaceDE w:val="0"/>
        <w:autoSpaceDN w:val="0"/>
        <w:adjustRightInd w:val="0"/>
        <w:jc w:val="both"/>
        <w:rPr>
          <w:i/>
          <w:sz w:val="22"/>
          <w:szCs w:val="22"/>
        </w:rPr>
      </w:pPr>
      <w:r>
        <w:rPr>
          <w:i/>
          <w:sz w:val="22"/>
          <w:szCs w:val="22"/>
        </w:rPr>
        <w:t>Farmakodynamické účinky</w:t>
      </w:r>
    </w:p>
    <w:p w:rsidR="002379F8" w:rsidRPr="00DB4491" w:rsidRDefault="001C0D5A" w:rsidP="002379F8">
      <w:pPr>
        <w:autoSpaceDE w:val="0"/>
        <w:autoSpaceDN w:val="0"/>
        <w:adjustRightInd w:val="0"/>
        <w:jc w:val="both"/>
        <w:rPr>
          <w:sz w:val="22"/>
          <w:szCs w:val="22"/>
        </w:rPr>
      </w:pPr>
      <w:r>
        <w:rPr>
          <w:sz w:val="22"/>
          <w:szCs w:val="22"/>
        </w:rPr>
        <w:t xml:space="preserve">Štúdie </w:t>
      </w:r>
      <w:r>
        <w:rPr>
          <w:i/>
          <w:iCs/>
          <w:sz w:val="22"/>
          <w:szCs w:val="22"/>
        </w:rPr>
        <w:t xml:space="preserve">in vitro </w:t>
      </w:r>
      <w:r>
        <w:rPr>
          <w:sz w:val="22"/>
          <w:szCs w:val="22"/>
        </w:rPr>
        <w:t>preukázali, že sildenafil je selektívny pre PDE5, ktorá sa podieľa na procese erekcie. Jeho účinok je výraznejší na PDE5 ako na ostatné známe fosfodiesterázy. Sildenafil je 10-krát selektívnejší pre PDE5 ako pre PDE6, ktorá sa podieľa na fototransdukcii v retine. Pri maximálnych odporučených dávkach má 80-krát vyššiu selektivitu pre PDE5 než pre PDE1 a viac ako 700-krát vyššiu selektivitu pre PDE5 než pre PDE2, 3, 4, 7, 8, 9, 10 a 11. Obzvlášť, sildenafil má 4000-krát vyššiu selektivitu pre PDE5 ako pre PDE3, cyklický adenozínmonofosfát (cAMP) špecifickú izoformu fosfodiesterázy, ktorá sa podieľa na kontrole kontraktility srdcového svalu.</w:t>
      </w:r>
    </w:p>
    <w:p w:rsidR="00663AE2" w:rsidRPr="00DB4491" w:rsidRDefault="00663AE2" w:rsidP="002379F8">
      <w:pPr>
        <w:autoSpaceDE w:val="0"/>
        <w:autoSpaceDN w:val="0"/>
        <w:adjustRightInd w:val="0"/>
        <w:jc w:val="both"/>
        <w:rPr>
          <w:sz w:val="22"/>
          <w:szCs w:val="22"/>
        </w:rPr>
      </w:pPr>
    </w:p>
    <w:p w:rsidR="00947A0A" w:rsidRPr="00DB4491" w:rsidRDefault="001C0D5A" w:rsidP="002379F8">
      <w:pPr>
        <w:autoSpaceDE w:val="0"/>
        <w:autoSpaceDN w:val="0"/>
        <w:adjustRightInd w:val="0"/>
        <w:jc w:val="both"/>
        <w:rPr>
          <w:i/>
          <w:sz w:val="22"/>
          <w:szCs w:val="22"/>
        </w:rPr>
      </w:pPr>
      <w:r>
        <w:rPr>
          <w:i/>
          <w:sz w:val="22"/>
          <w:szCs w:val="22"/>
        </w:rPr>
        <w:t>Klinická účinnosť a bezpečnosť</w:t>
      </w:r>
    </w:p>
    <w:p w:rsidR="002379F8" w:rsidRPr="00DB4491" w:rsidRDefault="001C0D5A" w:rsidP="002379F8">
      <w:pPr>
        <w:autoSpaceDE w:val="0"/>
        <w:autoSpaceDN w:val="0"/>
        <w:adjustRightInd w:val="0"/>
        <w:jc w:val="both"/>
        <w:rPr>
          <w:sz w:val="22"/>
          <w:szCs w:val="22"/>
        </w:rPr>
      </w:pPr>
      <w:r>
        <w:rPr>
          <w:sz w:val="22"/>
          <w:szCs w:val="22"/>
        </w:rPr>
        <w:t>Dve klinické štúdie sa špeciálne zaoberali tým, aby sa určil časový úsek po podaní dávky sildenafilu, počas ktorého dochádza k erekcii ako odpovedi na sexuálnu stimuláciu. V štúdii s falopletyzmografiou (RigiScan) u pacientov pri podávaní sildenafilu nalačno bol priemerný čas po dosiahnutie erekcie u tých, ktorí dosiahli erekciu so 60 % rigiditou (dostačujúci stupeň rigidity na vykonanie pohlavného styku) 25 minút (rozsah 12 – 37 minút). V druhej štúdii, v ktorej sa tiež používal RigiScan, bol sildenafil schopný vyvolať erekciu ako odpoveď na sexuálnu stimuláciu ešte 4 – 5 hodín po podaní dávky.</w:t>
      </w:r>
    </w:p>
    <w:p w:rsidR="00663AE2" w:rsidRPr="00DB4491" w:rsidRDefault="00663AE2"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Sildenafil spôsobuje mierny a prechodný pokles tlaku krvi, vo väčšine prípadov bez klinického významu. Priemerné maximálne zníženie systolického tlaku krvi v ľahu po podaní 100 mg sildenafilu perorálne bolo 8,4 mmHg. Korešpondujúca zmena diastolického tlaku krvi v ľahu bola 5,5 mmHg. Toto zníženie hodnôt tlaku krvi je v súlade s vazodilatačným účinkom sildenafilu, pravdepodobne v dôsledku zvýšenia cGMP v hladkých svaloch ciev. Podávanie jednorazových dávok až do 100 mg u zdravých dobrovoľníkov neviedlo k žiadnemu klinicky relevantnému účinku na EKG.</w:t>
      </w:r>
    </w:p>
    <w:p w:rsidR="00663AE2" w:rsidRPr="00DB4491" w:rsidRDefault="00663AE2"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V štúdii zameranej na hemodynamické účinky jednorazovej perorálnej dávky 100 mg sildenafilu u 14 pacientov s ťažkou koronárnou artériovou chorobou (CAD) (&gt; 70 % stenóza aspoň jednej koronárnej artérie) poklesol stredný kľudový systolický a diastolický krvný tlak o 7 % resp. o 6 % v porovnaní s východiskovými hodnotami. Stredný pľúcny systolický tlak krvi poklesol o 9 %. Sildenafil nemal vplyv na srdcový výdaj a neviedol ku zhoršeniu krvného prietoku cez stenózne koronárne artérie.</w:t>
      </w:r>
    </w:p>
    <w:p w:rsidR="00663AE2" w:rsidRPr="00DB4491" w:rsidRDefault="00663AE2"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Pri porovnaní sildenafilu s placebom v dvojito-zaslepenej placebom kontrolovanej klinickej štúdii porovnávajúcej reakciu na fyzickú záťaž u 144 pacientov s erektilnou dysfunkciou a chronickou stabilnou anginou pectoris, ktorí pravidelne užívali antianginóznu terapiu (okrem nitrátov), sa nepreukázali žiadne klinicky relevantné rozdiely v čase do objavenia sa príznakov anginy pectoris.</w:t>
      </w:r>
    </w:p>
    <w:p w:rsidR="00663AE2" w:rsidRPr="00DB4491" w:rsidRDefault="00663AE2"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U niektorých pacientov sa jednu hodinu po podaní dávky 100 mg sildenafilu pri použití Farnsworth</w:t>
      </w:r>
      <w:r w:rsidR="00DB4491">
        <w:rPr>
          <w:sz w:val="22"/>
          <w:szCs w:val="22"/>
        </w:rPr>
        <w:t>ovho</w:t>
      </w:r>
      <w:r w:rsidR="002379F8" w:rsidRPr="00DB4491">
        <w:rPr>
          <w:sz w:val="22"/>
          <w:szCs w:val="22"/>
        </w:rPr>
        <w:t>-Munsellovho testu so 100 farebnými odtieňmi pozorovali mierne a prechodné rozdiely</w:t>
      </w:r>
      <w:r w:rsidR="00663AE2" w:rsidRPr="00DB4491">
        <w:rPr>
          <w:sz w:val="22"/>
          <w:szCs w:val="22"/>
        </w:rPr>
        <w:t xml:space="preserve"> </w:t>
      </w:r>
      <w:r w:rsidR="002379F8" w:rsidRPr="00DB4491">
        <w:rPr>
          <w:sz w:val="22"/>
          <w:szCs w:val="22"/>
        </w:rPr>
        <w:t>v rozlišovaní farieb (modrá/zelená). Dve hodiny po podaní sa nezaznamenali už žiadne účinky. Možný</w:t>
      </w:r>
      <w:r w:rsidR="00663AE2" w:rsidRPr="00DB4491">
        <w:rPr>
          <w:sz w:val="22"/>
          <w:szCs w:val="22"/>
        </w:rPr>
        <w:t xml:space="preserve"> </w:t>
      </w:r>
      <w:r w:rsidR="002379F8" w:rsidRPr="00DB4491">
        <w:rPr>
          <w:sz w:val="22"/>
          <w:szCs w:val="22"/>
        </w:rPr>
        <w:t>mechanizmus tejto zmeny v rozlišovaní farieb súvisí s inhibíciou PDE6, ktorý hrá úlohu vo</w:t>
      </w:r>
      <w:r>
        <w:rPr>
          <w:sz w:val="22"/>
          <w:szCs w:val="22"/>
        </w:rPr>
        <w:t xml:space="preserve"> fototransdukčnej kaskáde retiny. Sildenafil neovplyvňuje ani ostrosť, ani kontrast videnia. V placebom kontrolovanej štúdii s malým počtom pacientov s dokumentovaným včasným štádiom vekom podmienenej makulárnej degenerácie (n = 9) neboli vo vykonaných testoch videnia (ostrosť </w:t>
      </w:r>
      <w:r>
        <w:rPr>
          <w:sz w:val="22"/>
          <w:szCs w:val="22"/>
        </w:rPr>
        <w:lastRenderedPageBreak/>
        <w:t>videnia, Amslerova mriežka, rozlíšenie farieb pri simulovanom dopravnom osvetlení, Humpreyho perimeter a fotostres) dokázané žiadne významné zmeny vplyvom sildenafilu (jednorazová dávka 100 mg).</w:t>
      </w:r>
    </w:p>
    <w:p w:rsidR="00663AE2" w:rsidRPr="00DB4491" w:rsidRDefault="00663AE2" w:rsidP="002379F8">
      <w:pPr>
        <w:autoSpaceDE w:val="0"/>
        <w:autoSpaceDN w:val="0"/>
        <w:adjustRightInd w:val="0"/>
        <w:jc w:val="both"/>
        <w:rPr>
          <w:sz w:val="22"/>
          <w:szCs w:val="22"/>
        </w:rPr>
      </w:pPr>
    </w:p>
    <w:p w:rsidR="006220F5" w:rsidRPr="00DB4491" w:rsidRDefault="001C0D5A" w:rsidP="002379F8">
      <w:pPr>
        <w:autoSpaceDE w:val="0"/>
        <w:autoSpaceDN w:val="0"/>
        <w:adjustRightInd w:val="0"/>
        <w:jc w:val="both"/>
        <w:rPr>
          <w:sz w:val="22"/>
          <w:szCs w:val="22"/>
        </w:rPr>
      </w:pPr>
      <w:r>
        <w:rPr>
          <w:sz w:val="22"/>
          <w:szCs w:val="22"/>
        </w:rPr>
        <w:t>Po podaní jednorazovej perorálnej dávky 100 mg sildenafilu zdravým dobrovoľníkom sa nezaznamenal žiaden vplyv na motilitu alebo na morfológiu spermií.</w:t>
      </w:r>
    </w:p>
    <w:p w:rsidR="00947A0A" w:rsidRPr="00DB4491" w:rsidRDefault="00947A0A"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i/>
          <w:iCs/>
          <w:sz w:val="22"/>
          <w:szCs w:val="22"/>
        </w:rPr>
      </w:pPr>
      <w:r>
        <w:rPr>
          <w:i/>
          <w:iCs/>
          <w:sz w:val="22"/>
          <w:szCs w:val="22"/>
        </w:rPr>
        <w:t xml:space="preserve">Ďalšie informácie o klinických štúdiách </w:t>
      </w:r>
    </w:p>
    <w:p w:rsidR="000D70DB" w:rsidRPr="00DB4491" w:rsidRDefault="001C0D5A" w:rsidP="000D70DB">
      <w:pPr>
        <w:autoSpaceDE w:val="0"/>
        <w:autoSpaceDN w:val="0"/>
        <w:adjustRightInd w:val="0"/>
        <w:jc w:val="both"/>
        <w:rPr>
          <w:sz w:val="22"/>
          <w:szCs w:val="22"/>
        </w:rPr>
      </w:pPr>
      <w:r>
        <w:rPr>
          <w:sz w:val="22"/>
          <w:szCs w:val="22"/>
        </w:rPr>
        <w:t>V klinických štúdiách sa sildenafil podával viac ako 8000 pacientom vo veku 19 – 87 rokov.</w:t>
      </w:r>
    </w:p>
    <w:p w:rsidR="000D70DB" w:rsidRPr="00DB4491" w:rsidRDefault="001C0D5A" w:rsidP="000D70DB">
      <w:pPr>
        <w:autoSpaceDE w:val="0"/>
        <w:autoSpaceDN w:val="0"/>
        <w:adjustRightInd w:val="0"/>
        <w:jc w:val="both"/>
        <w:rPr>
          <w:sz w:val="22"/>
          <w:szCs w:val="22"/>
        </w:rPr>
      </w:pPr>
      <w:r>
        <w:rPr>
          <w:sz w:val="22"/>
          <w:szCs w:val="22"/>
        </w:rPr>
        <w:t>Zastúpené boli nasledovné skupiny pacientov: starší pacienti (19,9 %), pacienti s hypertenziou (30,9 %), diabetes mellitus (20,3 %), ischemickou chorobou srdca (5,8 %), hyperlipidémiou (19,8 %), poranením miechy (0,6 %), depresiou (5,2 %), transuretrálnou resekciou prostaty (3,7 %), pacienti po radikálnej prostatektómii (3,3 %). Nasledovné skupiny neboli dostatočne zastúpené alebo boli vyradené z klinických skúšok: pacienti po chirurgickom výkone v oblasti panvy, pacienti po rádioterapii, pacienti s ťažkým poškodením funkcie obličiek alebo pečene a pacienti s niektorými kardiovaskulárnymi poruchami (pozri časť 4.3).</w:t>
      </w:r>
    </w:p>
    <w:p w:rsidR="0082454C" w:rsidRPr="00DB4491" w:rsidRDefault="0082454C"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Podiel pacientov, ktorí v štúdiách s fixnými dávkami udávali, že liečba viedla k zlepšeniu erekcie, bol 62 % (25 mg), 74 % (50 mg) a 82 % (100 mg) v porovnaní s 25 % u pacientov, ktorí užívali placebo. V kontrolovaných klinických štúdiách bolo prerušenie liečby sildenafilom zriedkavé a v podobnej miere ako u pacientov, ktorí užívali placebo. Zhrnutie údajov zo všetkých štúdií ukazuje, že podiel pacientov, ktorí udávali zlepšenie po podaní sildenafilu bol nasledujúci: psychogénna erektilná dysfunkcia (84 %), zmiešaná erektilná dysfunkcia (77 %), organická erektilná dysfunkcia (68 %), staršie osoby (67 %), diabetes mellitus (59 %), ischemická choroba srdca (69 %), hypertenzia (68 %), TURP (61 %), radikálna prostatektómia (43 %), poranenie miechy (83 %), depresia (75 %). Bezpečnosť a účinnosť sildenafilu bola preukázaná v dlhodobých štúdiách.</w:t>
      </w:r>
    </w:p>
    <w:p w:rsidR="0082454C" w:rsidRPr="00DB4491" w:rsidRDefault="0082454C" w:rsidP="002379F8">
      <w:pPr>
        <w:autoSpaceDE w:val="0"/>
        <w:autoSpaceDN w:val="0"/>
        <w:adjustRightInd w:val="0"/>
        <w:jc w:val="both"/>
        <w:rPr>
          <w:sz w:val="22"/>
          <w:szCs w:val="22"/>
        </w:rPr>
      </w:pPr>
    </w:p>
    <w:p w:rsidR="00BD7271" w:rsidRPr="00DB4491" w:rsidRDefault="001C0D5A" w:rsidP="002379F8">
      <w:pPr>
        <w:autoSpaceDE w:val="0"/>
        <w:autoSpaceDN w:val="0"/>
        <w:adjustRightInd w:val="0"/>
        <w:jc w:val="both"/>
        <w:rPr>
          <w:i/>
          <w:sz w:val="22"/>
          <w:szCs w:val="22"/>
        </w:rPr>
      </w:pPr>
      <w:r>
        <w:rPr>
          <w:i/>
          <w:sz w:val="22"/>
          <w:szCs w:val="22"/>
        </w:rPr>
        <w:t>Pediatrická populácia</w:t>
      </w:r>
    </w:p>
    <w:p w:rsidR="00BD7271" w:rsidRPr="00DB4491" w:rsidRDefault="001C0D5A" w:rsidP="00BD7271">
      <w:pPr>
        <w:autoSpaceDE w:val="0"/>
        <w:autoSpaceDN w:val="0"/>
        <w:adjustRightInd w:val="0"/>
        <w:jc w:val="both"/>
        <w:rPr>
          <w:sz w:val="22"/>
          <w:szCs w:val="22"/>
        </w:rPr>
      </w:pPr>
      <w:r>
        <w:rPr>
          <w:sz w:val="22"/>
          <w:szCs w:val="22"/>
        </w:rPr>
        <w:t>Európska agentúra pre lieky udelila výnimku z povinnosti predložiť výsledky štúdií s liekom sildenafil vo všetkých podskupinách pediatrickej populácie na liečbu erektilnej dysfunkcie (pozri časť 4.2 ).</w:t>
      </w:r>
    </w:p>
    <w:p w:rsidR="00BD7271" w:rsidRPr="00DB4491" w:rsidRDefault="00BD7271" w:rsidP="002379F8">
      <w:pPr>
        <w:autoSpaceDE w:val="0"/>
        <w:autoSpaceDN w:val="0"/>
        <w:adjustRightInd w:val="0"/>
        <w:jc w:val="both"/>
        <w:rPr>
          <w:sz w:val="22"/>
          <w:szCs w:val="22"/>
        </w:rPr>
      </w:pPr>
    </w:p>
    <w:p w:rsidR="002379F8" w:rsidRPr="00DB4491" w:rsidRDefault="001C0D5A" w:rsidP="00C41030">
      <w:pPr>
        <w:keepNext/>
        <w:autoSpaceDE w:val="0"/>
        <w:autoSpaceDN w:val="0"/>
        <w:adjustRightInd w:val="0"/>
        <w:jc w:val="both"/>
        <w:rPr>
          <w:b/>
          <w:bCs/>
          <w:sz w:val="22"/>
          <w:szCs w:val="22"/>
        </w:rPr>
      </w:pPr>
      <w:r>
        <w:rPr>
          <w:b/>
          <w:bCs/>
          <w:sz w:val="22"/>
          <w:szCs w:val="22"/>
        </w:rPr>
        <w:t>5.2</w:t>
      </w:r>
      <w:r>
        <w:rPr>
          <w:b/>
          <w:bCs/>
          <w:sz w:val="22"/>
          <w:szCs w:val="22"/>
        </w:rPr>
        <w:tab/>
        <w:t>Farmakokinetické vlastnosti</w:t>
      </w:r>
    </w:p>
    <w:p w:rsidR="0082454C" w:rsidRPr="00DB4491" w:rsidRDefault="0082454C" w:rsidP="00C41030">
      <w:pPr>
        <w:keepNext/>
        <w:autoSpaceDE w:val="0"/>
        <w:autoSpaceDN w:val="0"/>
        <w:adjustRightInd w:val="0"/>
        <w:jc w:val="both"/>
        <w:rPr>
          <w:b/>
          <w:bCs/>
          <w:sz w:val="22"/>
          <w:szCs w:val="22"/>
        </w:rPr>
      </w:pPr>
    </w:p>
    <w:p w:rsidR="002379F8" w:rsidRPr="00DB4491" w:rsidRDefault="001C0D5A" w:rsidP="00C41030">
      <w:pPr>
        <w:keepNext/>
        <w:autoSpaceDE w:val="0"/>
        <w:autoSpaceDN w:val="0"/>
        <w:adjustRightInd w:val="0"/>
        <w:jc w:val="both"/>
        <w:rPr>
          <w:i/>
          <w:iCs/>
          <w:sz w:val="22"/>
          <w:szCs w:val="22"/>
        </w:rPr>
      </w:pPr>
      <w:r>
        <w:rPr>
          <w:i/>
          <w:iCs/>
          <w:sz w:val="22"/>
          <w:szCs w:val="22"/>
        </w:rPr>
        <w:t>Absorpcia</w:t>
      </w:r>
    </w:p>
    <w:p w:rsidR="002379F8" w:rsidRPr="00DB4491" w:rsidRDefault="001C0D5A" w:rsidP="002379F8">
      <w:pPr>
        <w:autoSpaceDE w:val="0"/>
        <w:autoSpaceDN w:val="0"/>
        <w:adjustRightInd w:val="0"/>
        <w:jc w:val="both"/>
        <w:rPr>
          <w:sz w:val="22"/>
          <w:szCs w:val="22"/>
        </w:rPr>
      </w:pPr>
      <w:r>
        <w:rPr>
          <w:sz w:val="22"/>
          <w:szCs w:val="22"/>
        </w:rPr>
        <w:t xml:space="preserve">Sildenafil sa rýchlo vstrebáva. Maximálne plazmatické koncentrácie sa dosahujú 30 – 120 minút (v priemere 60 minút) po perorálnom užití lieku nalačno. Priemerná absolútna perorálna biologická dostupnosť je 41 % (rozsah 25 – 63 %). AUC a </w:t>
      </w:r>
      <w:proofErr w:type="spellStart"/>
      <w:r w:rsidR="00E427D1">
        <w:rPr>
          <w:sz w:val="22"/>
          <w:szCs w:val="22"/>
        </w:rPr>
        <w:t>c</w:t>
      </w:r>
      <w:r w:rsidR="00E427D1" w:rsidRPr="00DB4491">
        <w:rPr>
          <w:sz w:val="22"/>
          <w:szCs w:val="22"/>
          <w:vertAlign w:val="subscript"/>
        </w:rPr>
        <w:t>max</w:t>
      </w:r>
      <w:proofErr w:type="spellEnd"/>
      <w:r w:rsidR="00E427D1" w:rsidRPr="00DB4491">
        <w:rPr>
          <w:sz w:val="22"/>
          <w:szCs w:val="22"/>
        </w:rPr>
        <w:t xml:space="preserve"> </w:t>
      </w:r>
      <w:r w:rsidR="002379F8" w:rsidRPr="00DB4491">
        <w:rPr>
          <w:sz w:val="22"/>
          <w:szCs w:val="22"/>
        </w:rPr>
        <w:t>sa po perorálnom podaní odporučených dávok</w:t>
      </w:r>
      <w:r>
        <w:rPr>
          <w:sz w:val="22"/>
          <w:szCs w:val="22"/>
        </w:rPr>
        <w:t xml:space="preserve"> sildenafilu (25 – 100 mg) zvyšujú proporcionálne s dávkou.</w:t>
      </w:r>
    </w:p>
    <w:p w:rsidR="0082454C" w:rsidRPr="00DB4491" w:rsidRDefault="0082454C"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Ak sa sildenafil užije súčasne s jedlom, tak sa rýchlosť absorpcie zníži, pričom priemerné oneskorenie t</w:t>
      </w:r>
      <w:r>
        <w:rPr>
          <w:sz w:val="22"/>
          <w:szCs w:val="22"/>
          <w:vertAlign w:val="subscript"/>
        </w:rPr>
        <w:t>max</w:t>
      </w:r>
      <w:r>
        <w:rPr>
          <w:sz w:val="22"/>
          <w:szCs w:val="22"/>
        </w:rPr>
        <w:t xml:space="preserve"> je 60 minút a priemerné zníženie </w:t>
      </w:r>
      <w:proofErr w:type="spellStart"/>
      <w:r w:rsidR="00E427D1">
        <w:rPr>
          <w:sz w:val="22"/>
          <w:szCs w:val="22"/>
        </w:rPr>
        <w:t>c</w:t>
      </w:r>
      <w:r w:rsidR="00E427D1" w:rsidRPr="00DB4491">
        <w:rPr>
          <w:sz w:val="22"/>
          <w:szCs w:val="22"/>
          <w:vertAlign w:val="subscript"/>
        </w:rPr>
        <w:t>max</w:t>
      </w:r>
      <w:proofErr w:type="spellEnd"/>
      <w:r w:rsidR="00E427D1" w:rsidRPr="00DB4491">
        <w:rPr>
          <w:sz w:val="22"/>
          <w:szCs w:val="22"/>
        </w:rPr>
        <w:t xml:space="preserve"> </w:t>
      </w:r>
      <w:r w:rsidR="002379F8" w:rsidRPr="00DB4491">
        <w:rPr>
          <w:sz w:val="22"/>
          <w:szCs w:val="22"/>
        </w:rPr>
        <w:t>o</w:t>
      </w:r>
      <w:r w:rsidR="007A3046" w:rsidRPr="00DB4491">
        <w:rPr>
          <w:sz w:val="22"/>
          <w:szCs w:val="22"/>
        </w:rPr>
        <w:t> </w:t>
      </w:r>
      <w:r w:rsidR="002379F8" w:rsidRPr="00DB4491">
        <w:rPr>
          <w:sz w:val="22"/>
          <w:szCs w:val="22"/>
        </w:rPr>
        <w:t>29</w:t>
      </w:r>
      <w:r w:rsidR="007A3046" w:rsidRPr="00DB4491">
        <w:rPr>
          <w:sz w:val="22"/>
          <w:szCs w:val="22"/>
        </w:rPr>
        <w:t> </w:t>
      </w:r>
      <w:r>
        <w:rPr>
          <w:sz w:val="22"/>
          <w:szCs w:val="22"/>
        </w:rPr>
        <w:t>%.</w:t>
      </w:r>
    </w:p>
    <w:p w:rsidR="0082454C" w:rsidRPr="00DB4491" w:rsidRDefault="0082454C" w:rsidP="002379F8">
      <w:pPr>
        <w:autoSpaceDE w:val="0"/>
        <w:autoSpaceDN w:val="0"/>
        <w:adjustRightInd w:val="0"/>
        <w:jc w:val="both"/>
        <w:rPr>
          <w:sz w:val="22"/>
          <w:szCs w:val="22"/>
        </w:rPr>
      </w:pPr>
    </w:p>
    <w:p w:rsidR="002379F8" w:rsidRPr="00DB4491" w:rsidRDefault="001C0D5A" w:rsidP="00C41030">
      <w:pPr>
        <w:keepNext/>
        <w:autoSpaceDE w:val="0"/>
        <w:autoSpaceDN w:val="0"/>
        <w:adjustRightInd w:val="0"/>
        <w:jc w:val="both"/>
        <w:rPr>
          <w:i/>
          <w:iCs/>
          <w:sz w:val="22"/>
          <w:szCs w:val="22"/>
        </w:rPr>
      </w:pPr>
      <w:r>
        <w:rPr>
          <w:i/>
          <w:iCs/>
          <w:sz w:val="22"/>
          <w:szCs w:val="22"/>
        </w:rPr>
        <w:t>Distribúcia</w:t>
      </w:r>
    </w:p>
    <w:p w:rsidR="002379F8" w:rsidRPr="00DB4491" w:rsidRDefault="001C0D5A" w:rsidP="002379F8">
      <w:pPr>
        <w:autoSpaceDE w:val="0"/>
        <w:autoSpaceDN w:val="0"/>
        <w:adjustRightInd w:val="0"/>
        <w:jc w:val="both"/>
        <w:rPr>
          <w:sz w:val="22"/>
          <w:szCs w:val="22"/>
        </w:rPr>
      </w:pPr>
      <w:r>
        <w:rPr>
          <w:sz w:val="22"/>
          <w:szCs w:val="22"/>
        </w:rPr>
        <w:t>Priemerný stabilizovaný distribučný objem (V</w:t>
      </w:r>
      <w:r>
        <w:rPr>
          <w:sz w:val="22"/>
          <w:szCs w:val="22"/>
          <w:vertAlign w:val="subscript"/>
        </w:rPr>
        <w:t>d</w:t>
      </w:r>
      <w:r>
        <w:rPr>
          <w:sz w:val="22"/>
          <w:szCs w:val="22"/>
        </w:rPr>
        <w:t>) sildenafilu je 105 l, čo naznačuje distribúciu do tkanív. Po jednorazovom perorálnom podaní dávky 100 mg dosahuje priemerná maximálna celková plazmatická koncentrácia sildenafilu približne 440 ng/ml (CV 40 %). Keďže sildenafil (a jeho hlavný cirkulujúci metabolit N-desmetyl) sa viaže v 96 % na plazmatické bielkoviny, dosahuje priemerná maximálna plazmatická koncentrácia voľného sildenafilu 18 ng/ml (38 nmol/l). Väzba na bielkoviny nie je závislá od celkových koncentrácií lieku.</w:t>
      </w:r>
    </w:p>
    <w:p w:rsidR="005F55AC" w:rsidRPr="00DB4491" w:rsidRDefault="005F55AC"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sz w:val="22"/>
          <w:szCs w:val="22"/>
        </w:rPr>
      </w:pPr>
      <w:r>
        <w:rPr>
          <w:sz w:val="22"/>
          <w:szCs w:val="22"/>
        </w:rPr>
        <w:t>U zdravých dobrovoľníkov, ktorí užili sildenafil (100 mg jednorazovú dávku), bolo po 90 minútach v ejakuláte menej ako 0,0002 % užitej dávky (priemerne 188 ng).</w:t>
      </w:r>
    </w:p>
    <w:p w:rsidR="005F55AC" w:rsidRPr="00DB4491" w:rsidRDefault="005F55AC" w:rsidP="002379F8">
      <w:pPr>
        <w:autoSpaceDE w:val="0"/>
        <w:autoSpaceDN w:val="0"/>
        <w:adjustRightInd w:val="0"/>
        <w:jc w:val="both"/>
        <w:rPr>
          <w:sz w:val="22"/>
          <w:szCs w:val="22"/>
        </w:rPr>
      </w:pPr>
    </w:p>
    <w:p w:rsidR="00BD7271" w:rsidRPr="00DB4491" w:rsidRDefault="001C0D5A" w:rsidP="00C41030">
      <w:pPr>
        <w:keepNext/>
        <w:autoSpaceDE w:val="0"/>
        <w:autoSpaceDN w:val="0"/>
        <w:adjustRightInd w:val="0"/>
        <w:jc w:val="both"/>
        <w:rPr>
          <w:i/>
          <w:iCs/>
          <w:sz w:val="22"/>
          <w:szCs w:val="22"/>
        </w:rPr>
      </w:pPr>
      <w:r>
        <w:rPr>
          <w:i/>
          <w:iCs/>
          <w:sz w:val="22"/>
          <w:szCs w:val="22"/>
        </w:rPr>
        <w:lastRenderedPageBreak/>
        <w:t xml:space="preserve">Biotransformácia </w:t>
      </w:r>
    </w:p>
    <w:p w:rsidR="002379F8" w:rsidRPr="00DB4491" w:rsidRDefault="001C0D5A" w:rsidP="002379F8">
      <w:pPr>
        <w:autoSpaceDE w:val="0"/>
        <w:autoSpaceDN w:val="0"/>
        <w:adjustRightInd w:val="0"/>
        <w:jc w:val="both"/>
        <w:rPr>
          <w:sz w:val="22"/>
          <w:szCs w:val="22"/>
        </w:rPr>
      </w:pPr>
      <w:r>
        <w:rPr>
          <w:sz w:val="22"/>
          <w:szCs w:val="22"/>
        </w:rPr>
        <w:t xml:space="preserve">Sildenafil je metabolizovaný predovšetkým hepatálnymi mikrozomálnymi izoenzýmami CYP3A4 (hlavná metabolická cesta) a CYP2C9 (vedľajšia metabolická cesta). Hlavný cirkulujúci metabolit sildenafilu je výsledkom N-demetylácie sildenafilu. Tento metabolit má profil selektivity na fosfodiesterázu podobný sildenafilu a účinnosť </w:t>
      </w:r>
      <w:r>
        <w:rPr>
          <w:i/>
          <w:iCs/>
          <w:sz w:val="22"/>
          <w:szCs w:val="22"/>
        </w:rPr>
        <w:t xml:space="preserve">in vitro </w:t>
      </w:r>
      <w:r>
        <w:rPr>
          <w:sz w:val="22"/>
          <w:szCs w:val="22"/>
        </w:rPr>
        <w:t>na PDE5 približne 50 % v porovnaní s materským liečivom. Plazmatické koncentrácie tohto metabolitu zodpovedajú približne 40 % koncentrácie sildenafilu. Metabolit N-desmetyl je ďalej metabolizovaný a terminálny polčas je približne 4 h.</w:t>
      </w:r>
    </w:p>
    <w:p w:rsidR="002379F8" w:rsidRPr="00DB4491" w:rsidRDefault="002379F8" w:rsidP="002379F8">
      <w:pPr>
        <w:autoSpaceDE w:val="0"/>
        <w:autoSpaceDN w:val="0"/>
        <w:adjustRightInd w:val="0"/>
        <w:jc w:val="both"/>
        <w:rPr>
          <w:sz w:val="22"/>
          <w:szCs w:val="22"/>
        </w:rPr>
      </w:pPr>
    </w:p>
    <w:p w:rsidR="002379F8" w:rsidRPr="00DB4491" w:rsidRDefault="001C0D5A" w:rsidP="00C41030">
      <w:pPr>
        <w:keepNext/>
        <w:autoSpaceDE w:val="0"/>
        <w:autoSpaceDN w:val="0"/>
        <w:adjustRightInd w:val="0"/>
        <w:jc w:val="both"/>
        <w:rPr>
          <w:i/>
          <w:iCs/>
          <w:sz w:val="22"/>
          <w:szCs w:val="22"/>
        </w:rPr>
      </w:pPr>
      <w:r>
        <w:rPr>
          <w:i/>
          <w:iCs/>
          <w:sz w:val="22"/>
          <w:szCs w:val="22"/>
        </w:rPr>
        <w:t>Eliminácia</w:t>
      </w:r>
    </w:p>
    <w:p w:rsidR="002379F8" w:rsidRPr="00DB4491" w:rsidRDefault="001C0D5A" w:rsidP="002379F8">
      <w:pPr>
        <w:autoSpaceDE w:val="0"/>
        <w:autoSpaceDN w:val="0"/>
        <w:adjustRightInd w:val="0"/>
        <w:jc w:val="both"/>
        <w:rPr>
          <w:sz w:val="22"/>
          <w:szCs w:val="22"/>
        </w:rPr>
      </w:pPr>
      <w:r>
        <w:rPr>
          <w:sz w:val="22"/>
          <w:szCs w:val="22"/>
        </w:rPr>
        <w:t>Celkový telový klírens sildenafilu je 41 l/h a terminálny fázový polčas 3 – 5 h. Tak po perorálnom, ako aj po intravenóznom podaní sa sildenafil vylučuje vo forme metabolitov predovšetkým do stolice (približne 80 % podanej perorálnej dávky) a v menšej miere do moču (približne 13 % podanej perorálnej dávky).</w:t>
      </w:r>
    </w:p>
    <w:p w:rsidR="005F55AC" w:rsidRPr="00DB4491" w:rsidRDefault="005F55AC" w:rsidP="002379F8">
      <w:pPr>
        <w:autoSpaceDE w:val="0"/>
        <w:autoSpaceDN w:val="0"/>
        <w:adjustRightInd w:val="0"/>
        <w:jc w:val="both"/>
        <w:rPr>
          <w:sz w:val="22"/>
          <w:szCs w:val="22"/>
        </w:rPr>
      </w:pPr>
    </w:p>
    <w:p w:rsidR="002379F8" w:rsidRPr="00DB4491" w:rsidRDefault="001C0D5A" w:rsidP="00C41030">
      <w:pPr>
        <w:keepNext/>
        <w:autoSpaceDE w:val="0"/>
        <w:autoSpaceDN w:val="0"/>
        <w:adjustRightInd w:val="0"/>
        <w:jc w:val="both"/>
        <w:rPr>
          <w:i/>
          <w:iCs/>
          <w:sz w:val="22"/>
          <w:szCs w:val="22"/>
        </w:rPr>
      </w:pPr>
      <w:r>
        <w:rPr>
          <w:i/>
          <w:iCs/>
          <w:sz w:val="22"/>
          <w:szCs w:val="22"/>
        </w:rPr>
        <w:t>Farmakokinetika v špeciálnych skupinách pacientov</w:t>
      </w:r>
    </w:p>
    <w:p w:rsidR="005F55AC" w:rsidRPr="00DB4491" w:rsidRDefault="005F55AC" w:rsidP="00C41030">
      <w:pPr>
        <w:keepNext/>
        <w:autoSpaceDE w:val="0"/>
        <w:autoSpaceDN w:val="0"/>
        <w:adjustRightInd w:val="0"/>
        <w:jc w:val="both"/>
        <w:rPr>
          <w:i/>
          <w:iCs/>
          <w:sz w:val="22"/>
          <w:szCs w:val="22"/>
        </w:rPr>
      </w:pPr>
    </w:p>
    <w:p w:rsidR="002379F8" w:rsidRPr="00DB4491" w:rsidRDefault="001C0D5A" w:rsidP="00C41030">
      <w:pPr>
        <w:keepNext/>
        <w:autoSpaceDE w:val="0"/>
        <w:autoSpaceDN w:val="0"/>
        <w:adjustRightInd w:val="0"/>
        <w:jc w:val="both"/>
        <w:rPr>
          <w:i/>
          <w:iCs/>
          <w:sz w:val="22"/>
          <w:szCs w:val="22"/>
          <w:u w:val="single"/>
        </w:rPr>
      </w:pPr>
      <w:r>
        <w:rPr>
          <w:i/>
          <w:iCs/>
          <w:sz w:val="22"/>
          <w:szCs w:val="22"/>
          <w:u w:val="single"/>
        </w:rPr>
        <w:t>Starší ľudia:</w:t>
      </w:r>
    </w:p>
    <w:p w:rsidR="002379F8" w:rsidRPr="00DB4491" w:rsidRDefault="001C0D5A" w:rsidP="002379F8">
      <w:pPr>
        <w:autoSpaceDE w:val="0"/>
        <w:autoSpaceDN w:val="0"/>
        <w:adjustRightInd w:val="0"/>
        <w:jc w:val="both"/>
        <w:rPr>
          <w:sz w:val="22"/>
          <w:szCs w:val="22"/>
        </w:rPr>
      </w:pPr>
      <w:r>
        <w:rPr>
          <w:sz w:val="22"/>
          <w:szCs w:val="22"/>
        </w:rPr>
        <w:t>U zdravých starších dobrovoľníkov (65-ročných a starších) bol znížený klírens sildenafilu, čo viedlo k zvýšeniu plazmatických koncentrácií sildenafilu a aktívneho N-desmetyl metabolitu o približne 90 % v porovnaní s hodnotami u mladších zdravých dobrovoľníkov (18 – 45-ročných). Vzhľadom na rozdiely vo väzbe na plazmatické bielkoviny, ktoré sú podmienené vekom, bolo zodpovedajúce zvýšenie plazmatických koncentrácií voľného sildenafilu približne 40 %.</w:t>
      </w:r>
    </w:p>
    <w:p w:rsidR="005F55AC" w:rsidRPr="00DB4491" w:rsidRDefault="005F55AC"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i/>
          <w:iCs/>
          <w:sz w:val="22"/>
          <w:szCs w:val="22"/>
          <w:u w:val="single"/>
        </w:rPr>
      </w:pPr>
      <w:r>
        <w:rPr>
          <w:i/>
          <w:iCs/>
          <w:sz w:val="22"/>
          <w:szCs w:val="22"/>
          <w:u w:val="single"/>
        </w:rPr>
        <w:t>Renálna insuficiencia:</w:t>
      </w:r>
    </w:p>
    <w:p w:rsidR="002379F8" w:rsidRPr="00DB4491" w:rsidRDefault="001C0D5A" w:rsidP="002379F8">
      <w:pPr>
        <w:autoSpaceDE w:val="0"/>
        <w:autoSpaceDN w:val="0"/>
        <w:adjustRightInd w:val="0"/>
        <w:jc w:val="both"/>
        <w:rPr>
          <w:sz w:val="22"/>
          <w:szCs w:val="22"/>
        </w:rPr>
      </w:pPr>
      <w:r>
        <w:rPr>
          <w:sz w:val="22"/>
          <w:szCs w:val="22"/>
        </w:rPr>
        <w:t xml:space="preserve">U dobrovoľníkov s miernym a stredne ťažkým poškodením funkcie obličiek (klírens kreatinínu = 30 - 80 ml/min) nebola zmenená farmakokinetika sildenafilu po podaní jednorazovej perorálnej dávky 50 mg. Priemerná AUC a </w:t>
      </w:r>
      <w:proofErr w:type="spellStart"/>
      <w:r w:rsidR="007F7479">
        <w:rPr>
          <w:sz w:val="22"/>
          <w:szCs w:val="22"/>
        </w:rPr>
        <w:t>c</w:t>
      </w:r>
      <w:r w:rsidR="007F7479" w:rsidRPr="00DB4491">
        <w:rPr>
          <w:sz w:val="22"/>
          <w:szCs w:val="22"/>
          <w:vertAlign w:val="subscript"/>
        </w:rPr>
        <w:t>max</w:t>
      </w:r>
      <w:proofErr w:type="spellEnd"/>
      <w:r w:rsidR="007F7479" w:rsidRPr="00DB4491">
        <w:rPr>
          <w:sz w:val="22"/>
          <w:szCs w:val="22"/>
        </w:rPr>
        <w:t xml:space="preserve"> </w:t>
      </w:r>
      <w:r w:rsidR="002379F8" w:rsidRPr="00DB4491">
        <w:rPr>
          <w:sz w:val="22"/>
          <w:szCs w:val="22"/>
        </w:rPr>
        <w:t>N-desmetyl metabolitu sa zvýšila o</w:t>
      </w:r>
      <w:r w:rsidR="00CB010F" w:rsidRPr="00DB4491">
        <w:rPr>
          <w:sz w:val="22"/>
          <w:szCs w:val="22"/>
        </w:rPr>
        <w:t> </w:t>
      </w:r>
      <w:r w:rsidR="002379F8" w:rsidRPr="00DB4491">
        <w:rPr>
          <w:sz w:val="22"/>
          <w:szCs w:val="22"/>
        </w:rPr>
        <w:t>126</w:t>
      </w:r>
      <w:r w:rsidR="00CB010F" w:rsidRPr="00DB4491">
        <w:rPr>
          <w:sz w:val="22"/>
          <w:szCs w:val="22"/>
        </w:rPr>
        <w:t> </w:t>
      </w:r>
      <w:r w:rsidR="002379F8" w:rsidRPr="00DB4491">
        <w:rPr>
          <w:sz w:val="22"/>
          <w:szCs w:val="22"/>
        </w:rPr>
        <w:t>%, resp.</w:t>
      </w:r>
      <w:r>
        <w:rPr>
          <w:sz w:val="22"/>
          <w:szCs w:val="22"/>
        </w:rPr>
        <w:t xml:space="preserve"> o 73 % v porovnaní s dobrovoľníkmi zodpovedajúceho veku bez poškodenia funkcie obličiek. Vzhľadom na vysokú interindividuálnu variabilitu však tieto rozdiely neboli štatisticky signifikantné. U dobrovoľníkov s ťažkým poškodením funkcie obličiek (klírens kreatinínu &lt; 30 ml/min) bol klírens sildenafilu znížený a v porovnaní s dobrovoľníkmi rovnakého veku, ale bez poškodenia funkcie obličiek, sa AUC zvýšila o 100 % a </w:t>
      </w:r>
      <w:proofErr w:type="spellStart"/>
      <w:r w:rsidR="007F7479">
        <w:rPr>
          <w:sz w:val="22"/>
          <w:szCs w:val="22"/>
        </w:rPr>
        <w:t>c</w:t>
      </w:r>
      <w:r w:rsidR="007F7479" w:rsidRPr="00DB4491">
        <w:rPr>
          <w:sz w:val="22"/>
          <w:szCs w:val="22"/>
          <w:vertAlign w:val="subscript"/>
        </w:rPr>
        <w:t>max</w:t>
      </w:r>
      <w:proofErr w:type="spellEnd"/>
      <w:r w:rsidR="007F7479" w:rsidRPr="00DB4491">
        <w:rPr>
          <w:sz w:val="22"/>
          <w:szCs w:val="22"/>
        </w:rPr>
        <w:t xml:space="preserve"> </w:t>
      </w:r>
      <w:r w:rsidR="002379F8" w:rsidRPr="00DB4491">
        <w:rPr>
          <w:sz w:val="22"/>
          <w:szCs w:val="22"/>
        </w:rPr>
        <w:t>o</w:t>
      </w:r>
      <w:r w:rsidR="00CB010F" w:rsidRPr="00DB4491">
        <w:rPr>
          <w:sz w:val="22"/>
          <w:szCs w:val="22"/>
        </w:rPr>
        <w:t> </w:t>
      </w:r>
      <w:r w:rsidR="002379F8" w:rsidRPr="00DB4491">
        <w:rPr>
          <w:sz w:val="22"/>
          <w:szCs w:val="22"/>
        </w:rPr>
        <w:t>88</w:t>
      </w:r>
      <w:r w:rsidR="00CB010F" w:rsidRPr="00DB4491">
        <w:rPr>
          <w:sz w:val="22"/>
          <w:szCs w:val="22"/>
        </w:rPr>
        <w:t> </w:t>
      </w:r>
      <w:r>
        <w:rPr>
          <w:sz w:val="22"/>
          <w:szCs w:val="22"/>
        </w:rPr>
        <w:t xml:space="preserve">%. Okrem toho hodnoty AUC a </w:t>
      </w:r>
      <w:proofErr w:type="spellStart"/>
      <w:r w:rsidR="007F7479">
        <w:rPr>
          <w:sz w:val="22"/>
          <w:szCs w:val="22"/>
        </w:rPr>
        <w:t>c</w:t>
      </w:r>
      <w:r w:rsidR="007F7479" w:rsidRPr="00DB4491">
        <w:rPr>
          <w:sz w:val="22"/>
          <w:szCs w:val="22"/>
          <w:vertAlign w:val="subscript"/>
        </w:rPr>
        <w:t>max</w:t>
      </w:r>
      <w:proofErr w:type="spellEnd"/>
      <w:r w:rsidR="007F7479" w:rsidRPr="00DB4491">
        <w:rPr>
          <w:sz w:val="22"/>
          <w:szCs w:val="22"/>
        </w:rPr>
        <w:t xml:space="preserve"> </w:t>
      </w:r>
      <w:r w:rsidR="002379F8" w:rsidRPr="00DB4491">
        <w:rPr>
          <w:sz w:val="22"/>
          <w:szCs w:val="22"/>
        </w:rPr>
        <w:t>N-desmetyl</w:t>
      </w:r>
      <w:r w:rsidR="005F55AC" w:rsidRPr="00DB4491">
        <w:rPr>
          <w:sz w:val="22"/>
          <w:szCs w:val="22"/>
        </w:rPr>
        <w:t xml:space="preserve"> </w:t>
      </w:r>
      <w:r w:rsidR="002379F8" w:rsidRPr="00DB4491">
        <w:rPr>
          <w:sz w:val="22"/>
          <w:szCs w:val="22"/>
        </w:rPr>
        <w:t>metabolitu sa signifikantne zvýšili o</w:t>
      </w:r>
      <w:r>
        <w:rPr>
          <w:sz w:val="22"/>
          <w:szCs w:val="22"/>
        </w:rPr>
        <w:t> 79 % a o 200 %.</w:t>
      </w:r>
    </w:p>
    <w:p w:rsidR="005F55AC" w:rsidRPr="00DB4491" w:rsidRDefault="005F55AC"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i/>
          <w:iCs/>
          <w:sz w:val="22"/>
          <w:szCs w:val="22"/>
          <w:u w:val="single"/>
        </w:rPr>
      </w:pPr>
      <w:r>
        <w:rPr>
          <w:i/>
          <w:iCs/>
          <w:sz w:val="22"/>
          <w:szCs w:val="22"/>
          <w:u w:val="single"/>
        </w:rPr>
        <w:t>Hepatálna insuficiencia:</w:t>
      </w:r>
    </w:p>
    <w:p w:rsidR="002379F8" w:rsidRPr="00DB4491" w:rsidRDefault="001C0D5A" w:rsidP="002379F8">
      <w:pPr>
        <w:autoSpaceDE w:val="0"/>
        <w:autoSpaceDN w:val="0"/>
        <w:adjustRightInd w:val="0"/>
        <w:jc w:val="both"/>
        <w:rPr>
          <w:sz w:val="22"/>
          <w:szCs w:val="22"/>
        </w:rPr>
      </w:pPr>
      <w:r>
        <w:rPr>
          <w:sz w:val="22"/>
          <w:szCs w:val="22"/>
        </w:rPr>
        <w:t>U dobrovoľníkov s miernou a stredne ťažkou cirhózou pečene (A a B podľa Child</w:t>
      </w:r>
      <w:r w:rsidR="00DB4491">
        <w:rPr>
          <w:sz w:val="22"/>
          <w:szCs w:val="22"/>
        </w:rPr>
        <w:t>a a</w:t>
      </w:r>
      <w:r w:rsidR="002379F8" w:rsidRPr="00DB4491">
        <w:rPr>
          <w:sz w:val="22"/>
          <w:szCs w:val="22"/>
        </w:rPr>
        <w:t>-Pugha) bol klírens</w:t>
      </w:r>
      <w:r w:rsidR="005F55AC" w:rsidRPr="00DB4491">
        <w:rPr>
          <w:sz w:val="22"/>
          <w:szCs w:val="22"/>
        </w:rPr>
        <w:t xml:space="preserve"> </w:t>
      </w:r>
      <w:r w:rsidR="002379F8" w:rsidRPr="00DB4491">
        <w:rPr>
          <w:sz w:val="22"/>
          <w:szCs w:val="22"/>
        </w:rPr>
        <w:t>sildenafilu znížený a v porovnaní s dobrovoľníkmi rovnakého veku, ale bez poškodenia funkcie</w:t>
      </w:r>
      <w:r w:rsidR="005F55AC" w:rsidRPr="00DB4491">
        <w:rPr>
          <w:sz w:val="22"/>
          <w:szCs w:val="22"/>
        </w:rPr>
        <w:t xml:space="preserve"> </w:t>
      </w:r>
      <w:r w:rsidR="002379F8" w:rsidRPr="00DB4491">
        <w:rPr>
          <w:sz w:val="22"/>
          <w:szCs w:val="22"/>
        </w:rPr>
        <w:t>pečene, sa AUC zvýšila o</w:t>
      </w:r>
      <w:r w:rsidR="00C80631" w:rsidRPr="00DB4491">
        <w:rPr>
          <w:sz w:val="22"/>
          <w:szCs w:val="22"/>
        </w:rPr>
        <w:t> </w:t>
      </w:r>
      <w:r w:rsidR="002379F8" w:rsidRPr="00DB4491">
        <w:rPr>
          <w:sz w:val="22"/>
          <w:szCs w:val="22"/>
        </w:rPr>
        <w:t>84</w:t>
      </w:r>
      <w:r w:rsidR="00C80631" w:rsidRPr="00DB4491">
        <w:rPr>
          <w:sz w:val="22"/>
          <w:szCs w:val="22"/>
        </w:rPr>
        <w:t> </w:t>
      </w:r>
      <w:r w:rsidR="002379F8" w:rsidRPr="00DB4491">
        <w:rPr>
          <w:sz w:val="22"/>
          <w:szCs w:val="22"/>
        </w:rPr>
        <w:t xml:space="preserve">% a </w:t>
      </w:r>
      <w:proofErr w:type="spellStart"/>
      <w:r w:rsidR="007F7479">
        <w:rPr>
          <w:sz w:val="22"/>
          <w:szCs w:val="22"/>
        </w:rPr>
        <w:t>c</w:t>
      </w:r>
      <w:r w:rsidR="007F7479" w:rsidRPr="00DB4491">
        <w:rPr>
          <w:sz w:val="22"/>
          <w:szCs w:val="22"/>
          <w:vertAlign w:val="subscript"/>
        </w:rPr>
        <w:t>max</w:t>
      </w:r>
      <w:proofErr w:type="spellEnd"/>
      <w:r w:rsidR="007F7479" w:rsidRPr="00DB4491">
        <w:rPr>
          <w:sz w:val="22"/>
          <w:szCs w:val="22"/>
        </w:rPr>
        <w:t xml:space="preserve"> </w:t>
      </w:r>
      <w:r w:rsidR="002379F8" w:rsidRPr="00DB4491">
        <w:rPr>
          <w:sz w:val="22"/>
          <w:szCs w:val="22"/>
        </w:rPr>
        <w:t>o</w:t>
      </w:r>
      <w:r w:rsidR="00C80631" w:rsidRPr="00DB4491">
        <w:rPr>
          <w:sz w:val="22"/>
          <w:szCs w:val="22"/>
        </w:rPr>
        <w:t> </w:t>
      </w:r>
      <w:r w:rsidR="002379F8" w:rsidRPr="00DB4491">
        <w:rPr>
          <w:sz w:val="22"/>
          <w:szCs w:val="22"/>
        </w:rPr>
        <w:t>47</w:t>
      </w:r>
      <w:r w:rsidR="00C80631" w:rsidRPr="00DB4491">
        <w:rPr>
          <w:sz w:val="22"/>
          <w:szCs w:val="22"/>
        </w:rPr>
        <w:t> </w:t>
      </w:r>
      <w:r w:rsidR="002379F8" w:rsidRPr="00DB4491">
        <w:rPr>
          <w:sz w:val="22"/>
          <w:szCs w:val="22"/>
        </w:rPr>
        <w:t>%. Farmakokinetika sildenafilu u pacientov s</w:t>
      </w:r>
      <w:r w:rsidR="00C80631" w:rsidRPr="00DB4491">
        <w:rPr>
          <w:sz w:val="22"/>
          <w:szCs w:val="22"/>
        </w:rPr>
        <w:t> </w:t>
      </w:r>
      <w:r w:rsidR="002379F8" w:rsidRPr="00DB4491">
        <w:rPr>
          <w:sz w:val="22"/>
          <w:szCs w:val="22"/>
        </w:rPr>
        <w:t>ťažkým</w:t>
      </w:r>
      <w:r>
        <w:rPr>
          <w:sz w:val="22"/>
          <w:szCs w:val="22"/>
        </w:rPr>
        <w:t xml:space="preserve"> poškodením funkcie pečene nebola študovaná.</w:t>
      </w:r>
    </w:p>
    <w:p w:rsidR="005F55AC" w:rsidRPr="00DB4491" w:rsidRDefault="005F55AC"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5.3</w:t>
      </w:r>
      <w:r>
        <w:rPr>
          <w:b/>
          <w:bCs/>
          <w:sz w:val="22"/>
          <w:szCs w:val="22"/>
        </w:rPr>
        <w:tab/>
        <w:t>Predklinické údaje o bezpečnosti</w:t>
      </w:r>
    </w:p>
    <w:p w:rsidR="005F55AC" w:rsidRPr="00DB4491" w:rsidRDefault="005F55AC"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sz w:val="22"/>
          <w:szCs w:val="22"/>
        </w:rPr>
      </w:pPr>
      <w:r>
        <w:rPr>
          <w:sz w:val="22"/>
          <w:szCs w:val="22"/>
        </w:rPr>
        <w:t>Predklinické údaje na základe obvyklých štúdií farmakologickej bezpečnosti, toxicity po opakovanom podávaní, genotoxicity, karcinogénneho potenciálu a reprodukčnej toxicity neodhalili žiadne osobitné riziko pre ľudí.</w:t>
      </w:r>
    </w:p>
    <w:p w:rsidR="00462C50" w:rsidRPr="00DB4491" w:rsidRDefault="00462C50" w:rsidP="002379F8">
      <w:pPr>
        <w:autoSpaceDE w:val="0"/>
        <w:autoSpaceDN w:val="0"/>
        <w:adjustRightInd w:val="0"/>
        <w:jc w:val="both"/>
        <w:rPr>
          <w:sz w:val="22"/>
          <w:szCs w:val="22"/>
        </w:rPr>
      </w:pPr>
    </w:p>
    <w:p w:rsidR="00462C50" w:rsidRPr="00DB4491" w:rsidRDefault="00462C50"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6.</w:t>
      </w:r>
      <w:r>
        <w:rPr>
          <w:b/>
          <w:bCs/>
          <w:sz w:val="22"/>
          <w:szCs w:val="22"/>
        </w:rPr>
        <w:tab/>
        <w:t>FARMACEUTICKÉ INFORMÁCIE</w:t>
      </w:r>
    </w:p>
    <w:p w:rsidR="002D47BC" w:rsidRPr="00DB4491" w:rsidRDefault="002D47BC"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6.1</w:t>
      </w:r>
      <w:r>
        <w:rPr>
          <w:b/>
          <w:bCs/>
          <w:sz w:val="22"/>
          <w:szCs w:val="22"/>
        </w:rPr>
        <w:tab/>
        <w:t>Zoznam pomocných látok</w:t>
      </w:r>
    </w:p>
    <w:p w:rsidR="005F55AC" w:rsidRPr="00DB4491" w:rsidRDefault="005F55AC" w:rsidP="002379F8">
      <w:pPr>
        <w:autoSpaceDE w:val="0"/>
        <w:autoSpaceDN w:val="0"/>
        <w:adjustRightInd w:val="0"/>
        <w:jc w:val="both"/>
        <w:rPr>
          <w:b/>
          <w:bCs/>
          <w:sz w:val="22"/>
          <w:szCs w:val="22"/>
        </w:rPr>
      </w:pPr>
    </w:p>
    <w:p w:rsidR="00974F7A" w:rsidRPr="00DB4491" w:rsidRDefault="001C0D5A" w:rsidP="002379F8">
      <w:pPr>
        <w:autoSpaceDE w:val="0"/>
        <w:autoSpaceDN w:val="0"/>
        <w:adjustRightInd w:val="0"/>
        <w:jc w:val="both"/>
        <w:rPr>
          <w:bCs/>
          <w:sz w:val="22"/>
          <w:szCs w:val="22"/>
          <w:u w:val="single"/>
        </w:rPr>
      </w:pPr>
      <w:r>
        <w:rPr>
          <w:bCs/>
          <w:sz w:val="22"/>
          <w:szCs w:val="22"/>
          <w:u w:val="single"/>
        </w:rPr>
        <w:t>Jadro tablety:</w:t>
      </w:r>
    </w:p>
    <w:p w:rsidR="00974F7A" w:rsidRPr="00DB4491" w:rsidRDefault="001C0D5A" w:rsidP="002379F8">
      <w:pPr>
        <w:autoSpaceDE w:val="0"/>
        <w:autoSpaceDN w:val="0"/>
        <w:adjustRightInd w:val="0"/>
        <w:jc w:val="both"/>
        <w:rPr>
          <w:bCs/>
          <w:sz w:val="22"/>
          <w:szCs w:val="22"/>
        </w:rPr>
      </w:pPr>
      <w:r>
        <w:rPr>
          <w:bCs/>
          <w:sz w:val="22"/>
          <w:szCs w:val="22"/>
        </w:rPr>
        <w:t>mikrokryštalická celulóza</w:t>
      </w:r>
    </w:p>
    <w:p w:rsidR="00974F7A" w:rsidRPr="00DB4491" w:rsidRDefault="001C0D5A" w:rsidP="00974F7A">
      <w:pPr>
        <w:autoSpaceDE w:val="0"/>
        <w:autoSpaceDN w:val="0"/>
        <w:adjustRightInd w:val="0"/>
        <w:jc w:val="both"/>
        <w:rPr>
          <w:bCs/>
          <w:sz w:val="22"/>
          <w:szCs w:val="22"/>
        </w:rPr>
      </w:pPr>
      <w:r>
        <w:rPr>
          <w:bCs/>
          <w:sz w:val="22"/>
          <w:szCs w:val="22"/>
        </w:rPr>
        <w:t>hydrogénfosforečnan vápenatý (bezvodý)</w:t>
      </w:r>
    </w:p>
    <w:p w:rsidR="00974F7A" w:rsidRPr="00DB4491" w:rsidRDefault="001C0D5A" w:rsidP="00974F7A">
      <w:pPr>
        <w:autoSpaceDE w:val="0"/>
        <w:autoSpaceDN w:val="0"/>
        <w:adjustRightInd w:val="0"/>
        <w:jc w:val="both"/>
        <w:rPr>
          <w:bCs/>
          <w:sz w:val="22"/>
          <w:szCs w:val="22"/>
        </w:rPr>
      </w:pPr>
      <w:r>
        <w:rPr>
          <w:bCs/>
          <w:sz w:val="22"/>
          <w:szCs w:val="22"/>
        </w:rPr>
        <w:lastRenderedPageBreak/>
        <w:t>sodná soľ kroskarmelózy</w:t>
      </w:r>
    </w:p>
    <w:p w:rsidR="00974F7A" w:rsidRPr="00DB4491" w:rsidRDefault="001C0D5A" w:rsidP="00974F7A">
      <w:pPr>
        <w:autoSpaceDE w:val="0"/>
        <w:autoSpaceDN w:val="0"/>
        <w:adjustRightInd w:val="0"/>
        <w:jc w:val="both"/>
        <w:rPr>
          <w:bCs/>
          <w:sz w:val="22"/>
          <w:szCs w:val="22"/>
        </w:rPr>
      </w:pPr>
      <w:r>
        <w:rPr>
          <w:bCs/>
          <w:sz w:val="22"/>
          <w:szCs w:val="22"/>
        </w:rPr>
        <w:t>magnéziumstearát</w:t>
      </w:r>
    </w:p>
    <w:p w:rsidR="00974F7A" w:rsidRPr="00DB4491" w:rsidRDefault="00974F7A" w:rsidP="00974F7A">
      <w:pPr>
        <w:autoSpaceDE w:val="0"/>
        <w:autoSpaceDN w:val="0"/>
        <w:adjustRightInd w:val="0"/>
        <w:jc w:val="both"/>
        <w:rPr>
          <w:bCs/>
          <w:sz w:val="22"/>
          <w:szCs w:val="22"/>
        </w:rPr>
      </w:pPr>
    </w:p>
    <w:p w:rsidR="00974F7A" w:rsidRPr="00DB4491" w:rsidRDefault="001C0D5A" w:rsidP="00974F7A">
      <w:pPr>
        <w:autoSpaceDE w:val="0"/>
        <w:autoSpaceDN w:val="0"/>
        <w:adjustRightInd w:val="0"/>
        <w:jc w:val="both"/>
        <w:rPr>
          <w:bCs/>
          <w:sz w:val="22"/>
          <w:szCs w:val="22"/>
          <w:u w:val="single"/>
        </w:rPr>
      </w:pPr>
      <w:r>
        <w:rPr>
          <w:bCs/>
          <w:sz w:val="22"/>
          <w:szCs w:val="22"/>
          <w:u w:val="single"/>
        </w:rPr>
        <w:t>Filmová vrstva:</w:t>
      </w:r>
    </w:p>
    <w:p w:rsidR="00974F7A" w:rsidRPr="00DB4491" w:rsidRDefault="001C0D5A" w:rsidP="00974F7A">
      <w:pPr>
        <w:autoSpaceDE w:val="0"/>
        <w:autoSpaceDN w:val="0"/>
        <w:adjustRightInd w:val="0"/>
        <w:jc w:val="both"/>
        <w:rPr>
          <w:bCs/>
          <w:sz w:val="22"/>
          <w:szCs w:val="22"/>
        </w:rPr>
      </w:pPr>
      <w:r>
        <w:rPr>
          <w:bCs/>
          <w:sz w:val="22"/>
          <w:szCs w:val="22"/>
        </w:rPr>
        <w:t>Opadry II blue 31K80956:</w:t>
      </w:r>
    </w:p>
    <w:p w:rsidR="00974F7A" w:rsidRPr="00DB4491" w:rsidRDefault="001C0D5A" w:rsidP="00974F7A">
      <w:pPr>
        <w:numPr>
          <w:ilvl w:val="0"/>
          <w:numId w:val="3"/>
        </w:numPr>
        <w:autoSpaceDE w:val="0"/>
        <w:autoSpaceDN w:val="0"/>
        <w:adjustRightInd w:val="0"/>
        <w:jc w:val="both"/>
        <w:rPr>
          <w:bCs/>
          <w:sz w:val="22"/>
          <w:szCs w:val="22"/>
        </w:rPr>
      </w:pPr>
      <w:r>
        <w:rPr>
          <w:bCs/>
          <w:sz w:val="22"/>
          <w:szCs w:val="22"/>
        </w:rPr>
        <w:t>hypromelóza</w:t>
      </w:r>
    </w:p>
    <w:p w:rsidR="00974F7A" w:rsidRPr="00DB4491" w:rsidRDefault="001C0D5A" w:rsidP="00974F7A">
      <w:pPr>
        <w:numPr>
          <w:ilvl w:val="0"/>
          <w:numId w:val="3"/>
        </w:numPr>
        <w:autoSpaceDE w:val="0"/>
        <w:autoSpaceDN w:val="0"/>
        <w:adjustRightInd w:val="0"/>
        <w:jc w:val="both"/>
        <w:rPr>
          <w:bCs/>
          <w:sz w:val="22"/>
          <w:szCs w:val="22"/>
        </w:rPr>
      </w:pPr>
      <w:r>
        <w:rPr>
          <w:bCs/>
          <w:sz w:val="22"/>
          <w:szCs w:val="22"/>
        </w:rPr>
        <w:t>oxid titaničitý (E171)</w:t>
      </w:r>
    </w:p>
    <w:p w:rsidR="00974F7A" w:rsidRPr="00DB4491" w:rsidRDefault="001C0D5A" w:rsidP="00974F7A">
      <w:pPr>
        <w:numPr>
          <w:ilvl w:val="0"/>
          <w:numId w:val="3"/>
        </w:numPr>
        <w:autoSpaceDE w:val="0"/>
        <w:autoSpaceDN w:val="0"/>
        <w:adjustRightInd w:val="0"/>
        <w:jc w:val="both"/>
        <w:rPr>
          <w:bCs/>
          <w:sz w:val="22"/>
          <w:szCs w:val="22"/>
        </w:rPr>
      </w:pPr>
      <w:r>
        <w:rPr>
          <w:bCs/>
          <w:sz w:val="22"/>
          <w:szCs w:val="22"/>
        </w:rPr>
        <w:t>monohydrát laktózy</w:t>
      </w:r>
    </w:p>
    <w:p w:rsidR="00974F7A" w:rsidRPr="00DB4491" w:rsidRDefault="001C0D5A" w:rsidP="00974F7A">
      <w:pPr>
        <w:numPr>
          <w:ilvl w:val="0"/>
          <w:numId w:val="3"/>
        </w:numPr>
        <w:autoSpaceDE w:val="0"/>
        <w:autoSpaceDN w:val="0"/>
        <w:adjustRightInd w:val="0"/>
        <w:jc w:val="both"/>
        <w:rPr>
          <w:bCs/>
          <w:sz w:val="22"/>
          <w:szCs w:val="22"/>
        </w:rPr>
      </w:pPr>
      <w:r>
        <w:rPr>
          <w:bCs/>
          <w:sz w:val="22"/>
          <w:szCs w:val="22"/>
        </w:rPr>
        <w:t>triacetín</w:t>
      </w:r>
    </w:p>
    <w:p w:rsidR="00974F7A" w:rsidRPr="00DB4491" w:rsidRDefault="001C0D5A" w:rsidP="00974F7A">
      <w:pPr>
        <w:numPr>
          <w:ilvl w:val="0"/>
          <w:numId w:val="3"/>
        </w:numPr>
        <w:autoSpaceDE w:val="0"/>
        <w:autoSpaceDN w:val="0"/>
        <w:adjustRightInd w:val="0"/>
        <w:jc w:val="both"/>
        <w:rPr>
          <w:bCs/>
          <w:sz w:val="22"/>
          <w:szCs w:val="22"/>
        </w:rPr>
      </w:pPr>
      <w:r>
        <w:rPr>
          <w:bCs/>
          <w:sz w:val="22"/>
          <w:szCs w:val="22"/>
        </w:rPr>
        <w:t>hliníkový lak indigokarmínu (E132)</w:t>
      </w:r>
    </w:p>
    <w:p w:rsidR="00974F7A" w:rsidRPr="00DB4491" w:rsidRDefault="001C0D5A" w:rsidP="00974F7A">
      <w:pPr>
        <w:shd w:val="clear" w:color="auto" w:fill="FFFFFF"/>
        <w:jc w:val="both"/>
        <w:rPr>
          <w:bCs/>
          <w:sz w:val="22"/>
          <w:szCs w:val="22"/>
        </w:rPr>
      </w:pPr>
      <w:r>
        <w:rPr>
          <w:bCs/>
          <w:sz w:val="22"/>
          <w:szCs w:val="22"/>
        </w:rPr>
        <w:t>Opadry clear 02K19253:</w:t>
      </w:r>
    </w:p>
    <w:p w:rsidR="00974F7A" w:rsidRPr="00DB4491" w:rsidRDefault="001C0D5A" w:rsidP="00974F7A">
      <w:pPr>
        <w:numPr>
          <w:ilvl w:val="0"/>
          <w:numId w:val="4"/>
        </w:numPr>
        <w:autoSpaceDE w:val="0"/>
        <w:autoSpaceDN w:val="0"/>
        <w:adjustRightInd w:val="0"/>
        <w:jc w:val="both"/>
        <w:rPr>
          <w:bCs/>
          <w:sz w:val="22"/>
          <w:szCs w:val="22"/>
        </w:rPr>
      </w:pPr>
      <w:r>
        <w:rPr>
          <w:bCs/>
          <w:sz w:val="22"/>
          <w:szCs w:val="22"/>
        </w:rPr>
        <w:t>hypromelóza</w:t>
      </w:r>
    </w:p>
    <w:p w:rsidR="00BA3ACC" w:rsidRPr="00DB4491" w:rsidRDefault="001C0D5A" w:rsidP="00974F7A">
      <w:pPr>
        <w:numPr>
          <w:ilvl w:val="0"/>
          <w:numId w:val="4"/>
        </w:numPr>
        <w:autoSpaceDE w:val="0"/>
        <w:autoSpaceDN w:val="0"/>
        <w:adjustRightInd w:val="0"/>
        <w:jc w:val="both"/>
        <w:rPr>
          <w:bCs/>
          <w:sz w:val="22"/>
          <w:szCs w:val="22"/>
        </w:rPr>
      </w:pPr>
      <w:r>
        <w:rPr>
          <w:bCs/>
          <w:sz w:val="22"/>
          <w:szCs w:val="22"/>
        </w:rPr>
        <w:t>triacetín</w:t>
      </w:r>
    </w:p>
    <w:p w:rsidR="00974F7A" w:rsidRPr="00DB4491" w:rsidRDefault="00974F7A"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6.2</w:t>
      </w:r>
      <w:r>
        <w:rPr>
          <w:b/>
          <w:bCs/>
          <w:sz w:val="22"/>
          <w:szCs w:val="22"/>
        </w:rPr>
        <w:tab/>
        <w:t>Inkompatibility</w:t>
      </w:r>
    </w:p>
    <w:p w:rsidR="005F55AC" w:rsidRPr="00DB4491" w:rsidRDefault="005F55AC"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sz w:val="22"/>
          <w:szCs w:val="22"/>
        </w:rPr>
      </w:pPr>
      <w:r>
        <w:rPr>
          <w:sz w:val="22"/>
          <w:szCs w:val="22"/>
        </w:rPr>
        <w:t>Neaplikovateľné.</w:t>
      </w:r>
    </w:p>
    <w:p w:rsidR="005F55AC" w:rsidRPr="00DB4491" w:rsidRDefault="005F55AC"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6.3</w:t>
      </w:r>
      <w:r>
        <w:rPr>
          <w:b/>
          <w:bCs/>
          <w:sz w:val="22"/>
          <w:szCs w:val="22"/>
        </w:rPr>
        <w:tab/>
        <w:t>Čas použiteľnosti</w:t>
      </w:r>
    </w:p>
    <w:p w:rsidR="005F55AC" w:rsidRPr="00DB4491" w:rsidRDefault="005F55AC"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sz w:val="22"/>
          <w:szCs w:val="22"/>
        </w:rPr>
      </w:pPr>
      <w:r>
        <w:rPr>
          <w:sz w:val="22"/>
          <w:szCs w:val="22"/>
        </w:rPr>
        <w:t>2 roky</w:t>
      </w:r>
    </w:p>
    <w:p w:rsidR="002379F8" w:rsidRPr="00DB4491" w:rsidRDefault="002379F8" w:rsidP="002379F8">
      <w:pPr>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6.4</w:t>
      </w:r>
      <w:r>
        <w:rPr>
          <w:b/>
          <w:bCs/>
          <w:sz w:val="22"/>
          <w:szCs w:val="22"/>
        </w:rPr>
        <w:tab/>
        <w:t>Špeciálne upozornenia na uchovávanie</w:t>
      </w:r>
    </w:p>
    <w:p w:rsidR="005F55AC" w:rsidRPr="00DB4491" w:rsidRDefault="005F55AC" w:rsidP="002379F8">
      <w:pPr>
        <w:autoSpaceDE w:val="0"/>
        <w:autoSpaceDN w:val="0"/>
        <w:adjustRightInd w:val="0"/>
        <w:jc w:val="both"/>
        <w:rPr>
          <w:b/>
          <w:bCs/>
          <w:sz w:val="22"/>
          <w:szCs w:val="22"/>
        </w:rPr>
      </w:pPr>
    </w:p>
    <w:p w:rsidR="005F55AC" w:rsidRPr="00DB4491" w:rsidRDefault="001C0D5A" w:rsidP="002379F8">
      <w:pPr>
        <w:autoSpaceDE w:val="0"/>
        <w:autoSpaceDN w:val="0"/>
        <w:adjustRightInd w:val="0"/>
        <w:jc w:val="both"/>
        <w:rPr>
          <w:sz w:val="22"/>
          <w:szCs w:val="22"/>
        </w:rPr>
      </w:pPr>
      <w:r>
        <w:rPr>
          <w:sz w:val="22"/>
          <w:szCs w:val="22"/>
        </w:rPr>
        <w:t>Tento liek nevyžaduje žiadne zvláštne podmienky na uchovávanie.</w:t>
      </w:r>
    </w:p>
    <w:p w:rsidR="00974F7A" w:rsidRPr="00DB4491" w:rsidRDefault="00974F7A" w:rsidP="002379F8">
      <w:pPr>
        <w:autoSpaceDE w:val="0"/>
        <w:autoSpaceDN w:val="0"/>
        <w:adjustRightInd w:val="0"/>
        <w:jc w:val="both"/>
        <w:rPr>
          <w:sz w:val="22"/>
          <w:szCs w:val="22"/>
        </w:rPr>
      </w:pPr>
    </w:p>
    <w:p w:rsidR="002379F8" w:rsidRPr="00DB4491" w:rsidRDefault="001C0D5A" w:rsidP="00C94B90">
      <w:pPr>
        <w:autoSpaceDE w:val="0"/>
        <w:autoSpaceDN w:val="0"/>
        <w:adjustRightInd w:val="0"/>
        <w:jc w:val="both"/>
        <w:rPr>
          <w:b/>
          <w:bCs/>
          <w:sz w:val="22"/>
          <w:szCs w:val="22"/>
        </w:rPr>
      </w:pPr>
      <w:r>
        <w:rPr>
          <w:b/>
          <w:bCs/>
          <w:sz w:val="22"/>
          <w:szCs w:val="22"/>
        </w:rPr>
        <w:t>6.5</w:t>
      </w:r>
      <w:r>
        <w:rPr>
          <w:b/>
          <w:bCs/>
          <w:sz w:val="22"/>
          <w:szCs w:val="22"/>
        </w:rPr>
        <w:tab/>
        <w:t>Druh obalu a obsah balenia</w:t>
      </w:r>
    </w:p>
    <w:p w:rsidR="005F55AC" w:rsidRPr="00DB4491" w:rsidRDefault="005F55AC" w:rsidP="002379F8">
      <w:pPr>
        <w:autoSpaceDE w:val="0"/>
        <w:autoSpaceDN w:val="0"/>
        <w:adjustRightInd w:val="0"/>
        <w:jc w:val="both"/>
        <w:rPr>
          <w:b/>
          <w:bCs/>
          <w:sz w:val="22"/>
          <w:szCs w:val="22"/>
        </w:rPr>
      </w:pPr>
    </w:p>
    <w:p w:rsidR="00546466" w:rsidRPr="00DB4491" w:rsidRDefault="001C0D5A" w:rsidP="00403B6C">
      <w:pPr>
        <w:autoSpaceDE w:val="0"/>
        <w:autoSpaceDN w:val="0"/>
        <w:adjustRightInd w:val="0"/>
        <w:jc w:val="both"/>
        <w:rPr>
          <w:bCs/>
          <w:sz w:val="22"/>
          <w:szCs w:val="22"/>
        </w:rPr>
      </w:pPr>
      <w:r>
        <w:rPr>
          <w:bCs/>
          <w:sz w:val="22"/>
          <w:szCs w:val="22"/>
        </w:rPr>
        <w:t>PVC/Al alebo PVC/PVDC/Al</w:t>
      </w:r>
      <w:r w:rsidR="007F7479">
        <w:rPr>
          <w:bCs/>
          <w:sz w:val="22"/>
          <w:szCs w:val="22"/>
        </w:rPr>
        <w:t xml:space="preserve"> </w:t>
      </w:r>
      <w:r w:rsidR="00546466" w:rsidRPr="00DB4491">
        <w:rPr>
          <w:bCs/>
          <w:sz w:val="22"/>
          <w:szCs w:val="22"/>
        </w:rPr>
        <w:t>blistre</w:t>
      </w:r>
      <w:r w:rsidR="00F70EB9" w:rsidRPr="00DB4491">
        <w:rPr>
          <w:bCs/>
          <w:sz w:val="22"/>
          <w:szCs w:val="22"/>
        </w:rPr>
        <w:t>.</w:t>
      </w:r>
    </w:p>
    <w:p w:rsidR="00974F7A" w:rsidRPr="00DB4491" w:rsidRDefault="001C0D5A" w:rsidP="00403B6C">
      <w:pPr>
        <w:autoSpaceDE w:val="0"/>
        <w:autoSpaceDN w:val="0"/>
        <w:adjustRightInd w:val="0"/>
        <w:jc w:val="both"/>
        <w:rPr>
          <w:bCs/>
          <w:sz w:val="22"/>
          <w:szCs w:val="22"/>
        </w:rPr>
      </w:pPr>
      <w:r>
        <w:rPr>
          <w:bCs/>
          <w:sz w:val="22"/>
          <w:szCs w:val="22"/>
        </w:rPr>
        <w:t>Veľkosť balenia: 1, 2, 4, 8, 10, 12, 20, 24, 28 alebo 90 tabliet.</w:t>
      </w:r>
    </w:p>
    <w:p w:rsidR="00403B6C" w:rsidRPr="00DB4491" w:rsidRDefault="00403B6C" w:rsidP="00D56AE0">
      <w:pPr>
        <w:jc w:val="both"/>
        <w:rPr>
          <w:sz w:val="22"/>
          <w:szCs w:val="22"/>
        </w:rPr>
      </w:pPr>
    </w:p>
    <w:p w:rsidR="0099198E" w:rsidRPr="00DB4491" w:rsidRDefault="001C0D5A" w:rsidP="00D56AE0">
      <w:pPr>
        <w:jc w:val="both"/>
        <w:rPr>
          <w:sz w:val="22"/>
          <w:szCs w:val="22"/>
        </w:rPr>
      </w:pPr>
      <w:r>
        <w:rPr>
          <w:sz w:val="22"/>
          <w:szCs w:val="22"/>
        </w:rPr>
        <w:t xml:space="preserve">Nie všetky veľkosti balenia musia byť uvedené na trh. </w:t>
      </w:r>
    </w:p>
    <w:p w:rsidR="00D56AE0" w:rsidRPr="00DB4491" w:rsidRDefault="00D56AE0"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6.6</w:t>
      </w:r>
      <w:r>
        <w:rPr>
          <w:b/>
          <w:bCs/>
          <w:sz w:val="22"/>
          <w:szCs w:val="22"/>
        </w:rPr>
        <w:tab/>
        <w:t>Špeciálne opatrenia na likvidáciu a iné zaobchádzanie s liekom</w:t>
      </w:r>
    </w:p>
    <w:p w:rsidR="005F55AC" w:rsidRPr="00DB4491" w:rsidRDefault="005F55AC"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sz w:val="22"/>
          <w:szCs w:val="22"/>
        </w:rPr>
      </w:pPr>
      <w:r>
        <w:rPr>
          <w:sz w:val="22"/>
          <w:szCs w:val="22"/>
        </w:rPr>
        <w:t>Žiadne zvláštne požiadavky.</w:t>
      </w:r>
    </w:p>
    <w:p w:rsidR="005F55AC" w:rsidRPr="00DB4491" w:rsidRDefault="005F55AC" w:rsidP="002379F8">
      <w:pPr>
        <w:autoSpaceDE w:val="0"/>
        <w:autoSpaceDN w:val="0"/>
        <w:adjustRightInd w:val="0"/>
        <w:jc w:val="both"/>
        <w:rPr>
          <w:sz w:val="22"/>
          <w:szCs w:val="22"/>
        </w:rPr>
      </w:pPr>
    </w:p>
    <w:p w:rsidR="004979DE" w:rsidRPr="00DB4491" w:rsidRDefault="001C0D5A" w:rsidP="002379F8">
      <w:pPr>
        <w:autoSpaceDE w:val="0"/>
        <w:autoSpaceDN w:val="0"/>
        <w:adjustRightInd w:val="0"/>
        <w:jc w:val="both"/>
        <w:rPr>
          <w:sz w:val="22"/>
          <w:szCs w:val="22"/>
        </w:rPr>
      </w:pPr>
      <w:r>
        <w:rPr>
          <w:sz w:val="22"/>
          <w:szCs w:val="22"/>
        </w:rPr>
        <w:t>Nepoužitý liek alebo odpad vzniknutý z lieku treba vrátiť do lekárne.</w:t>
      </w:r>
    </w:p>
    <w:p w:rsidR="00403B6C" w:rsidRDefault="00403B6C" w:rsidP="002379F8">
      <w:pPr>
        <w:autoSpaceDE w:val="0"/>
        <w:autoSpaceDN w:val="0"/>
        <w:adjustRightInd w:val="0"/>
        <w:jc w:val="both"/>
        <w:rPr>
          <w:sz w:val="22"/>
          <w:szCs w:val="22"/>
        </w:rPr>
      </w:pPr>
    </w:p>
    <w:p w:rsidR="00DB4491" w:rsidRPr="00DB4491" w:rsidRDefault="00DB4491" w:rsidP="002379F8">
      <w:pPr>
        <w:autoSpaceDE w:val="0"/>
        <w:autoSpaceDN w:val="0"/>
        <w:adjustRightInd w:val="0"/>
        <w:jc w:val="both"/>
        <w:rPr>
          <w:sz w:val="22"/>
          <w:szCs w:val="22"/>
        </w:rPr>
      </w:pPr>
    </w:p>
    <w:p w:rsidR="002379F8" w:rsidRPr="00DB4491" w:rsidRDefault="004979DE" w:rsidP="002379F8">
      <w:pPr>
        <w:autoSpaceDE w:val="0"/>
        <w:autoSpaceDN w:val="0"/>
        <w:adjustRightInd w:val="0"/>
        <w:jc w:val="both"/>
        <w:rPr>
          <w:b/>
          <w:bCs/>
          <w:sz w:val="22"/>
          <w:szCs w:val="22"/>
        </w:rPr>
      </w:pPr>
      <w:r w:rsidRPr="00DB4491">
        <w:rPr>
          <w:b/>
          <w:bCs/>
          <w:sz w:val="22"/>
          <w:szCs w:val="22"/>
        </w:rPr>
        <w:t>7.</w:t>
      </w:r>
      <w:r w:rsidRPr="00DB4491">
        <w:rPr>
          <w:b/>
          <w:bCs/>
          <w:sz w:val="22"/>
          <w:szCs w:val="22"/>
        </w:rPr>
        <w:tab/>
      </w:r>
      <w:r w:rsidR="002379F8" w:rsidRPr="00DB4491">
        <w:rPr>
          <w:b/>
          <w:bCs/>
          <w:sz w:val="22"/>
          <w:szCs w:val="22"/>
        </w:rPr>
        <w:t>DRŽITEĽ ROZHODNUTIA O REGISTRÁCII</w:t>
      </w:r>
    </w:p>
    <w:p w:rsidR="00662898" w:rsidRPr="00DB4491" w:rsidRDefault="00662898" w:rsidP="00662898">
      <w:pPr>
        <w:tabs>
          <w:tab w:val="left" w:pos="567"/>
        </w:tabs>
        <w:rPr>
          <w:sz w:val="22"/>
          <w:szCs w:val="22"/>
        </w:rPr>
      </w:pPr>
    </w:p>
    <w:p w:rsidR="00662898" w:rsidRPr="00DB4491" w:rsidRDefault="001C0D5A" w:rsidP="00662898">
      <w:pPr>
        <w:tabs>
          <w:tab w:val="left" w:pos="567"/>
        </w:tabs>
        <w:rPr>
          <w:sz w:val="22"/>
          <w:szCs w:val="22"/>
        </w:rPr>
      </w:pPr>
      <w:r>
        <w:rPr>
          <w:sz w:val="22"/>
          <w:szCs w:val="22"/>
        </w:rPr>
        <w:t>Medreg s.r.o.</w:t>
      </w:r>
    </w:p>
    <w:p w:rsidR="00662898" w:rsidRPr="00DB4491" w:rsidRDefault="001C0D5A" w:rsidP="00662898">
      <w:pPr>
        <w:tabs>
          <w:tab w:val="left" w:pos="567"/>
        </w:tabs>
        <w:rPr>
          <w:sz w:val="22"/>
          <w:szCs w:val="22"/>
        </w:rPr>
      </w:pPr>
      <w:r>
        <w:rPr>
          <w:sz w:val="22"/>
          <w:szCs w:val="22"/>
        </w:rPr>
        <w:t>Krčmářovská 223/33</w:t>
      </w:r>
    </w:p>
    <w:p w:rsidR="00662898" w:rsidRPr="00DB4491" w:rsidRDefault="001C0D5A" w:rsidP="00662898">
      <w:pPr>
        <w:tabs>
          <w:tab w:val="left" w:pos="567"/>
        </w:tabs>
        <w:rPr>
          <w:sz w:val="22"/>
          <w:szCs w:val="22"/>
        </w:rPr>
      </w:pPr>
      <w:r>
        <w:rPr>
          <w:sz w:val="22"/>
          <w:szCs w:val="22"/>
        </w:rPr>
        <w:t>196 00 Praha</w:t>
      </w:r>
    </w:p>
    <w:p w:rsidR="00662898" w:rsidRPr="00DB4491" w:rsidRDefault="001C0D5A" w:rsidP="00662898">
      <w:pPr>
        <w:tabs>
          <w:tab w:val="left" w:pos="567"/>
        </w:tabs>
        <w:rPr>
          <w:sz w:val="22"/>
          <w:szCs w:val="22"/>
        </w:rPr>
      </w:pPr>
      <w:r>
        <w:rPr>
          <w:sz w:val="22"/>
          <w:szCs w:val="22"/>
        </w:rPr>
        <w:t>Česká republika</w:t>
      </w:r>
    </w:p>
    <w:p w:rsidR="004979DE" w:rsidRPr="00DB4491" w:rsidRDefault="004979DE" w:rsidP="002379F8">
      <w:pPr>
        <w:autoSpaceDE w:val="0"/>
        <w:autoSpaceDN w:val="0"/>
        <w:adjustRightInd w:val="0"/>
        <w:jc w:val="both"/>
        <w:rPr>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8.</w:t>
      </w:r>
      <w:r>
        <w:rPr>
          <w:b/>
          <w:bCs/>
          <w:sz w:val="22"/>
          <w:szCs w:val="22"/>
        </w:rPr>
        <w:tab/>
        <w:t>REGISTRAČNÉ ČÍSLO</w:t>
      </w:r>
    </w:p>
    <w:p w:rsidR="005F55AC" w:rsidRPr="00DB4491" w:rsidRDefault="005F55AC" w:rsidP="002379F8">
      <w:pPr>
        <w:autoSpaceDE w:val="0"/>
        <w:autoSpaceDN w:val="0"/>
        <w:adjustRightInd w:val="0"/>
        <w:jc w:val="both"/>
        <w:rPr>
          <w:b/>
          <w:bCs/>
          <w:sz w:val="22"/>
          <w:szCs w:val="22"/>
        </w:rPr>
      </w:pPr>
    </w:p>
    <w:p w:rsidR="00DB4491" w:rsidRPr="00DB4491" w:rsidRDefault="00DB4491" w:rsidP="00DB4491">
      <w:pPr>
        <w:pStyle w:val="Odsekzoznamu"/>
        <w:shd w:val="clear" w:color="auto" w:fill="FFFFFF"/>
        <w:tabs>
          <w:tab w:val="left" w:pos="567"/>
        </w:tabs>
        <w:spacing w:after="0" w:line="240" w:lineRule="auto"/>
        <w:ind w:left="0"/>
        <w:jc w:val="both"/>
        <w:rPr>
          <w:rFonts w:ascii="Times New Roman" w:hAnsi="Times New Roman"/>
          <w:lang w:val="sk-SK"/>
        </w:rPr>
      </w:pPr>
      <w:r w:rsidRPr="00DB4491">
        <w:rPr>
          <w:rFonts w:ascii="Times New Roman" w:hAnsi="Times New Roman"/>
          <w:lang w:val="sk-SK"/>
        </w:rPr>
        <w:t>Sildenafil Medreg 25mg filmom obalené tablety</w:t>
      </w:r>
      <w:r>
        <w:rPr>
          <w:rFonts w:ascii="Times New Roman" w:hAnsi="Times New Roman"/>
          <w:lang w:val="sk-SK"/>
        </w:rPr>
        <w:t>:</w:t>
      </w:r>
      <w:r w:rsidR="007F7479">
        <w:rPr>
          <w:rFonts w:ascii="Times New Roman" w:hAnsi="Times New Roman"/>
          <w:lang w:val="sk-SK"/>
        </w:rPr>
        <w:t xml:space="preserve"> </w:t>
      </w:r>
      <w:r w:rsidR="007F7479" w:rsidRPr="007F7479">
        <w:rPr>
          <w:rFonts w:ascii="Times New Roman" w:hAnsi="Times New Roman"/>
          <w:lang w:val="sk-SK"/>
        </w:rPr>
        <w:t>83/000</w:t>
      </w:r>
      <w:r w:rsidR="007F7479">
        <w:rPr>
          <w:rFonts w:ascii="Times New Roman" w:hAnsi="Times New Roman"/>
          <w:lang w:val="sk-SK"/>
        </w:rPr>
        <w:t>5</w:t>
      </w:r>
      <w:r w:rsidR="007F7479" w:rsidRPr="007F7479">
        <w:rPr>
          <w:rFonts w:ascii="Times New Roman" w:hAnsi="Times New Roman"/>
          <w:lang w:val="sk-SK"/>
        </w:rPr>
        <w:t>/15-S</w:t>
      </w:r>
    </w:p>
    <w:p w:rsidR="00DB4491" w:rsidRPr="00DB4491" w:rsidRDefault="00DB4491" w:rsidP="00DB4491">
      <w:pPr>
        <w:pStyle w:val="Odsekzoznamu"/>
        <w:shd w:val="clear" w:color="auto" w:fill="FFFFFF"/>
        <w:tabs>
          <w:tab w:val="left" w:pos="567"/>
        </w:tabs>
        <w:spacing w:after="0" w:line="240" w:lineRule="auto"/>
        <w:ind w:left="0"/>
        <w:jc w:val="both"/>
        <w:rPr>
          <w:rFonts w:ascii="Times New Roman" w:hAnsi="Times New Roman"/>
          <w:lang w:val="sk-SK"/>
        </w:rPr>
      </w:pPr>
      <w:r w:rsidRPr="00DB4491">
        <w:rPr>
          <w:rFonts w:ascii="Times New Roman" w:hAnsi="Times New Roman"/>
          <w:lang w:val="sk-SK"/>
        </w:rPr>
        <w:t xml:space="preserve">Sildenafil Medreg </w:t>
      </w:r>
      <w:r>
        <w:rPr>
          <w:rFonts w:ascii="Times New Roman" w:hAnsi="Times New Roman"/>
          <w:lang w:val="sk-SK"/>
        </w:rPr>
        <w:t xml:space="preserve">50 </w:t>
      </w:r>
      <w:r w:rsidRPr="00DB4491">
        <w:rPr>
          <w:rFonts w:ascii="Times New Roman" w:hAnsi="Times New Roman"/>
          <w:lang w:val="sk-SK"/>
        </w:rPr>
        <w:t>mg filmom obalené tablety</w:t>
      </w:r>
      <w:r>
        <w:rPr>
          <w:rFonts w:ascii="Times New Roman" w:hAnsi="Times New Roman"/>
          <w:lang w:val="sk-SK"/>
        </w:rPr>
        <w:t>:</w:t>
      </w:r>
      <w:r w:rsidR="007F7479">
        <w:rPr>
          <w:rFonts w:ascii="Times New Roman" w:hAnsi="Times New Roman"/>
          <w:lang w:val="sk-SK"/>
        </w:rPr>
        <w:t xml:space="preserve"> </w:t>
      </w:r>
      <w:r w:rsidR="007F7479" w:rsidRPr="007F7479">
        <w:rPr>
          <w:rFonts w:ascii="Times New Roman" w:hAnsi="Times New Roman"/>
          <w:lang w:val="sk-SK"/>
        </w:rPr>
        <w:t>83/000</w:t>
      </w:r>
      <w:r w:rsidR="007F7479">
        <w:rPr>
          <w:rFonts w:ascii="Times New Roman" w:hAnsi="Times New Roman"/>
          <w:lang w:val="sk-SK"/>
        </w:rPr>
        <w:t>6</w:t>
      </w:r>
      <w:r w:rsidR="007F7479" w:rsidRPr="007F7479">
        <w:rPr>
          <w:rFonts w:ascii="Times New Roman" w:hAnsi="Times New Roman"/>
          <w:lang w:val="sk-SK"/>
        </w:rPr>
        <w:t>/15-S</w:t>
      </w:r>
    </w:p>
    <w:p w:rsidR="00DB4491" w:rsidRPr="00DB4491" w:rsidRDefault="00DB4491" w:rsidP="00DB4491">
      <w:pPr>
        <w:pStyle w:val="Odsekzoznamu"/>
        <w:shd w:val="clear" w:color="auto" w:fill="FFFFFF"/>
        <w:tabs>
          <w:tab w:val="left" w:pos="567"/>
        </w:tabs>
        <w:spacing w:after="0" w:line="240" w:lineRule="auto"/>
        <w:ind w:left="0"/>
        <w:jc w:val="both"/>
        <w:rPr>
          <w:rFonts w:ascii="Times New Roman" w:hAnsi="Times New Roman"/>
          <w:lang w:val="sk-SK"/>
        </w:rPr>
      </w:pPr>
      <w:r w:rsidRPr="00DB4491">
        <w:rPr>
          <w:rFonts w:ascii="Times New Roman" w:hAnsi="Times New Roman"/>
          <w:lang w:val="sk-SK"/>
        </w:rPr>
        <w:t xml:space="preserve">Sildenafil Medreg </w:t>
      </w:r>
      <w:r>
        <w:rPr>
          <w:rFonts w:ascii="Times New Roman" w:hAnsi="Times New Roman"/>
          <w:lang w:val="sk-SK"/>
        </w:rPr>
        <w:t xml:space="preserve">100 </w:t>
      </w:r>
      <w:r w:rsidRPr="00DB4491">
        <w:rPr>
          <w:rFonts w:ascii="Times New Roman" w:hAnsi="Times New Roman"/>
          <w:lang w:val="sk-SK"/>
        </w:rPr>
        <w:t>mg filmom obalené tablety</w:t>
      </w:r>
      <w:r>
        <w:rPr>
          <w:rFonts w:ascii="Times New Roman" w:hAnsi="Times New Roman"/>
          <w:lang w:val="sk-SK"/>
        </w:rPr>
        <w:t>:</w:t>
      </w:r>
      <w:r w:rsidR="007F7479">
        <w:rPr>
          <w:rFonts w:ascii="Times New Roman" w:hAnsi="Times New Roman"/>
          <w:lang w:val="sk-SK"/>
        </w:rPr>
        <w:t xml:space="preserve"> </w:t>
      </w:r>
      <w:r w:rsidR="007F7479" w:rsidRPr="007F7479">
        <w:rPr>
          <w:rFonts w:ascii="Times New Roman" w:hAnsi="Times New Roman"/>
          <w:lang w:val="sk-SK"/>
        </w:rPr>
        <w:t>83/0007/15-S</w:t>
      </w:r>
    </w:p>
    <w:p w:rsidR="00A75647" w:rsidRDefault="00A75647" w:rsidP="002379F8">
      <w:pPr>
        <w:autoSpaceDE w:val="0"/>
        <w:autoSpaceDN w:val="0"/>
        <w:adjustRightInd w:val="0"/>
        <w:jc w:val="both"/>
        <w:rPr>
          <w:b/>
          <w:bCs/>
          <w:sz w:val="22"/>
          <w:szCs w:val="22"/>
        </w:rPr>
      </w:pPr>
    </w:p>
    <w:p w:rsidR="00DB4491" w:rsidRPr="00DB4491" w:rsidRDefault="00DB4491" w:rsidP="002379F8">
      <w:pPr>
        <w:autoSpaceDE w:val="0"/>
        <w:autoSpaceDN w:val="0"/>
        <w:adjustRightInd w:val="0"/>
        <w:jc w:val="both"/>
        <w:rPr>
          <w:b/>
          <w:bCs/>
          <w:sz w:val="22"/>
          <w:szCs w:val="22"/>
        </w:rPr>
      </w:pPr>
    </w:p>
    <w:p w:rsidR="002379F8" w:rsidRPr="00DB4491" w:rsidRDefault="002379F8" w:rsidP="002379F8">
      <w:pPr>
        <w:autoSpaceDE w:val="0"/>
        <w:autoSpaceDN w:val="0"/>
        <w:adjustRightInd w:val="0"/>
        <w:jc w:val="both"/>
        <w:rPr>
          <w:b/>
          <w:bCs/>
          <w:sz w:val="22"/>
          <w:szCs w:val="22"/>
        </w:rPr>
      </w:pPr>
      <w:r w:rsidRPr="00DB4491">
        <w:rPr>
          <w:b/>
          <w:bCs/>
          <w:sz w:val="22"/>
          <w:szCs w:val="22"/>
        </w:rPr>
        <w:lastRenderedPageBreak/>
        <w:t>9.</w:t>
      </w:r>
      <w:r w:rsidR="004979DE" w:rsidRPr="00DB4491">
        <w:rPr>
          <w:b/>
          <w:bCs/>
          <w:sz w:val="22"/>
          <w:szCs w:val="22"/>
        </w:rPr>
        <w:tab/>
      </w:r>
      <w:r w:rsidR="00C454C5" w:rsidRPr="00DB4491">
        <w:rPr>
          <w:b/>
          <w:bCs/>
          <w:sz w:val="22"/>
          <w:szCs w:val="22"/>
        </w:rPr>
        <w:t>D</w:t>
      </w:r>
      <w:r w:rsidRPr="00DB4491">
        <w:rPr>
          <w:b/>
          <w:bCs/>
          <w:sz w:val="22"/>
          <w:szCs w:val="22"/>
        </w:rPr>
        <w:t>ÁTUM PRVEJ REGISTRÁCIE / PREDĹŽENIA REGISTRÁCIE</w:t>
      </w:r>
    </w:p>
    <w:p w:rsidR="004979DE" w:rsidRPr="00DB4491" w:rsidRDefault="004979DE" w:rsidP="002379F8">
      <w:pPr>
        <w:autoSpaceDE w:val="0"/>
        <w:autoSpaceDN w:val="0"/>
        <w:adjustRightInd w:val="0"/>
        <w:jc w:val="both"/>
        <w:rPr>
          <w:b/>
          <w:bCs/>
          <w:sz w:val="22"/>
          <w:szCs w:val="22"/>
        </w:rPr>
      </w:pPr>
    </w:p>
    <w:p w:rsidR="00233205" w:rsidRPr="00DB4491" w:rsidRDefault="00233205" w:rsidP="002379F8">
      <w:pPr>
        <w:autoSpaceDE w:val="0"/>
        <w:autoSpaceDN w:val="0"/>
        <w:adjustRightInd w:val="0"/>
        <w:jc w:val="both"/>
        <w:rPr>
          <w:b/>
          <w:bCs/>
          <w:sz w:val="22"/>
          <w:szCs w:val="22"/>
        </w:rPr>
      </w:pPr>
    </w:p>
    <w:p w:rsidR="002379F8" w:rsidRPr="00DB4491" w:rsidRDefault="001C0D5A" w:rsidP="002379F8">
      <w:pPr>
        <w:autoSpaceDE w:val="0"/>
        <w:autoSpaceDN w:val="0"/>
        <w:adjustRightInd w:val="0"/>
        <w:jc w:val="both"/>
        <w:rPr>
          <w:b/>
          <w:bCs/>
          <w:sz w:val="22"/>
          <w:szCs w:val="22"/>
        </w:rPr>
      </w:pPr>
      <w:r>
        <w:rPr>
          <w:b/>
          <w:bCs/>
          <w:sz w:val="22"/>
          <w:szCs w:val="22"/>
        </w:rPr>
        <w:t>10.</w:t>
      </w:r>
      <w:r>
        <w:rPr>
          <w:b/>
          <w:bCs/>
          <w:sz w:val="22"/>
          <w:szCs w:val="22"/>
        </w:rPr>
        <w:tab/>
        <w:t>DÁTUM REVÍZIE TEXTU</w:t>
      </w:r>
    </w:p>
    <w:p w:rsidR="00C94B90" w:rsidRPr="00DB4491" w:rsidRDefault="00C94B90">
      <w:pPr>
        <w:rPr>
          <w:sz w:val="22"/>
          <w:szCs w:val="22"/>
        </w:rPr>
      </w:pPr>
    </w:p>
    <w:p w:rsidR="002379F8" w:rsidRPr="00DB4491" w:rsidRDefault="007F7479">
      <w:pPr>
        <w:rPr>
          <w:sz w:val="22"/>
          <w:szCs w:val="22"/>
        </w:rPr>
      </w:pPr>
      <w:r>
        <w:rPr>
          <w:sz w:val="22"/>
          <w:szCs w:val="22"/>
        </w:rPr>
        <w:t>01/2015</w:t>
      </w:r>
    </w:p>
    <w:sectPr w:rsidR="002379F8" w:rsidRPr="00DB4491" w:rsidSect="00C41030">
      <w:headerReference w:type="even" r:id="rId8"/>
      <w:headerReference w:type="default" r:id="rId9"/>
      <w:footerReference w:type="even" r:id="rId10"/>
      <w:footerReference w:type="default" r:id="rId11"/>
      <w:headerReference w:type="first" r:id="rId12"/>
      <w:footerReference w:type="first" r:id="rId13"/>
      <w:pgSz w:w="11907" w:h="16839" w:code="9"/>
      <w:pgMar w:top="1417" w:right="1417" w:bottom="1417" w:left="1417" w:header="708" w:footer="542"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1A7" w:rsidRDefault="00BF01A7">
      <w:r>
        <w:separator/>
      </w:r>
    </w:p>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endnote>
  <w:endnote w:type="continuationSeparator" w:id="0">
    <w:p w:rsidR="00BF01A7" w:rsidRDefault="00BF01A7">
      <w:r>
        <w:continuationSeparator/>
      </w:r>
    </w:p>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 w:name="TimesNewRomanPS-BoldMT CE">
    <w:altName w:val="Times New Roman"/>
    <w:panose1 w:val="00000000000000000000"/>
    <w:charset w:val="EE"/>
    <w:family w:val="roman"/>
    <w:notTrueType/>
    <w:pitch w:val="default"/>
    <w:sig w:usb0="00000005" w:usb1="00000000" w:usb2="00000000" w:usb3="00000000" w:csb0="00000002"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Segoe UI"/>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699" w:rsidRDefault="00215699">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957" w:rsidRDefault="005138DD" w:rsidP="00EF3957">
    <w:pPr>
      <w:pStyle w:val="Pta"/>
      <w:framePr w:wrap="auto" w:vAnchor="text" w:hAnchor="page" w:x="10336" w:y="1"/>
      <w:rPr>
        <w:rStyle w:val="slostrany"/>
      </w:rPr>
    </w:pPr>
    <w:r>
      <w:rPr>
        <w:rStyle w:val="slostrany"/>
      </w:rPr>
      <w:fldChar w:fldCharType="begin"/>
    </w:r>
    <w:r w:rsidR="00EF3957">
      <w:rPr>
        <w:rStyle w:val="slostrany"/>
      </w:rPr>
      <w:instrText xml:space="preserve">PAGE  </w:instrText>
    </w:r>
    <w:r>
      <w:rPr>
        <w:rStyle w:val="slostrany"/>
      </w:rPr>
      <w:fldChar w:fldCharType="separate"/>
    </w:r>
    <w:r w:rsidR="00EA01B5">
      <w:rPr>
        <w:rStyle w:val="slostrany"/>
        <w:noProof/>
      </w:rPr>
      <w:t>9</w:t>
    </w:r>
    <w:r>
      <w:rPr>
        <w:rStyle w:val="slostrany"/>
      </w:rPr>
      <w:fldChar w:fldCharType="end"/>
    </w:r>
  </w:p>
  <w:p w:rsidR="002E653E" w:rsidRDefault="002E653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699" w:rsidRDefault="00215699">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1A7" w:rsidRDefault="00BF01A7">
      <w:r>
        <w:separator/>
      </w:r>
    </w:p>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footnote>
  <w:footnote w:type="continuationSeparator" w:id="0">
    <w:p w:rsidR="00BF01A7" w:rsidRDefault="00BF01A7">
      <w:r>
        <w:continuationSeparator/>
      </w:r>
    </w:p>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p w:rsidR="00BF01A7" w:rsidRDefault="00BF01A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699" w:rsidRDefault="00215699">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699" w:rsidRDefault="00215699">
    <w:pPr>
      <w:pStyle w:val="Hlavik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53E" w:rsidRPr="00722563" w:rsidRDefault="00A6077E" w:rsidP="00722563">
    <w:pPr>
      <w:pStyle w:val="Hlavika"/>
      <w:rPr>
        <w:sz w:val="18"/>
        <w:szCs w:val="18"/>
      </w:rPr>
    </w:pPr>
    <w:r>
      <w:rPr>
        <w:sz w:val="18"/>
        <w:szCs w:val="18"/>
      </w:rPr>
      <w:t>Schválený text k rozhodnutiu o registrácii, ev. č.</w:t>
    </w:r>
    <w:r w:rsidR="00DB4491" w:rsidRPr="00DB4491">
      <w:t xml:space="preserve"> </w:t>
    </w:r>
    <w:r w:rsidR="00DB4491" w:rsidRPr="00DB4491">
      <w:rPr>
        <w:sz w:val="18"/>
        <w:szCs w:val="18"/>
      </w:rPr>
      <w:t>2013/04946</w:t>
    </w:r>
    <w:r w:rsidR="00DB4491">
      <w:rPr>
        <w:sz w:val="18"/>
        <w:szCs w:val="18"/>
      </w:rPr>
      <w:t xml:space="preserve">, </w:t>
    </w:r>
    <w:r w:rsidR="00DB4491" w:rsidRPr="00DB4491">
      <w:rPr>
        <w:sz w:val="18"/>
        <w:szCs w:val="18"/>
      </w:rPr>
      <w:t>2013/0494</w:t>
    </w:r>
    <w:r w:rsidR="00DB4491">
      <w:rPr>
        <w:sz w:val="18"/>
        <w:szCs w:val="18"/>
      </w:rPr>
      <w:t xml:space="preserve">7 a </w:t>
    </w:r>
    <w:r w:rsidR="00DB4491" w:rsidRPr="00DB4491">
      <w:rPr>
        <w:sz w:val="18"/>
        <w:szCs w:val="18"/>
      </w:rPr>
      <w:t>2013/0494</w:t>
    </w:r>
    <w:r w:rsidR="00DB4491">
      <w:rPr>
        <w:sz w:val="18"/>
        <w:szCs w:val="18"/>
      </w:rPr>
      <w:t>8</w:t>
    </w:r>
    <w:r w:rsidR="00215699">
      <w:rPr>
        <w:sz w:val="18"/>
        <w:szCs w:val="18"/>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04841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930B87"/>
    <w:multiLevelType w:val="hybridMultilevel"/>
    <w:tmpl w:val="CB8C5B6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C845FCB"/>
    <w:multiLevelType w:val="hybridMultilevel"/>
    <w:tmpl w:val="79C0422C"/>
    <w:lvl w:ilvl="0" w:tplc="61B4C3B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D4E32B2"/>
    <w:multiLevelType w:val="hybridMultilevel"/>
    <w:tmpl w:val="3500B6EC"/>
    <w:lvl w:ilvl="0" w:tplc="61B4C3B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eza Lunackova">
    <w15:presenceInfo w15:providerId="Windows Live" w15:userId="f836eb64d403d8c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BE1974"/>
    <w:rsid w:val="000033D8"/>
    <w:rsid w:val="00005100"/>
    <w:rsid w:val="0001600A"/>
    <w:rsid w:val="0006257F"/>
    <w:rsid w:val="0008465E"/>
    <w:rsid w:val="00092491"/>
    <w:rsid w:val="000B654D"/>
    <w:rsid w:val="000B73B8"/>
    <w:rsid w:val="000D2AE5"/>
    <w:rsid w:val="000D477A"/>
    <w:rsid w:val="000D5A72"/>
    <w:rsid w:val="000D70DB"/>
    <w:rsid w:val="000E096B"/>
    <w:rsid w:val="000E58F2"/>
    <w:rsid w:val="000E6ED0"/>
    <w:rsid w:val="000F0590"/>
    <w:rsid w:val="00100BF7"/>
    <w:rsid w:val="0010684E"/>
    <w:rsid w:val="00110898"/>
    <w:rsid w:val="00112E53"/>
    <w:rsid w:val="0011571A"/>
    <w:rsid w:val="00135DE6"/>
    <w:rsid w:val="001476E5"/>
    <w:rsid w:val="0015147D"/>
    <w:rsid w:val="00152148"/>
    <w:rsid w:val="001555C6"/>
    <w:rsid w:val="00164026"/>
    <w:rsid w:val="00164F8E"/>
    <w:rsid w:val="00167D50"/>
    <w:rsid w:val="001770A0"/>
    <w:rsid w:val="00187124"/>
    <w:rsid w:val="001A2771"/>
    <w:rsid w:val="001A5831"/>
    <w:rsid w:val="001A6D0F"/>
    <w:rsid w:val="001A72BB"/>
    <w:rsid w:val="001A77A7"/>
    <w:rsid w:val="001C0D5A"/>
    <w:rsid w:val="001D2B2D"/>
    <w:rsid w:val="001D3A40"/>
    <w:rsid w:val="001F647A"/>
    <w:rsid w:val="00204EF6"/>
    <w:rsid w:val="00214B7F"/>
    <w:rsid w:val="00214C15"/>
    <w:rsid w:val="00215699"/>
    <w:rsid w:val="002206BC"/>
    <w:rsid w:val="00233205"/>
    <w:rsid w:val="002379F8"/>
    <w:rsid w:val="002527F4"/>
    <w:rsid w:val="00255D18"/>
    <w:rsid w:val="00265F74"/>
    <w:rsid w:val="002755D8"/>
    <w:rsid w:val="002761F1"/>
    <w:rsid w:val="00280220"/>
    <w:rsid w:val="002824C9"/>
    <w:rsid w:val="00291E91"/>
    <w:rsid w:val="00297491"/>
    <w:rsid w:val="002A2B3F"/>
    <w:rsid w:val="002D47BC"/>
    <w:rsid w:val="002D5D14"/>
    <w:rsid w:val="002E5309"/>
    <w:rsid w:val="002E653E"/>
    <w:rsid w:val="002E665A"/>
    <w:rsid w:val="002E6AB7"/>
    <w:rsid w:val="002E79E8"/>
    <w:rsid w:val="002F0D4B"/>
    <w:rsid w:val="002F1D88"/>
    <w:rsid w:val="00301875"/>
    <w:rsid w:val="0031627A"/>
    <w:rsid w:val="00316E75"/>
    <w:rsid w:val="00351A92"/>
    <w:rsid w:val="00353FB2"/>
    <w:rsid w:val="00367DCE"/>
    <w:rsid w:val="003959BA"/>
    <w:rsid w:val="003A1066"/>
    <w:rsid w:val="003B7C9A"/>
    <w:rsid w:val="003E1016"/>
    <w:rsid w:val="003F3B4B"/>
    <w:rsid w:val="00403B6C"/>
    <w:rsid w:val="00405F84"/>
    <w:rsid w:val="00416450"/>
    <w:rsid w:val="00452703"/>
    <w:rsid w:val="00462C50"/>
    <w:rsid w:val="004979DE"/>
    <w:rsid w:val="004A127A"/>
    <w:rsid w:val="004A528E"/>
    <w:rsid w:val="004A793B"/>
    <w:rsid w:val="004B585D"/>
    <w:rsid w:val="004C0468"/>
    <w:rsid w:val="004C1B26"/>
    <w:rsid w:val="004C2555"/>
    <w:rsid w:val="004E236F"/>
    <w:rsid w:val="004F749D"/>
    <w:rsid w:val="00505F30"/>
    <w:rsid w:val="0051379B"/>
    <w:rsid w:val="005138DD"/>
    <w:rsid w:val="00522F3E"/>
    <w:rsid w:val="005263E3"/>
    <w:rsid w:val="00535E41"/>
    <w:rsid w:val="00546466"/>
    <w:rsid w:val="00554744"/>
    <w:rsid w:val="00554B83"/>
    <w:rsid w:val="00561470"/>
    <w:rsid w:val="00571D2A"/>
    <w:rsid w:val="00572414"/>
    <w:rsid w:val="0058701F"/>
    <w:rsid w:val="005947AD"/>
    <w:rsid w:val="005A5F7E"/>
    <w:rsid w:val="005B690F"/>
    <w:rsid w:val="005B69EB"/>
    <w:rsid w:val="005D6097"/>
    <w:rsid w:val="005D7483"/>
    <w:rsid w:val="005E1EB6"/>
    <w:rsid w:val="005F55AC"/>
    <w:rsid w:val="005F7B7B"/>
    <w:rsid w:val="0060209E"/>
    <w:rsid w:val="006049A6"/>
    <w:rsid w:val="006220F5"/>
    <w:rsid w:val="00655C93"/>
    <w:rsid w:val="00662898"/>
    <w:rsid w:val="00663AE2"/>
    <w:rsid w:val="00670CD9"/>
    <w:rsid w:val="0068711F"/>
    <w:rsid w:val="006B52EB"/>
    <w:rsid w:val="006B77CF"/>
    <w:rsid w:val="006E3B66"/>
    <w:rsid w:val="006E3F08"/>
    <w:rsid w:val="006F0102"/>
    <w:rsid w:val="0070134D"/>
    <w:rsid w:val="00702FE1"/>
    <w:rsid w:val="00706991"/>
    <w:rsid w:val="00712631"/>
    <w:rsid w:val="00713859"/>
    <w:rsid w:val="00722563"/>
    <w:rsid w:val="007309B4"/>
    <w:rsid w:val="0075441A"/>
    <w:rsid w:val="007736B8"/>
    <w:rsid w:val="00774639"/>
    <w:rsid w:val="00787964"/>
    <w:rsid w:val="0079771F"/>
    <w:rsid w:val="007A3046"/>
    <w:rsid w:val="007A323E"/>
    <w:rsid w:val="007F4C6B"/>
    <w:rsid w:val="007F520B"/>
    <w:rsid w:val="007F7479"/>
    <w:rsid w:val="008002C9"/>
    <w:rsid w:val="0082454C"/>
    <w:rsid w:val="00835A10"/>
    <w:rsid w:val="008378DF"/>
    <w:rsid w:val="00850211"/>
    <w:rsid w:val="00852C0C"/>
    <w:rsid w:val="00857627"/>
    <w:rsid w:val="00860778"/>
    <w:rsid w:val="008B16EA"/>
    <w:rsid w:val="008B79C1"/>
    <w:rsid w:val="008C0ECB"/>
    <w:rsid w:val="008C1025"/>
    <w:rsid w:val="008D7E63"/>
    <w:rsid w:val="008E0452"/>
    <w:rsid w:val="008E11ED"/>
    <w:rsid w:val="008E1B33"/>
    <w:rsid w:val="008F0169"/>
    <w:rsid w:val="008F5FF8"/>
    <w:rsid w:val="00900F22"/>
    <w:rsid w:val="009143F0"/>
    <w:rsid w:val="00917BF9"/>
    <w:rsid w:val="00923DC9"/>
    <w:rsid w:val="00925639"/>
    <w:rsid w:val="009378FD"/>
    <w:rsid w:val="00947A0A"/>
    <w:rsid w:val="00954185"/>
    <w:rsid w:val="00956879"/>
    <w:rsid w:val="009637B5"/>
    <w:rsid w:val="00963F28"/>
    <w:rsid w:val="0096476F"/>
    <w:rsid w:val="00970C66"/>
    <w:rsid w:val="00971C72"/>
    <w:rsid w:val="009728C2"/>
    <w:rsid w:val="00974F7A"/>
    <w:rsid w:val="00976076"/>
    <w:rsid w:val="00983CE1"/>
    <w:rsid w:val="0099198E"/>
    <w:rsid w:val="009A2108"/>
    <w:rsid w:val="009B3BED"/>
    <w:rsid w:val="009B4AEB"/>
    <w:rsid w:val="009B7DA0"/>
    <w:rsid w:val="009C5628"/>
    <w:rsid w:val="009D13F0"/>
    <w:rsid w:val="009E1354"/>
    <w:rsid w:val="009E6EC8"/>
    <w:rsid w:val="009F763A"/>
    <w:rsid w:val="00A167FC"/>
    <w:rsid w:val="00A26C57"/>
    <w:rsid w:val="00A42364"/>
    <w:rsid w:val="00A5220F"/>
    <w:rsid w:val="00A56CF5"/>
    <w:rsid w:val="00A6077E"/>
    <w:rsid w:val="00A65E68"/>
    <w:rsid w:val="00A7023B"/>
    <w:rsid w:val="00A75647"/>
    <w:rsid w:val="00A855D7"/>
    <w:rsid w:val="00A911A8"/>
    <w:rsid w:val="00A96BD6"/>
    <w:rsid w:val="00AA07B8"/>
    <w:rsid w:val="00AA5299"/>
    <w:rsid w:val="00AA5619"/>
    <w:rsid w:val="00AA64A9"/>
    <w:rsid w:val="00AB00F1"/>
    <w:rsid w:val="00AB5340"/>
    <w:rsid w:val="00AD2CD8"/>
    <w:rsid w:val="00AD70F9"/>
    <w:rsid w:val="00B00820"/>
    <w:rsid w:val="00B03DA3"/>
    <w:rsid w:val="00B11DA7"/>
    <w:rsid w:val="00B2377E"/>
    <w:rsid w:val="00B25ECF"/>
    <w:rsid w:val="00B442AB"/>
    <w:rsid w:val="00B5518E"/>
    <w:rsid w:val="00B61485"/>
    <w:rsid w:val="00B77B01"/>
    <w:rsid w:val="00BA1333"/>
    <w:rsid w:val="00BA3ACC"/>
    <w:rsid w:val="00BA7633"/>
    <w:rsid w:val="00BB250B"/>
    <w:rsid w:val="00BB3F6C"/>
    <w:rsid w:val="00BD7271"/>
    <w:rsid w:val="00BE1974"/>
    <w:rsid w:val="00BF01A7"/>
    <w:rsid w:val="00BF0A76"/>
    <w:rsid w:val="00BF2919"/>
    <w:rsid w:val="00C1472A"/>
    <w:rsid w:val="00C22414"/>
    <w:rsid w:val="00C27851"/>
    <w:rsid w:val="00C41030"/>
    <w:rsid w:val="00C454C5"/>
    <w:rsid w:val="00C5054A"/>
    <w:rsid w:val="00C52FA8"/>
    <w:rsid w:val="00C57255"/>
    <w:rsid w:val="00C66F56"/>
    <w:rsid w:val="00C70A80"/>
    <w:rsid w:val="00C70B60"/>
    <w:rsid w:val="00C734A7"/>
    <w:rsid w:val="00C80631"/>
    <w:rsid w:val="00C84988"/>
    <w:rsid w:val="00C870A9"/>
    <w:rsid w:val="00C9146E"/>
    <w:rsid w:val="00C91E0F"/>
    <w:rsid w:val="00C94B90"/>
    <w:rsid w:val="00C97AD0"/>
    <w:rsid w:val="00CA379B"/>
    <w:rsid w:val="00CB010F"/>
    <w:rsid w:val="00CB2E57"/>
    <w:rsid w:val="00CC4F88"/>
    <w:rsid w:val="00CF4459"/>
    <w:rsid w:val="00D05925"/>
    <w:rsid w:val="00D06C95"/>
    <w:rsid w:val="00D11455"/>
    <w:rsid w:val="00D11C91"/>
    <w:rsid w:val="00D26AE7"/>
    <w:rsid w:val="00D32636"/>
    <w:rsid w:val="00D56AE0"/>
    <w:rsid w:val="00D63276"/>
    <w:rsid w:val="00D639C4"/>
    <w:rsid w:val="00D766E2"/>
    <w:rsid w:val="00D77B8E"/>
    <w:rsid w:val="00D826E8"/>
    <w:rsid w:val="00D91A3A"/>
    <w:rsid w:val="00D97F25"/>
    <w:rsid w:val="00DA109A"/>
    <w:rsid w:val="00DA4D29"/>
    <w:rsid w:val="00DB4491"/>
    <w:rsid w:val="00DB5843"/>
    <w:rsid w:val="00DC399D"/>
    <w:rsid w:val="00DD2A5B"/>
    <w:rsid w:val="00DF0247"/>
    <w:rsid w:val="00DF1C84"/>
    <w:rsid w:val="00E03E7D"/>
    <w:rsid w:val="00E20083"/>
    <w:rsid w:val="00E427D1"/>
    <w:rsid w:val="00E67674"/>
    <w:rsid w:val="00E7506D"/>
    <w:rsid w:val="00E7565C"/>
    <w:rsid w:val="00E81FD6"/>
    <w:rsid w:val="00E97CEB"/>
    <w:rsid w:val="00EA01B5"/>
    <w:rsid w:val="00EC29B4"/>
    <w:rsid w:val="00ED6AFD"/>
    <w:rsid w:val="00EE0F81"/>
    <w:rsid w:val="00EF3957"/>
    <w:rsid w:val="00F03EE4"/>
    <w:rsid w:val="00F072B2"/>
    <w:rsid w:val="00F0772C"/>
    <w:rsid w:val="00F078BC"/>
    <w:rsid w:val="00F14663"/>
    <w:rsid w:val="00F16427"/>
    <w:rsid w:val="00F27016"/>
    <w:rsid w:val="00F36A07"/>
    <w:rsid w:val="00F37D20"/>
    <w:rsid w:val="00F413D2"/>
    <w:rsid w:val="00F62150"/>
    <w:rsid w:val="00F67F0D"/>
    <w:rsid w:val="00F70D50"/>
    <w:rsid w:val="00F70EB9"/>
    <w:rsid w:val="00F7719A"/>
    <w:rsid w:val="00F84528"/>
    <w:rsid w:val="00FB1897"/>
    <w:rsid w:val="00FB3C1B"/>
    <w:rsid w:val="00FB7B07"/>
    <w:rsid w:val="00FE4674"/>
    <w:rsid w:val="00FE5282"/>
    <w:rsid w:val="00FE5F95"/>
    <w:rsid w:val="00FF6D8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F0590"/>
    <w:rPr>
      <w:sz w:val="24"/>
      <w:szCs w:val="24"/>
      <w:lang w:val="sk-SK"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99"/>
    <w:rsid w:val="00971C72"/>
    <w:rPr>
      <w:lang w:eastAsia="sk-S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rsid w:val="0006257F"/>
    <w:rPr>
      <w:rFonts w:ascii="Tahoma" w:hAnsi="Tahoma"/>
      <w:sz w:val="16"/>
      <w:szCs w:val="16"/>
    </w:rPr>
  </w:style>
  <w:style w:type="character" w:customStyle="1" w:styleId="TextbublinyChar">
    <w:name w:val="Text bubliny Char"/>
    <w:link w:val="Textbubliny"/>
    <w:uiPriority w:val="99"/>
    <w:semiHidden/>
    <w:locked/>
    <w:rsid w:val="000F0590"/>
    <w:rPr>
      <w:rFonts w:ascii="Tahoma" w:hAnsi="Tahoma" w:cs="Tahoma"/>
      <w:sz w:val="16"/>
      <w:szCs w:val="16"/>
      <w:lang w:val="en-US" w:eastAsia="en-US"/>
    </w:rPr>
  </w:style>
  <w:style w:type="character" w:styleId="Odkaznakomentr">
    <w:name w:val="annotation reference"/>
    <w:uiPriority w:val="99"/>
    <w:semiHidden/>
    <w:rsid w:val="00F27016"/>
    <w:rPr>
      <w:rFonts w:cs="Times New Roman"/>
      <w:sz w:val="16"/>
      <w:szCs w:val="16"/>
    </w:rPr>
  </w:style>
  <w:style w:type="paragraph" w:styleId="Textkomentra">
    <w:name w:val="annotation text"/>
    <w:basedOn w:val="Normlny"/>
    <w:link w:val="TextkomentraChar"/>
    <w:uiPriority w:val="99"/>
    <w:semiHidden/>
    <w:rsid w:val="00F27016"/>
    <w:rPr>
      <w:sz w:val="20"/>
      <w:szCs w:val="20"/>
    </w:rPr>
  </w:style>
  <w:style w:type="character" w:customStyle="1" w:styleId="TextkomentraChar">
    <w:name w:val="Text komentára Char"/>
    <w:link w:val="Textkomentra"/>
    <w:uiPriority w:val="99"/>
    <w:semiHidden/>
    <w:locked/>
    <w:rsid w:val="000F0590"/>
    <w:rPr>
      <w:rFonts w:cs="Times New Roman"/>
      <w:sz w:val="20"/>
      <w:szCs w:val="20"/>
      <w:lang w:val="en-US" w:eastAsia="en-US"/>
    </w:rPr>
  </w:style>
  <w:style w:type="paragraph" w:styleId="Predmetkomentra">
    <w:name w:val="annotation subject"/>
    <w:basedOn w:val="Textkomentra"/>
    <w:next w:val="Textkomentra"/>
    <w:link w:val="PredmetkomentraChar"/>
    <w:uiPriority w:val="99"/>
    <w:semiHidden/>
    <w:rsid w:val="00F27016"/>
    <w:rPr>
      <w:b/>
      <w:bCs/>
    </w:rPr>
  </w:style>
  <w:style w:type="character" w:customStyle="1" w:styleId="PredmetkomentraChar">
    <w:name w:val="Predmet komentára Char"/>
    <w:link w:val="Predmetkomentra"/>
    <w:uiPriority w:val="99"/>
    <w:semiHidden/>
    <w:locked/>
    <w:rsid w:val="000F0590"/>
    <w:rPr>
      <w:rFonts w:cs="Times New Roman"/>
      <w:b/>
      <w:bCs/>
      <w:sz w:val="20"/>
      <w:szCs w:val="20"/>
      <w:lang w:val="en-US" w:eastAsia="en-US"/>
    </w:rPr>
  </w:style>
  <w:style w:type="paragraph" w:styleId="Pta">
    <w:name w:val="footer"/>
    <w:basedOn w:val="Normlny"/>
    <w:link w:val="PtaChar"/>
    <w:uiPriority w:val="99"/>
    <w:rsid w:val="00005100"/>
    <w:pPr>
      <w:tabs>
        <w:tab w:val="center" w:pos="4153"/>
        <w:tab w:val="right" w:pos="8306"/>
      </w:tabs>
    </w:pPr>
  </w:style>
  <w:style w:type="character" w:customStyle="1" w:styleId="PtaChar">
    <w:name w:val="Päta Char"/>
    <w:link w:val="Pta"/>
    <w:uiPriority w:val="99"/>
    <w:semiHidden/>
    <w:locked/>
    <w:rsid w:val="000F0590"/>
    <w:rPr>
      <w:rFonts w:cs="Times New Roman"/>
      <w:sz w:val="24"/>
      <w:szCs w:val="24"/>
      <w:lang w:val="en-US" w:eastAsia="en-US"/>
    </w:rPr>
  </w:style>
  <w:style w:type="character" w:styleId="slostrany">
    <w:name w:val="page number"/>
    <w:uiPriority w:val="99"/>
    <w:rsid w:val="00005100"/>
    <w:rPr>
      <w:rFonts w:cs="Times New Roman"/>
    </w:rPr>
  </w:style>
  <w:style w:type="paragraph" w:customStyle="1" w:styleId="Bezriadkovania1">
    <w:name w:val="Bez riadkovania1"/>
    <w:uiPriority w:val="1"/>
    <w:qFormat/>
    <w:rsid w:val="00353FB2"/>
    <w:rPr>
      <w:sz w:val="24"/>
      <w:szCs w:val="24"/>
      <w:lang w:val="en-US" w:eastAsia="en-US"/>
    </w:rPr>
  </w:style>
  <w:style w:type="paragraph" w:styleId="Hlavika">
    <w:name w:val="header"/>
    <w:basedOn w:val="Normlny"/>
    <w:rsid w:val="00E67674"/>
    <w:pPr>
      <w:tabs>
        <w:tab w:val="center" w:pos="4153"/>
        <w:tab w:val="right" w:pos="8306"/>
      </w:tabs>
    </w:pPr>
  </w:style>
  <w:style w:type="character" w:styleId="Hypertextovprepojenie">
    <w:name w:val="Hyperlink"/>
    <w:rsid w:val="007A323E"/>
    <w:rPr>
      <w:color w:val="0000FF"/>
      <w:u w:val="single"/>
    </w:rPr>
  </w:style>
  <w:style w:type="paragraph" w:styleId="Odsekzoznamu">
    <w:name w:val="List Paragraph"/>
    <w:basedOn w:val="Normlny"/>
    <w:uiPriority w:val="34"/>
    <w:qFormat/>
    <w:rsid w:val="005B690F"/>
    <w:pPr>
      <w:spacing w:after="200" w:line="276" w:lineRule="auto"/>
      <w:ind w:left="720"/>
      <w:contextualSpacing/>
    </w:pPr>
    <w:rPr>
      <w:rFonts w:ascii="Calibri" w:hAnsi="Calibri"/>
      <w:sz w:val="22"/>
      <w:szCs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F0590"/>
    <w:rPr>
      <w:sz w:val="24"/>
      <w:szCs w:val="24"/>
      <w:lang w:val="sk-SK"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99"/>
    <w:rsid w:val="00971C72"/>
    <w:rPr>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rsid w:val="0006257F"/>
    <w:rPr>
      <w:rFonts w:ascii="Tahoma" w:hAnsi="Tahoma"/>
      <w:sz w:val="16"/>
      <w:szCs w:val="16"/>
    </w:rPr>
  </w:style>
  <w:style w:type="character" w:customStyle="1" w:styleId="TextbublinyChar">
    <w:name w:val="Text bubliny Char"/>
    <w:link w:val="Textbubliny"/>
    <w:uiPriority w:val="99"/>
    <w:semiHidden/>
    <w:locked/>
    <w:rsid w:val="000F0590"/>
    <w:rPr>
      <w:rFonts w:ascii="Tahoma" w:hAnsi="Tahoma" w:cs="Tahoma"/>
      <w:sz w:val="16"/>
      <w:szCs w:val="16"/>
      <w:lang w:val="en-US" w:eastAsia="en-US"/>
    </w:rPr>
  </w:style>
  <w:style w:type="character" w:styleId="Odkaznakoment">
    <w:name w:val="annotation reference"/>
    <w:uiPriority w:val="99"/>
    <w:semiHidden/>
    <w:rsid w:val="00F27016"/>
    <w:rPr>
      <w:rFonts w:cs="Times New Roman"/>
      <w:sz w:val="16"/>
      <w:szCs w:val="16"/>
    </w:rPr>
  </w:style>
  <w:style w:type="paragraph" w:styleId="Textkomente">
    <w:name w:val="annotation text"/>
    <w:basedOn w:val="Normln"/>
    <w:link w:val="TextkomenteChar"/>
    <w:uiPriority w:val="99"/>
    <w:semiHidden/>
    <w:rsid w:val="00F27016"/>
    <w:rPr>
      <w:sz w:val="20"/>
      <w:szCs w:val="20"/>
    </w:rPr>
  </w:style>
  <w:style w:type="character" w:customStyle="1" w:styleId="TextkomenteChar">
    <w:name w:val="Text komentáře Char"/>
    <w:link w:val="Textkomente"/>
    <w:uiPriority w:val="99"/>
    <w:semiHidden/>
    <w:locked/>
    <w:rsid w:val="000F0590"/>
    <w:rPr>
      <w:rFonts w:cs="Times New Roman"/>
      <w:sz w:val="20"/>
      <w:szCs w:val="20"/>
      <w:lang w:val="en-US" w:eastAsia="en-US"/>
    </w:rPr>
  </w:style>
  <w:style w:type="paragraph" w:styleId="Pedmtkomente">
    <w:name w:val="annotation subject"/>
    <w:basedOn w:val="Textkomente"/>
    <w:next w:val="Textkomente"/>
    <w:link w:val="PedmtkomenteChar"/>
    <w:uiPriority w:val="99"/>
    <w:semiHidden/>
    <w:rsid w:val="00F27016"/>
    <w:rPr>
      <w:b/>
      <w:bCs/>
    </w:rPr>
  </w:style>
  <w:style w:type="character" w:customStyle="1" w:styleId="PedmtkomenteChar">
    <w:name w:val="Předmět komentáře Char"/>
    <w:link w:val="Pedmtkomente"/>
    <w:uiPriority w:val="99"/>
    <w:semiHidden/>
    <w:locked/>
    <w:rsid w:val="000F0590"/>
    <w:rPr>
      <w:rFonts w:cs="Times New Roman"/>
      <w:b/>
      <w:bCs/>
      <w:sz w:val="20"/>
      <w:szCs w:val="20"/>
      <w:lang w:val="en-US" w:eastAsia="en-US"/>
    </w:rPr>
  </w:style>
  <w:style w:type="paragraph" w:styleId="Zpat">
    <w:name w:val="footer"/>
    <w:basedOn w:val="Normln"/>
    <w:link w:val="ZpatChar"/>
    <w:uiPriority w:val="99"/>
    <w:rsid w:val="00005100"/>
    <w:pPr>
      <w:tabs>
        <w:tab w:val="center" w:pos="4153"/>
        <w:tab w:val="right" w:pos="8306"/>
      </w:tabs>
    </w:pPr>
  </w:style>
  <w:style w:type="character" w:customStyle="1" w:styleId="ZpatChar">
    <w:name w:val="Zápatí Char"/>
    <w:link w:val="Zpat"/>
    <w:uiPriority w:val="99"/>
    <w:semiHidden/>
    <w:locked/>
    <w:rsid w:val="000F0590"/>
    <w:rPr>
      <w:rFonts w:cs="Times New Roman"/>
      <w:sz w:val="24"/>
      <w:szCs w:val="24"/>
      <w:lang w:val="en-US" w:eastAsia="en-US"/>
    </w:rPr>
  </w:style>
  <w:style w:type="character" w:styleId="slostrnky">
    <w:name w:val="page number"/>
    <w:uiPriority w:val="99"/>
    <w:rsid w:val="00005100"/>
    <w:rPr>
      <w:rFonts w:cs="Times New Roman"/>
    </w:rPr>
  </w:style>
  <w:style w:type="paragraph" w:customStyle="1" w:styleId="Bezriadkovania1">
    <w:name w:val="Bez riadkovania1"/>
    <w:uiPriority w:val="1"/>
    <w:qFormat/>
    <w:rsid w:val="00353FB2"/>
    <w:rPr>
      <w:sz w:val="24"/>
      <w:szCs w:val="24"/>
      <w:lang w:val="en-US" w:eastAsia="en-US"/>
    </w:rPr>
  </w:style>
  <w:style w:type="paragraph" w:styleId="Zhlav">
    <w:name w:val="header"/>
    <w:basedOn w:val="Normln"/>
    <w:rsid w:val="00E67674"/>
    <w:pPr>
      <w:tabs>
        <w:tab w:val="center" w:pos="4153"/>
        <w:tab w:val="right" w:pos="8306"/>
      </w:tabs>
    </w:pPr>
  </w:style>
  <w:style w:type="character" w:styleId="Hypertextovodkaz">
    <w:name w:val="Hyperlink"/>
    <w:rsid w:val="007A323E"/>
    <w:rPr>
      <w:color w:val="0000FF"/>
      <w:u w:val="single"/>
    </w:rPr>
  </w:style>
  <w:style w:type="paragraph" w:styleId="Odstavecseseznamem">
    <w:name w:val="List Paragraph"/>
    <w:basedOn w:val="Normln"/>
    <w:uiPriority w:val="34"/>
    <w:qFormat/>
    <w:rsid w:val="005B690F"/>
    <w:pPr>
      <w:spacing w:after="200" w:line="276" w:lineRule="auto"/>
      <w:ind w:left="720"/>
      <w:contextualSpacing/>
    </w:pPr>
    <w:rPr>
      <w:rFonts w:ascii="Calibri" w:hAnsi="Calibri"/>
      <w:sz w:val="22"/>
      <w:szCs w:val="22"/>
      <w:lang w:val="es-E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5173</Words>
  <Characters>29492</Characters>
  <Application>Microsoft Office Word</Application>
  <DocSecurity>0</DocSecurity>
  <Lines>245</Lines>
  <Paragraphs>69</Paragraphs>
  <ScaleCrop>false</ScaleCrop>
  <HeadingPairs>
    <vt:vector size="6" baseType="variant">
      <vt:variant>
        <vt:lpstr>Název</vt:lpstr>
      </vt:variant>
      <vt:variant>
        <vt:i4>1</vt:i4>
      </vt:variant>
      <vt:variant>
        <vt:lpstr>Názov</vt:lpstr>
      </vt:variant>
      <vt:variant>
        <vt:i4>1</vt:i4>
      </vt:variant>
      <vt:variant>
        <vt:lpstr>Title</vt:lpstr>
      </vt:variant>
      <vt:variant>
        <vt:i4>1</vt:i4>
      </vt:variant>
    </vt:vector>
  </HeadingPairs>
  <TitlesOfParts>
    <vt:vector size="3" baseType="lpstr">
      <vt:lpstr>hameln rds</vt:lpstr>
      <vt:lpstr>hameln rds</vt:lpstr>
      <vt:lpstr>hameln rds</vt:lpstr>
    </vt:vector>
  </TitlesOfParts>
  <Company>hameln gmbh</Company>
  <LinksUpToDate>false</LinksUpToDate>
  <CharactersWithSpaces>34596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hameln rds</dc:title>
  <dc:creator>hameln rds</dc:creator>
  <cp:lastModifiedBy>Peter Marosz</cp:lastModifiedBy>
  <cp:revision>2</cp:revision>
  <cp:lastPrinted>2011-01-18T14:43:00Z</cp:lastPrinted>
  <dcterms:created xsi:type="dcterms:W3CDTF">2015-01-20T10:27:00Z</dcterms:created>
  <dcterms:modified xsi:type="dcterms:W3CDTF">2015-01-20T10:27:00Z</dcterms:modified>
</cp:coreProperties>
</file>