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5F1" w:rsidRDefault="005275F1" w:rsidP="005275F1">
      <w:proofErr w:type="spellStart"/>
      <w:r>
        <w:rPr>
          <w:color w:val="000000"/>
          <w:sz w:val="18"/>
          <w:szCs w:val="18"/>
        </w:rPr>
        <w:t>Schválený</w:t>
      </w:r>
      <w:proofErr w:type="spellEnd"/>
      <w:r>
        <w:rPr>
          <w:color w:val="000000"/>
          <w:sz w:val="18"/>
          <w:szCs w:val="18"/>
        </w:rPr>
        <w:t xml:space="preserve"> text </w:t>
      </w:r>
      <w:r>
        <w:rPr>
          <w:sz w:val="18"/>
          <w:szCs w:val="18"/>
        </w:rPr>
        <w:t>k </w:t>
      </w:r>
      <w:proofErr w:type="spellStart"/>
      <w:r>
        <w:rPr>
          <w:sz w:val="18"/>
          <w:szCs w:val="18"/>
        </w:rPr>
        <w:t>rozhodnutiu</w:t>
      </w:r>
      <w:proofErr w:type="spellEnd"/>
      <w:r>
        <w:rPr>
          <w:sz w:val="18"/>
          <w:szCs w:val="18"/>
        </w:rPr>
        <w:t xml:space="preserve"> o </w:t>
      </w:r>
      <w:proofErr w:type="spellStart"/>
      <w:r>
        <w:rPr>
          <w:sz w:val="18"/>
          <w:szCs w:val="18"/>
        </w:rPr>
        <w:t>registrácii</w:t>
      </w:r>
      <w:proofErr w:type="spellEnd"/>
      <w:r>
        <w:rPr>
          <w:sz w:val="18"/>
          <w:szCs w:val="18"/>
        </w:rPr>
        <w:t xml:space="preserve">, </w:t>
      </w:r>
      <w:proofErr w:type="spellStart"/>
      <w:proofErr w:type="gramStart"/>
      <w:r>
        <w:rPr>
          <w:sz w:val="18"/>
          <w:szCs w:val="18"/>
        </w:rPr>
        <w:t>ev</w:t>
      </w:r>
      <w:proofErr w:type="spellEnd"/>
      <w:proofErr w:type="gramEnd"/>
      <w:r>
        <w:rPr>
          <w:sz w:val="18"/>
          <w:szCs w:val="18"/>
        </w:rPr>
        <w:t>. č.:</w:t>
      </w:r>
      <w:r w:rsidRPr="0002655C">
        <w:t xml:space="preserve"> </w:t>
      </w:r>
      <w:r w:rsidRPr="005275F1">
        <w:rPr>
          <w:sz w:val="18"/>
          <w:szCs w:val="18"/>
        </w:rPr>
        <w:t>2014/02631-REG</w:t>
      </w:r>
    </w:p>
    <w:p w:rsidR="00D56571" w:rsidRDefault="00D56571" w:rsidP="00D56571">
      <w:pPr>
        <w:pStyle w:val="Nzov"/>
        <w:widowControl/>
        <w:jc w:val="left"/>
        <w:rPr>
          <w:sz w:val="22"/>
          <w:szCs w:val="22"/>
          <w:lang w:val="sk-SK"/>
        </w:rPr>
      </w:pPr>
    </w:p>
    <w:p w:rsidR="00784A7D" w:rsidRPr="007D180D" w:rsidRDefault="00784A7D" w:rsidP="0072168C">
      <w:pPr>
        <w:pStyle w:val="Nzov"/>
        <w:widowControl/>
        <w:rPr>
          <w:sz w:val="22"/>
          <w:szCs w:val="22"/>
          <w:lang w:val="sk-SK"/>
        </w:rPr>
      </w:pPr>
      <w:r w:rsidRPr="007D180D">
        <w:rPr>
          <w:sz w:val="22"/>
          <w:szCs w:val="22"/>
          <w:lang w:val="sk-SK"/>
        </w:rPr>
        <w:t>SÚHRN CHARAKTERISTICKÝCH VLASTNOSTÍ LIEKU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1"/>
        <w:rPr>
          <w:rFonts w:cs="Times New Roman"/>
          <w:szCs w:val="22"/>
          <w:lang w:val="sk-SK"/>
        </w:rPr>
      </w:pPr>
      <w:r>
        <w:rPr>
          <w:rFonts w:cs="Times New Roman"/>
          <w:szCs w:val="22"/>
          <w:lang w:val="sk-SK"/>
        </w:rPr>
        <w:t>NÁZOV LIEKU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lang w:val="da-DK" w:eastAsia="nb-NO"/>
        </w:rPr>
        <w:t xml:space="preserve">Injexate 50 mg/ml injekčný roztok </w:t>
      </w:r>
      <w:r>
        <w:rPr>
          <w:bCs/>
          <w:lang w:val="sk-SK" w:eastAsia="en-IN"/>
        </w:rPr>
        <w:t>naplnený v</w:t>
      </w:r>
      <w:r>
        <w:rPr>
          <w:lang w:val="da-DK" w:eastAsia="nb-NO"/>
        </w:rPr>
        <w:t xml:space="preserve"> injekčnej striekačke</w:t>
      </w:r>
    </w:p>
    <w:p w:rsidR="00784A7D" w:rsidRPr="007D180D" w:rsidRDefault="00380482" w:rsidP="00380482">
      <w:pPr>
        <w:tabs>
          <w:tab w:val="left" w:pos="2495"/>
        </w:tabs>
        <w:rPr>
          <w:szCs w:val="22"/>
          <w:lang w:val="sk-SK"/>
        </w:rPr>
      </w:pPr>
      <w:r>
        <w:rPr>
          <w:szCs w:val="22"/>
          <w:lang w:val="sk-SK"/>
        </w:rPr>
        <w:tab/>
      </w:r>
    </w:p>
    <w:p w:rsidR="00E343E5" w:rsidRPr="007D180D" w:rsidRDefault="00E343E5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1"/>
        <w:rPr>
          <w:rFonts w:cs="Times New Roman"/>
          <w:szCs w:val="22"/>
          <w:lang w:val="sk-SK"/>
        </w:rPr>
      </w:pPr>
      <w:r>
        <w:rPr>
          <w:rFonts w:cs="Times New Roman"/>
          <w:szCs w:val="22"/>
          <w:lang w:val="sk-SK"/>
        </w:rPr>
        <w:t>KVALITATÍVNE A KVANTITATÍVNE ZLOŽENIE</w:t>
      </w:r>
    </w:p>
    <w:p w:rsidR="00784A7D" w:rsidRPr="007D180D" w:rsidRDefault="00784A7D" w:rsidP="0072168C">
      <w:pPr>
        <w:keepNext/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1 ml injekčného roztoku obsahuje 50 mg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 (vo forme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, </w:t>
      </w:r>
      <w:proofErr w:type="spellStart"/>
      <w:r>
        <w:rPr>
          <w:szCs w:val="22"/>
          <w:lang w:val="sk-SK"/>
        </w:rPr>
        <w:t>disodnej</w:t>
      </w:r>
      <w:proofErr w:type="spellEnd"/>
      <w:r>
        <w:rPr>
          <w:szCs w:val="22"/>
          <w:lang w:val="sk-SK"/>
        </w:rPr>
        <w:t xml:space="preserve"> soli).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1 naplnená injekčná striekačka s objemom 0,15 ml obsahuje 7,5 mg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>.</w:t>
      </w: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1 naplnená injekčná striekačka s objemom </w:t>
      </w:r>
      <w:r>
        <w:rPr>
          <w:snapToGrid w:val="0"/>
          <w:szCs w:val="22"/>
          <w:lang w:val="sk-SK" w:eastAsia="de-DE"/>
        </w:rPr>
        <w:t xml:space="preserve">0,20 ml </w:t>
      </w:r>
      <w:r>
        <w:rPr>
          <w:szCs w:val="22"/>
          <w:lang w:val="sk-SK"/>
        </w:rPr>
        <w:t>obsahuje</w:t>
      </w:r>
      <w:r>
        <w:rPr>
          <w:snapToGrid w:val="0"/>
          <w:szCs w:val="22"/>
          <w:lang w:val="sk-SK" w:eastAsia="de-DE"/>
        </w:rPr>
        <w:t xml:space="preserve"> 10 mg </w:t>
      </w:r>
      <w:proofErr w:type="spellStart"/>
      <w:r>
        <w:rPr>
          <w:snapToGrid w:val="0"/>
          <w:szCs w:val="22"/>
          <w:lang w:val="sk-SK" w:eastAsia="de-DE"/>
        </w:rPr>
        <w:t>metotrexátu</w:t>
      </w:r>
      <w:proofErr w:type="spellEnd"/>
      <w:r>
        <w:rPr>
          <w:snapToGrid w:val="0"/>
          <w:szCs w:val="22"/>
          <w:lang w:val="sk-SK" w:eastAsia="de-DE"/>
        </w:rPr>
        <w:t>.</w:t>
      </w:r>
    </w:p>
    <w:p w:rsidR="00B06557" w:rsidRPr="007D180D" w:rsidRDefault="00D56571" w:rsidP="00B06557">
      <w:pPr>
        <w:rPr>
          <w:szCs w:val="22"/>
          <w:lang w:val="sk-SK"/>
        </w:rPr>
      </w:pPr>
      <w:r>
        <w:rPr>
          <w:szCs w:val="22"/>
          <w:lang w:val="sk-SK"/>
        </w:rPr>
        <w:t xml:space="preserve">1 naplnená injekčná striekačka s objemom 0,25 ml obsahuje 12,5 mg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>.</w:t>
      </w: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1 naplnená injekčná striekačka s objemom </w:t>
      </w:r>
      <w:r>
        <w:rPr>
          <w:snapToGrid w:val="0"/>
          <w:szCs w:val="22"/>
          <w:lang w:val="sk-SK" w:eastAsia="de-DE"/>
        </w:rPr>
        <w:t xml:space="preserve">0,30 ml </w:t>
      </w:r>
      <w:r>
        <w:rPr>
          <w:szCs w:val="22"/>
          <w:lang w:val="sk-SK"/>
        </w:rPr>
        <w:t>obsahuje</w:t>
      </w:r>
      <w:r>
        <w:rPr>
          <w:snapToGrid w:val="0"/>
          <w:szCs w:val="22"/>
          <w:lang w:val="sk-SK" w:eastAsia="de-DE"/>
        </w:rPr>
        <w:t xml:space="preserve"> 15 mg </w:t>
      </w:r>
      <w:proofErr w:type="spellStart"/>
      <w:r>
        <w:rPr>
          <w:snapToGrid w:val="0"/>
          <w:szCs w:val="22"/>
          <w:lang w:val="sk-SK" w:eastAsia="de-DE"/>
        </w:rPr>
        <w:t>metotrexátu</w:t>
      </w:r>
      <w:proofErr w:type="spellEnd"/>
      <w:r>
        <w:rPr>
          <w:snapToGrid w:val="0"/>
          <w:szCs w:val="22"/>
          <w:lang w:val="sk-SK" w:eastAsia="de-DE"/>
        </w:rPr>
        <w:t>.</w:t>
      </w:r>
    </w:p>
    <w:p w:rsidR="00B06557" w:rsidRPr="007D180D" w:rsidRDefault="00D56571" w:rsidP="00B06557">
      <w:pPr>
        <w:rPr>
          <w:szCs w:val="22"/>
          <w:lang w:val="sk-SK"/>
        </w:rPr>
      </w:pPr>
      <w:r>
        <w:rPr>
          <w:szCs w:val="22"/>
          <w:lang w:val="sk-SK"/>
        </w:rPr>
        <w:t xml:space="preserve">1 naplnená injekčná striekačka s objemom </w:t>
      </w:r>
      <w:r>
        <w:rPr>
          <w:snapToGrid w:val="0"/>
          <w:szCs w:val="22"/>
          <w:lang w:val="sk-SK" w:eastAsia="de-DE"/>
        </w:rPr>
        <w:t xml:space="preserve">0,35 ml </w:t>
      </w:r>
      <w:r>
        <w:rPr>
          <w:szCs w:val="22"/>
          <w:lang w:val="sk-SK"/>
        </w:rPr>
        <w:t>obsahuje</w:t>
      </w:r>
      <w:r>
        <w:rPr>
          <w:snapToGrid w:val="0"/>
          <w:szCs w:val="22"/>
          <w:lang w:val="sk-SK" w:eastAsia="de-DE"/>
        </w:rPr>
        <w:t xml:space="preserve"> 17,5 mg </w:t>
      </w:r>
      <w:proofErr w:type="spellStart"/>
      <w:r>
        <w:rPr>
          <w:snapToGrid w:val="0"/>
          <w:szCs w:val="22"/>
          <w:lang w:val="sk-SK" w:eastAsia="de-DE"/>
        </w:rPr>
        <w:t>metotrexátu</w:t>
      </w:r>
      <w:proofErr w:type="spellEnd"/>
      <w:r>
        <w:rPr>
          <w:snapToGrid w:val="0"/>
          <w:szCs w:val="22"/>
          <w:lang w:val="sk-SK" w:eastAsia="de-DE"/>
        </w:rPr>
        <w:t>.</w:t>
      </w:r>
    </w:p>
    <w:p w:rsidR="00784A7D" w:rsidRPr="007D180D" w:rsidRDefault="00D56571" w:rsidP="0072168C">
      <w:pPr>
        <w:rPr>
          <w:snapToGrid w:val="0"/>
          <w:szCs w:val="22"/>
          <w:lang w:val="sk-SK" w:eastAsia="de-DE"/>
        </w:rPr>
      </w:pPr>
      <w:r>
        <w:rPr>
          <w:szCs w:val="22"/>
          <w:lang w:val="sk-SK"/>
        </w:rPr>
        <w:t xml:space="preserve">1 naplnená injekčná striekačka s objemom </w:t>
      </w:r>
      <w:r>
        <w:rPr>
          <w:snapToGrid w:val="0"/>
          <w:szCs w:val="22"/>
          <w:lang w:val="sk-SK" w:eastAsia="de-DE"/>
        </w:rPr>
        <w:t xml:space="preserve">0,40 ml </w:t>
      </w:r>
      <w:r>
        <w:rPr>
          <w:szCs w:val="22"/>
          <w:lang w:val="sk-SK"/>
        </w:rPr>
        <w:t>obsahuje</w:t>
      </w:r>
      <w:r>
        <w:rPr>
          <w:snapToGrid w:val="0"/>
          <w:szCs w:val="22"/>
          <w:lang w:val="sk-SK" w:eastAsia="de-DE"/>
        </w:rPr>
        <w:t xml:space="preserve"> 20 mg </w:t>
      </w:r>
      <w:proofErr w:type="spellStart"/>
      <w:r>
        <w:rPr>
          <w:snapToGrid w:val="0"/>
          <w:szCs w:val="22"/>
          <w:lang w:val="sk-SK" w:eastAsia="de-DE"/>
        </w:rPr>
        <w:t>metotrexátu</w:t>
      </w:r>
      <w:proofErr w:type="spellEnd"/>
      <w:r>
        <w:rPr>
          <w:snapToGrid w:val="0"/>
          <w:szCs w:val="22"/>
          <w:lang w:val="sk-SK" w:eastAsia="de-DE"/>
        </w:rPr>
        <w:t>.</w:t>
      </w:r>
    </w:p>
    <w:p w:rsidR="00B06557" w:rsidRPr="007D180D" w:rsidRDefault="00D56571" w:rsidP="00B06557">
      <w:pPr>
        <w:rPr>
          <w:szCs w:val="22"/>
          <w:lang w:val="sk-SK"/>
        </w:rPr>
      </w:pPr>
      <w:r>
        <w:rPr>
          <w:szCs w:val="22"/>
          <w:lang w:val="sk-SK"/>
        </w:rPr>
        <w:t xml:space="preserve">1 naplnená injekčná striekačka s objemom 0,45 ml obsahuje 22,5 mg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>.</w:t>
      </w:r>
    </w:p>
    <w:p w:rsidR="00784A7D" w:rsidRPr="007D180D" w:rsidRDefault="00D56571" w:rsidP="0072168C">
      <w:pPr>
        <w:rPr>
          <w:snapToGrid w:val="0"/>
          <w:szCs w:val="22"/>
          <w:lang w:val="sk-SK" w:eastAsia="de-DE"/>
        </w:rPr>
      </w:pPr>
      <w:r>
        <w:rPr>
          <w:szCs w:val="22"/>
          <w:lang w:val="sk-SK"/>
        </w:rPr>
        <w:t xml:space="preserve">1 naplnená injekčná striekačka s objemom </w:t>
      </w:r>
      <w:r>
        <w:rPr>
          <w:snapToGrid w:val="0"/>
          <w:szCs w:val="22"/>
          <w:lang w:val="sk-SK" w:eastAsia="de-DE"/>
        </w:rPr>
        <w:t xml:space="preserve">0,50 ml </w:t>
      </w:r>
      <w:r>
        <w:rPr>
          <w:szCs w:val="22"/>
          <w:lang w:val="sk-SK"/>
        </w:rPr>
        <w:t>obsahuje</w:t>
      </w:r>
      <w:r>
        <w:rPr>
          <w:snapToGrid w:val="0"/>
          <w:szCs w:val="22"/>
          <w:lang w:val="sk-SK" w:eastAsia="de-DE"/>
        </w:rPr>
        <w:t xml:space="preserve"> 25 mg </w:t>
      </w:r>
      <w:proofErr w:type="spellStart"/>
      <w:r>
        <w:rPr>
          <w:snapToGrid w:val="0"/>
          <w:szCs w:val="22"/>
          <w:lang w:val="sk-SK" w:eastAsia="de-DE"/>
        </w:rPr>
        <w:t>metotrexátu</w:t>
      </w:r>
      <w:proofErr w:type="spellEnd"/>
      <w:r>
        <w:rPr>
          <w:snapToGrid w:val="0"/>
          <w:szCs w:val="22"/>
          <w:lang w:val="sk-SK" w:eastAsia="de-DE"/>
        </w:rPr>
        <w:t>.</w:t>
      </w:r>
    </w:p>
    <w:p w:rsidR="00B06557" w:rsidRPr="007D180D" w:rsidRDefault="00D56571" w:rsidP="00B06557">
      <w:pPr>
        <w:rPr>
          <w:szCs w:val="22"/>
          <w:lang w:val="sk-SK"/>
        </w:rPr>
      </w:pPr>
      <w:r>
        <w:rPr>
          <w:szCs w:val="22"/>
          <w:lang w:val="sk-SK"/>
        </w:rPr>
        <w:t xml:space="preserve">1 naplnená injekčná striekačka s objemom </w:t>
      </w:r>
      <w:r>
        <w:rPr>
          <w:snapToGrid w:val="0"/>
          <w:szCs w:val="22"/>
          <w:lang w:val="sk-SK" w:eastAsia="de-DE"/>
        </w:rPr>
        <w:t xml:space="preserve">0,55 ml </w:t>
      </w:r>
      <w:r>
        <w:rPr>
          <w:szCs w:val="22"/>
          <w:lang w:val="sk-SK"/>
        </w:rPr>
        <w:t>obsahuje</w:t>
      </w:r>
      <w:r>
        <w:rPr>
          <w:snapToGrid w:val="0"/>
          <w:szCs w:val="22"/>
          <w:lang w:val="sk-SK" w:eastAsia="de-DE"/>
        </w:rPr>
        <w:t xml:space="preserve"> 27,5 mg </w:t>
      </w:r>
      <w:proofErr w:type="spellStart"/>
      <w:r>
        <w:rPr>
          <w:snapToGrid w:val="0"/>
          <w:szCs w:val="22"/>
          <w:lang w:val="sk-SK" w:eastAsia="de-DE"/>
        </w:rPr>
        <w:t>metotrexátu</w:t>
      </w:r>
      <w:proofErr w:type="spellEnd"/>
      <w:r>
        <w:rPr>
          <w:snapToGrid w:val="0"/>
          <w:szCs w:val="22"/>
          <w:lang w:val="sk-SK" w:eastAsia="de-DE"/>
        </w:rPr>
        <w:t>.</w:t>
      </w:r>
    </w:p>
    <w:p w:rsidR="000965DB" w:rsidRPr="007D180D" w:rsidRDefault="00D56571" w:rsidP="0072168C">
      <w:pPr>
        <w:rPr>
          <w:snapToGrid w:val="0"/>
          <w:szCs w:val="22"/>
          <w:lang w:val="sk-SK" w:eastAsia="de-DE"/>
        </w:rPr>
      </w:pPr>
      <w:r>
        <w:rPr>
          <w:snapToGrid w:val="0"/>
          <w:szCs w:val="22"/>
          <w:lang w:val="sk-SK" w:eastAsia="de-DE"/>
        </w:rPr>
        <w:t xml:space="preserve">1 naplnená injekčná striekačka s objemom 0,60 ml obsahuje 30 mg </w:t>
      </w:r>
      <w:proofErr w:type="spellStart"/>
      <w:r>
        <w:rPr>
          <w:snapToGrid w:val="0"/>
          <w:szCs w:val="22"/>
          <w:lang w:val="sk-SK" w:eastAsia="de-DE"/>
        </w:rPr>
        <w:t>metotrexátu</w:t>
      </w:r>
      <w:proofErr w:type="spellEnd"/>
      <w:r>
        <w:rPr>
          <w:snapToGrid w:val="0"/>
          <w:szCs w:val="22"/>
          <w:lang w:val="sk-SK" w:eastAsia="de-DE"/>
        </w:rPr>
        <w:t>.</w:t>
      </w:r>
    </w:p>
    <w:p w:rsidR="005B74CA" w:rsidRPr="007D180D" w:rsidRDefault="005B74CA" w:rsidP="0072168C">
      <w:pPr>
        <w:rPr>
          <w:snapToGrid w:val="0"/>
          <w:szCs w:val="22"/>
          <w:lang w:val="sk-SK" w:eastAsia="de-DE"/>
        </w:rPr>
      </w:pPr>
    </w:p>
    <w:p w:rsidR="005B74CA" w:rsidRPr="007D180D" w:rsidRDefault="00D56571" w:rsidP="0072168C">
      <w:pPr>
        <w:rPr>
          <w:szCs w:val="22"/>
          <w:u w:val="single"/>
          <w:lang w:val="sk-SK"/>
        </w:rPr>
      </w:pPr>
      <w:r>
        <w:rPr>
          <w:szCs w:val="22"/>
          <w:u w:val="single"/>
          <w:lang w:val="sk-SK"/>
        </w:rPr>
        <w:t>Pomocná látka so známym účinkom:</w:t>
      </w:r>
    </w:p>
    <w:p w:rsidR="005B74CA" w:rsidRPr="007D180D" w:rsidRDefault="00D56571" w:rsidP="0072168C">
      <w:pPr>
        <w:rPr>
          <w:szCs w:val="22"/>
          <w:lang w:val="sk-SK"/>
        </w:rPr>
      </w:pPr>
      <w:r>
        <w:rPr>
          <w:snapToGrid w:val="0"/>
          <w:szCs w:val="22"/>
          <w:lang w:val="sk-SK" w:eastAsia="de-DE"/>
        </w:rPr>
        <w:t xml:space="preserve">Každá naplnená injekčná striekačka obsahuje </w:t>
      </w:r>
      <w:r>
        <w:rPr>
          <w:lang w:val="sk-SK"/>
        </w:rPr>
        <w:t xml:space="preserve">&lt; 1 </w:t>
      </w:r>
      <w:proofErr w:type="spellStart"/>
      <w:r>
        <w:rPr>
          <w:lang w:val="sk-SK"/>
        </w:rPr>
        <w:t>mmol</w:t>
      </w:r>
      <w:proofErr w:type="spellEnd"/>
      <w:r>
        <w:rPr>
          <w:lang w:val="sk-SK"/>
        </w:rPr>
        <w:t xml:space="preserve"> sodíka.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>Úplný zoznam pomocných látok, pozri časť 6.1.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1"/>
        <w:rPr>
          <w:rFonts w:cs="Times New Roman"/>
          <w:szCs w:val="22"/>
          <w:lang w:val="sk-SK"/>
        </w:rPr>
      </w:pPr>
      <w:r>
        <w:rPr>
          <w:rFonts w:cs="Times New Roman"/>
          <w:szCs w:val="22"/>
          <w:lang w:val="sk-SK"/>
        </w:rPr>
        <w:t>LIEKOVÁ FORMA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AA4E15" w:rsidRPr="007D180D" w:rsidRDefault="00D56571" w:rsidP="0072168C">
      <w:pPr>
        <w:rPr>
          <w:szCs w:val="22"/>
          <w:lang w:val="sk-SK"/>
        </w:rPr>
      </w:pPr>
      <w:r>
        <w:rPr>
          <w:lang w:val="da-DK" w:eastAsia="nb-NO"/>
        </w:rPr>
        <w:t xml:space="preserve">Injekčný roztok </w:t>
      </w:r>
      <w:r>
        <w:rPr>
          <w:bCs/>
          <w:lang w:val="sk-SK" w:eastAsia="en-IN"/>
        </w:rPr>
        <w:t>naplnený v</w:t>
      </w:r>
      <w:r>
        <w:rPr>
          <w:lang w:val="da-DK" w:eastAsia="nb-NO"/>
        </w:rPr>
        <w:t xml:space="preserve"> injekčnej striekačke.</w:t>
      </w:r>
      <w:r>
        <w:rPr>
          <w:szCs w:val="22"/>
          <w:lang w:val="sk-SK"/>
        </w:rPr>
        <w:t xml:space="preserve"> </w:t>
      </w: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>Číry, žltý až hnedý roztok.</w:t>
      </w:r>
    </w:p>
    <w:p w:rsidR="00784A7D" w:rsidRPr="007D180D" w:rsidRDefault="00D56571" w:rsidP="0072168C">
      <w:pPr>
        <w:rPr>
          <w:szCs w:val="22"/>
          <w:lang w:val="sk-SK"/>
        </w:rPr>
      </w:pPr>
      <w:proofErr w:type="gramStart"/>
      <w:r>
        <w:t>pH</w:t>
      </w:r>
      <w:proofErr w:type="gramEnd"/>
      <w:r>
        <w:t xml:space="preserve">: </w:t>
      </w:r>
      <w:proofErr w:type="spellStart"/>
      <w:r>
        <w:t>medzi</w:t>
      </w:r>
      <w:proofErr w:type="spellEnd"/>
      <w:r>
        <w:t xml:space="preserve"> 7,0 </w:t>
      </w:r>
      <w:proofErr w:type="spellStart"/>
      <w:r>
        <w:t>až</w:t>
      </w:r>
      <w:proofErr w:type="spellEnd"/>
      <w:r>
        <w:t xml:space="preserve"> 9,0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5B74CA" w:rsidRPr="007D180D" w:rsidRDefault="005B74CA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1"/>
        <w:rPr>
          <w:rFonts w:cs="Times New Roman"/>
          <w:szCs w:val="22"/>
          <w:lang w:val="sk-SK"/>
        </w:rPr>
      </w:pPr>
      <w:r>
        <w:rPr>
          <w:rFonts w:cs="Times New Roman"/>
          <w:szCs w:val="22"/>
          <w:lang w:val="sk-SK"/>
        </w:rPr>
        <w:t>KLINICKÉ ÚDAJE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2"/>
        <w:rPr>
          <w:szCs w:val="22"/>
          <w:lang w:val="sk-SK"/>
        </w:rPr>
      </w:pPr>
      <w:r>
        <w:rPr>
          <w:szCs w:val="22"/>
          <w:lang w:val="sk-SK"/>
        </w:rPr>
        <w:t>Terapeutické indikácie</w:t>
      </w:r>
    </w:p>
    <w:p w:rsidR="00784A7D" w:rsidRPr="007D180D" w:rsidRDefault="00784A7D" w:rsidP="0072168C">
      <w:pPr>
        <w:keepNext/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lang w:val="da-DK" w:eastAsia="nb-NO"/>
        </w:rPr>
        <w:t>Injexate</w:t>
      </w:r>
      <w:r>
        <w:rPr>
          <w:szCs w:val="22"/>
          <w:lang w:val="sk-SK"/>
        </w:rPr>
        <w:t xml:space="preserve"> je indikovaný na liečbu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numPr>
          <w:ilvl w:val="0"/>
          <w:numId w:val="13"/>
        </w:numPr>
        <w:rPr>
          <w:szCs w:val="22"/>
          <w:lang w:val="sk-SK"/>
        </w:rPr>
      </w:pPr>
      <w:r>
        <w:rPr>
          <w:szCs w:val="22"/>
          <w:lang w:val="sk-SK"/>
        </w:rPr>
        <w:t xml:space="preserve">aktívnej </w:t>
      </w:r>
      <w:proofErr w:type="spellStart"/>
      <w:r>
        <w:rPr>
          <w:szCs w:val="22"/>
          <w:lang w:val="sk-SK"/>
        </w:rPr>
        <w:t>reumatoidnej</w:t>
      </w:r>
      <w:proofErr w:type="spellEnd"/>
      <w:r>
        <w:rPr>
          <w:szCs w:val="22"/>
          <w:lang w:val="sk-SK"/>
        </w:rPr>
        <w:t xml:space="preserve"> artritídy u dospelých pacientov,</w:t>
      </w:r>
    </w:p>
    <w:p w:rsidR="00DB0FA0" w:rsidRPr="007D180D" w:rsidRDefault="00DB0FA0" w:rsidP="00DB0FA0">
      <w:pPr>
        <w:ind w:left="720"/>
        <w:rPr>
          <w:szCs w:val="22"/>
          <w:lang w:val="sk-SK"/>
        </w:rPr>
      </w:pPr>
    </w:p>
    <w:p w:rsidR="005F4F91" w:rsidRPr="007D180D" w:rsidRDefault="00D56571" w:rsidP="0072168C">
      <w:pPr>
        <w:numPr>
          <w:ilvl w:val="0"/>
          <w:numId w:val="13"/>
        </w:numPr>
        <w:rPr>
          <w:szCs w:val="22"/>
          <w:lang w:val="sk-SK"/>
        </w:rPr>
      </w:pPr>
      <w:proofErr w:type="spellStart"/>
      <w:r>
        <w:rPr>
          <w:szCs w:val="22"/>
          <w:lang w:val="sk-SK"/>
        </w:rPr>
        <w:t>polyartritických</w:t>
      </w:r>
      <w:proofErr w:type="spellEnd"/>
      <w:r>
        <w:rPr>
          <w:szCs w:val="22"/>
          <w:lang w:val="sk-SK"/>
        </w:rPr>
        <w:t xml:space="preserve"> foriem ťažkej, aktívnej juvenilnej </w:t>
      </w:r>
      <w:proofErr w:type="spellStart"/>
      <w:r>
        <w:rPr>
          <w:szCs w:val="22"/>
          <w:lang w:val="sk-SK"/>
        </w:rPr>
        <w:t>idiopatickej</w:t>
      </w:r>
      <w:proofErr w:type="spellEnd"/>
      <w:r>
        <w:rPr>
          <w:szCs w:val="22"/>
          <w:lang w:val="sk-SK"/>
        </w:rPr>
        <w:t xml:space="preserve"> artritídy, keď je odpoveď na </w:t>
      </w:r>
      <w:proofErr w:type="spellStart"/>
      <w:r>
        <w:rPr>
          <w:szCs w:val="22"/>
          <w:lang w:val="sk-SK"/>
        </w:rPr>
        <w:t>nesteroidné</w:t>
      </w:r>
      <w:proofErr w:type="spellEnd"/>
      <w:r>
        <w:rPr>
          <w:szCs w:val="22"/>
          <w:lang w:val="sk-SK"/>
        </w:rPr>
        <w:t xml:space="preserve"> protizápalové lieky (NSAID) nedostatočná,</w:t>
      </w:r>
    </w:p>
    <w:p w:rsidR="00DB0FA0" w:rsidRPr="007D180D" w:rsidRDefault="00DB0FA0" w:rsidP="00DB0FA0">
      <w:pPr>
        <w:pStyle w:val="Odsekzoznamu"/>
        <w:rPr>
          <w:szCs w:val="22"/>
          <w:lang w:val="sk-SK"/>
        </w:rPr>
      </w:pPr>
    </w:p>
    <w:p w:rsidR="00784A7D" w:rsidRPr="007D180D" w:rsidRDefault="00D56571" w:rsidP="0072168C">
      <w:pPr>
        <w:numPr>
          <w:ilvl w:val="0"/>
          <w:numId w:val="15"/>
        </w:numPr>
        <w:tabs>
          <w:tab w:val="left" w:pos="2552"/>
        </w:tabs>
        <w:rPr>
          <w:szCs w:val="22"/>
          <w:lang w:val="sk-SK"/>
        </w:rPr>
      </w:pPr>
      <w:r>
        <w:rPr>
          <w:szCs w:val="22"/>
          <w:lang w:val="sk-SK"/>
        </w:rPr>
        <w:t xml:space="preserve">ťažkej nezvládnuteľnej </w:t>
      </w:r>
      <w:proofErr w:type="spellStart"/>
      <w:r>
        <w:rPr>
          <w:szCs w:val="22"/>
          <w:lang w:val="sk-SK"/>
        </w:rPr>
        <w:t>invalidizujúcej</w:t>
      </w:r>
      <w:proofErr w:type="spellEnd"/>
      <w:r>
        <w:rPr>
          <w:szCs w:val="22"/>
          <w:lang w:val="sk-SK"/>
        </w:rPr>
        <w:t xml:space="preserve"> psoriázy, ktorá dostatočne neodpovedá na iné formy terapie, ako je </w:t>
      </w:r>
      <w:proofErr w:type="spellStart"/>
      <w:r>
        <w:rPr>
          <w:szCs w:val="22"/>
          <w:lang w:val="sk-SK"/>
        </w:rPr>
        <w:t>fototerapia</w:t>
      </w:r>
      <w:proofErr w:type="spellEnd"/>
      <w:r>
        <w:rPr>
          <w:szCs w:val="22"/>
          <w:lang w:val="sk-SK"/>
        </w:rPr>
        <w:t xml:space="preserve">, PUVA a </w:t>
      </w:r>
      <w:proofErr w:type="spellStart"/>
      <w:r>
        <w:rPr>
          <w:szCs w:val="22"/>
          <w:lang w:val="sk-SK"/>
        </w:rPr>
        <w:t>retinoidy</w:t>
      </w:r>
      <w:proofErr w:type="spellEnd"/>
      <w:r>
        <w:rPr>
          <w:szCs w:val="22"/>
          <w:lang w:val="sk-SK"/>
        </w:rPr>
        <w:t xml:space="preserve">, a závažnej formy </w:t>
      </w:r>
      <w:proofErr w:type="spellStart"/>
      <w:r>
        <w:rPr>
          <w:szCs w:val="22"/>
          <w:lang w:val="sk-SK"/>
        </w:rPr>
        <w:t>psoriatickej</w:t>
      </w:r>
      <w:proofErr w:type="spellEnd"/>
      <w:r>
        <w:rPr>
          <w:szCs w:val="22"/>
          <w:lang w:val="sk-SK"/>
        </w:rPr>
        <w:t xml:space="preserve"> artritídy u dospelých pacientov,</w:t>
      </w:r>
    </w:p>
    <w:p w:rsidR="00DB0FA0" w:rsidRPr="007D180D" w:rsidRDefault="00DB0FA0" w:rsidP="00DB0FA0">
      <w:pPr>
        <w:tabs>
          <w:tab w:val="left" w:pos="2552"/>
        </w:tabs>
        <w:ind w:left="720"/>
        <w:rPr>
          <w:szCs w:val="22"/>
          <w:lang w:val="sk-SK"/>
        </w:rPr>
      </w:pPr>
    </w:p>
    <w:p w:rsidR="005B74CA" w:rsidRPr="007D180D" w:rsidRDefault="00D56571" w:rsidP="005B74CA">
      <w:pPr>
        <w:numPr>
          <w:ilvl w:val="0"/>
          <w:numId w:val="15"/>
        </w:numPr>
        <w:tabs>
          <w:tab w:val="left" w:pos="2552"/>
        </w:tabs>
        <w:rPr>
          <w:szCs w:val="22"/>
          <w:lang w:val="sk-SK"/>
        </w:rPr>
      </w:pPr>
      <w:r>
        <w:rPr>
          <w:szCs w:val="22"/>
          <w:lang w:val="sk-SK"/>
        </w:rPr>
        <w:t xml:space="preserve">miernej až stredne závažnej </w:t>
      </w:r>
      <w:proofErr w:type="spellStart"/>
      <w:r>
        <w:rPr>
          <w:szCs w:val="22"/>
          <w:lang w:val="sk-SK"/>
        </w:rPr>
        <w:t>Crohnovej</w:t>
      </w:r>
      <w:proofErr w:type="spellEnd"/>
      <w:r>
        <w:rPr>
          <w:szCs w:val="22"/>
          <w:lang w:val="sk-SK"/>
        </w:rPr>
        <w:t xml:space="preserve"> choroby buď samostatne, alebo v kombinácii s </w:t>
      </w:r>
      <w:proofErr w:type="spellStart"/>
      <w:r>
        <w:rPr>
          <w:szCs w:val="22"/>
          <w:lang w:val="sk-SK"/>
        </w:rPr>
        <w:t>kortikosteroidmi</w:t>
      </w:r>
      <w:proofErr w:type="spellEnd"/>
      <w:r>
        <w:rPr>
          <w:szCs w:val="22"/>
          <w:lang w:val="sk-SK"/>
        </w:rPr>
        <w:t xml:space="preserve"> u dospelých pacientov nereagujúcich dostatočne na liečbu </w:t>
      </w:r>
      <w:proofErr w:type="spellStart"/>
      <w:r>
        <w:rPr>
          <w:szCs w:val="22"/>
          <w:lang w:val="sk-SK"/>
        </w:rPr>
        <w:t>tiopurínmi</w:t>
      </w:r>
      <w:proofErr w:type="spellEnd"/>
      <w:r>
        <w:rPr>
          <w:szCs w:val="22"/>
          <w:lang w:val="sk-SK"/>
        </w:rPr>
        <w:t xml:space="preserve"> alebo neznášajúcich </w:t>
      </w:r>
      <w:proofErr w:type="spellStart"/>
      <w:r>
        <w:rPr>
          <w:szCs w:val="22"/>
          <w:lang w:val="sk-SK"/>
        </w:rPr>
        <w:t>tiopuríny</w:t>
      </w:r>
      <w:proofErr w:type="spellEnd"/>
      <w:r>
        <w:rPr>
          <w:szCs w:val="22"/>
          <w:lang w:val="sk-SK"/>
        </w:rPr>
        <w:t>.</w:t>
      </w:r>
    </w:p>
    <w:p w:rsidR="005B74CA" w:rsidRPr="007D180D" w:rsidRDefault="005B74CA" w:rsidP="005B74CA">
      <w:pPr>
        <w:tabs>
          <w:tab w:val="left" w:pos="2552"/>
        </w:tabs>
        <w:rPr>
          <w:szCs w:val="22"/>
          <w:lang w:val="sk-SK"/>
        </w:rPr>
      </w:pPr>
    </w:p>
    <w:p w:rsidR="005B74CA" w:rsidRPr="007D180D" w:rsidRDefault="005B74CA" w:rsidP="005B74CA">
      <w:pPr>
        <w:tabs>
          <w:tab w:val="left" w:pos="2552"/>
        </w:tabs>
        <w:rPr>
          <w:szCs w:val="22"/>
          <w:lang w:val="sk-SK"/>
        </w:rPr>
      </w:pPr>
    </w:p>
    <w:p w:rsidR="005B74CA" w:rsidRPr="007D180D" w:rsidRDefault="005B74CA" w:rsidP="005B74CA">
      <w:pPr>
        <w:tabs>
          <w:tab w:val="left" w:pos="2552"/>
        </w:tabs>
        <w:rPr>
          <w:szCs w:val="22"/>
          <w:lang w:val="sk-SK"/>
        </w:rPr>
      </w:pPr>
    </w:p>
    <w:p w:rsidR="005B74CA" w:rsidRPr="007D180D" w:rsidRDefault="00D56571" w:rsidP="005B74CA">
      <w:pPr>
        <w:jc w:val="both"/>
        <w:rPr>
          <w:b/>
          <w:szCs w:val="22"/>
          <w:lang w:val="sk-SK"/>
        </w:rPr>
      </w:pPr>
      <w:r w:rsidRPr="0043202E">
        <w:rPr>
          <w:b/>
          <w:szCs w:val="22"/>
          <w:lang w:val="sk-SK"/>
        </w:rPr>
        <w:t>4.2</w:t>
      </w:r>
      <w:r>
        <w:rPr>
          <w:b/>
          <w:sz w:val="24"/>
          <w:szCs w:val="24"/>
          <w:lang w:val="sk-SK"/>
        </w:rPr>
        <w:tab/>
      </w:r>
      <w:r>
        <w:rPr>
          <w:b/>
          <w:szCs w:val="22"/>
          <w:lang w:val="sk-SK"/>
        </w:rPr>
        <w:t>Dávkovanie a spôsob podávania</w:t>
      </w:r>
    </w:p>
    <w:p w:rsidR="005B74CA" w:rsidRPr="007D180D" w:rsidRDefault="005B74CA" w:rsidP="005B74CA">
      <w:pPr>
        <w:tabs>
          <w:tab w:val="left" w:pos="2552"/>
        </w:tabs>
        <w:rPr>
          <w:szCs w:val="22"/>
          <w:lang w:val="sk-SK"/>
        </w:rPr>
      </w:pPr>
    </w:p>
    <w:p w:rsidR="005B74CA" w:rsidRPr="007D180D" w:rsidRDefault="00D56571" w:rsidP="005B74CA">
      <w:pPr>
        <w:tabs>
          <w:tab w:val="left" w:pos="2552"/>
        </w:tabs>
        <w:rPr>
          <w:szCs w:val="22"/>
          <w:lang w:val="sk-SK"/>
        </w:rPr>
      </w:pPr>
      <w:proofErr w:type="spellStart"/>
      <w:r>
        <w:rPr>
          <w:szCs w:val="22"/>
          <w:lang w:val="sk-SK"/>
        </w:rPr>
        <w:t>Injexate</w:t>
      </w:r>
      <w:proofErr w:type="spellEnd"/>
      <w:r>
        <w:rPr>
          <w:szCs w:val="22"/>
          <w:lang w:val="sk-SK"/>
        </w:rPr>
        <w:t xml:space="preserve"> smie predpisovať iba lekár, ktorému sú známe rôzne charakteristiky lieku a jeho mechanizmus účinku. Podávanie zabezpečujú zdravotnícki pracovníci. Ak to klinická situácia umožňuje, ošetrujúci lekár môže vo vybraných prípadoch poveriť </w:t>
      </w:r>
      <w:proofErr w:type="spellStart"/>
      <w:r>
        <w:rPr>
          <w:szCs w:val="22"/>
          <w:lang w:val="sk-SK"/>
        </w:rPr>
        <w:t>subkutánnym</w:t>
      </w:r>
      <w:proofErr w:type="spellEnd"/>
      <w:r>
        <w:rPr>
          <w:szCs w:val="22"/>
          <w:lang w:val="sk-SK"/>
        </w:rPr>
        <w:t xml:space="preserve"> podávaním samotného pacienta. V takýchto prípadoch je lekár povinný poskytnúť podrobné pokyny na podávanie. </w:t>
      </w:r>
      <w:proofErr w:type="spellStart"/>
      <w:r>
        <w:rPr>
          <w:szCs w:val="22"/>
          <w:lang w:val="sk-SK"/>
        </w:rPr>
        <w:t>Injexate</w:t>
      </w:r>
      <w:proofErr w:type="spellEnd"/>
      <w:r>
        <w:rPr>
          <w:szCs w:val="22"/>
          <w:lang w:val="sk-SK"/>
        </w:rPr>
        <w:t xml:space="preserve"> sa injekčne podáva </w:t>
      </w:r>
      <w:r>
        <w:rPr>
          <w:b/>
          <w:bCs/>
          <w:szCs w:val="22"/>
          <w:lang w:val="sk-SK"/>
        </w:rPr>
        <w:t>raz do týždňa</w:t>
      </w:r>
      <w:r>
        <w:rPr>
          <w:szCs w:val="22"/>
          <w:lang w:val="sk-SK"/>
        </w:rPr>
        <w:t xml:space="preserve">. </w:t>
      </w:r>
    </w:p>
    <w:p w:rsidR="005B74CA" w:rsidRPr="007D180D" w:rsidRDefault="005B74CA" w:rsidP="005B74CA">
      <w:pPr>
        <w:tabs>
          <w:tab w:val="left" w:pos="2552"/>
        </w:tabs>
        <w:rPr>
          <w:szCs w:val="22"/>
          <w:lang w:val="sk-SK"/>
        </w:rPr>
      </w:pPr>
    </w:p>
    <w:p w:rsidR="005B74CA" w:rsidRPr="007D180D" w:rsidRDefault="00D56571" w:rsidP="005B74CA">
      <w:pPr>
        <w:tabs>
          <w:tab w:val="left" w:pos="2552"/>
        </w:tabs>
        <w:rPr>
          <w:szCs w:val="22"/>
          <w:lang w:val="sk-SK"/>
        </w:rPr>
      </w:pPr>
      <w:r>
        <w:rPr>
          <w:szCs w:val="22"/>
          <w:lang w:val="sk-SK"/>
        </w:rPr>
        <w:t xml:space="preserve">Pacient má byť o tomto dávkovaní </w:t>
      </w:r>
      <w:r>
        <w:rPr>
          <w:b/>
          <w:bCs/>
          <w:szCs w:val="22"/>
          <w:lang w:val="sk-SK"/>
        </w:rPr>
        <w:t>jedenkrát do týždňa</w:t>
      </w:r>
      <w:r>
        <w:rPr>
          <w:szCs w:val="22"/>
          <w:lang w:val="sk-SK"/>
        </w:rPr>
        <w:t xml:space="preserve"> explicitne informovaný. Odporúča sa určiť vhodný a stály deň v týždni ako deň podávania injekcie. </w:t>
      </w:r>
    </w:p>
    <w:p w:rsidR="005B74CA" w:rsidRPr="007D180D" w:rsidRDefault="005B74CA" w:rsidP="005B74CA">
      <w:pPr>
        <w:tabs>
          <w:tab w:val="left" w:pos="2552"/>
        </w:tabs>
        <w:rPr>
          <w:szCs w:val="22"/>
          <w:lang w:val="sk-SK"/>
        </w:rPr>
      </w:pPr>
    </w:p>
    <w:p w:rsidR="00784A7D" w:rsidRPr="007D180D" w:rsidRDefault="00D56571" w:rsidP="005B74CA">
      <w:pPr>
        <w:tabs>
          <w:tab w:val="left" w:pos="2552"/>
        </w:tabs>
        <w:rPr>
          <w:szCs w:val="22"/>
          <w:lang w:val="sk-SK"/>
        </w:rPr>
      </w:pPr>
      <w:r>
        <w:rPr>
          <w:szCs w:val="22"/>
          <w:lang w:val="sk-SK"/>
        </w:rPr>
        <w:t xml:space="preserve">Vylučovanie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 je limitované u pacientov s tretím distribučným priestorom (</w:t>
      </w:r>
      <w:proofErr w:type="spellStart"/>
      <w:r>
        <w:rPr>
          <w:szCs w:val="22"/>
          <w:lang w:val="sk-SK"/>
        </w:rPr>
        <w:t>ascites</w:t>
      </w:r>
      <w:proofErr w:type="spellEnd"/>
      <w:r>
        <w:rPr>
          <w:szCs w:val="22"/>
          <w:lang w:val="sk-SK"/>
        </w:rPr>
        <w:t xml:space="preserve">, </w:t>
      </w:r>
      <w:proofErr w:type="spellStart"/>
      <w:r>
        <w:rPr>
          <w:szCs w:val="22"/>
          <w:lang w:val="sk-SK"/>
        </w:rPr>
        <w:t>pleurálne</w:t>
      </w:r>
      <w:proofErr w:type="spellEnd"/>
      <w:r>
        <w:rPr>
          <w:szCs w:val="22"/>
          <w:lang w:val="sk-SK"/>
        </w:rPr>
        <w:t xml:space="preserve"> </w:t>
      </w:r>
      <w:proofErr w:type="spellStart"/>
      <w:r>
        <w:rPr>
          <w:szCs w:val="22"/>
          <w:lang w:val="sk-SK"/>
        </w:rPr>
        <w:t>efúzie</w:t>
      </w:r>
      <w:proofErr w:type="spellEnd"/>
      <w:r>
        <w:rPr>
          <w:szCs w:val="22"/>
          <w:lang w:val="sk-SK"/>
        </w:rPr>
        <w:t xml:space="preserve">). Takíto pacienti si vyžadujú predovšetkým obozretné monitorovanie toxicity a vyžadujú si zníženie dávky alebo v niektorých prípadoch ukončenie podávania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 (pozri časť 5.2 a 4.4). 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3"/>
        <w:rPr>
          <w:szCs w:val="22"/>
          <w:lang w:val="sk-SK"/>
        </w:rPr>
      </w:pPr>
      <w:r>
        <w:rPr>
          <w:szCs w:val="22"/>
          <w:lang w:val="sk-SK"/>
        </w:rPr>
        <w:t xml:space="preserve">Dávkovanie u dospelých pacientov s </w:t>
      </w:r>
      <w:proofErr w:type="spellStart"/>
      <w:r>
        <w:rPr>
          <w:szCs w:val="22"/>
          <w:lang w:val="sk-SK"/>
        </w:rPr>
        <w:t>reumatoidnou</w:t>
      </w:r>
      <w:proofErr w:type="spellEnd"/>
      <w:r>
        <w:rPr>
          <w:szCs w:val="22"/>
          <w:lang w:val="sk-SK"/>
        </w:rPr>
        <w:t xml:space="preserve"> artritídou:</w:t>
      </w:r>
    </w:p>
    <w:p w:rsidR="00F5176E" w:rsidRPr="007D180D" w:rsidRDefault="00F5176E" w:rsidP="00F5176E">
      <w:pPr>
        <w:rPr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Odporúčaná začiatočná dávka je 7,5 mg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 </w:t>
      </w:r>
      <w:r>
        <w:rPr>
          <w:b/>
          <w:bCs/>
          <w:szCs w:val="22"/>
          <w:lang w:val="sk-SK"/>
        </w:rPr>
        <w:t>jedenkrát týždenne</w:t>
      </w:r>
      <w:r>
        <w:rPr>
          <w:szCs w:val="22"/>
          <w:lang w:val="sk-SK"/>
        </w:rPr>
        <w:t xml:space="preserve"> podávaná </w:t>
      </w:r>
      <w:proofErr w:type="spellStart"/>
      <w:r>
        <w:rPr>
          <w:szCs w:val="22"/>
          <w:lang w:val="sk-SK"/>
        </w:rPr>
        <w:t>subkutánne</w:t>
      </w:r>
      <w:proofErr w:type="spellEnd"/>
      <w:r>
        <w:rPr>
          <w:szCs w:val="22"/>
          <w:lang w:val="sk-SK"/>
        </w:rPr>
        <w:t xml:space="preserve">. V závislosti na individuálnej aktivite ochorenia a únosnosti lieku pacientom môže byť počiatočná dávka zvýšená postupne o 2,5 mg každý týždeň. Týždňová dávka 25 mg nesmie byť všeobecne presiahnutá. Dávky presahujúce 20 mg/týždeň však súvisia s významným zvýšením toxicity, najmä so </w:t>
      </w:r>
      <w:proofErr w:type="spellStart"/>
      <w:r>
        <w:rPr>
          <w:szCs w:val="22"/>
          <w:lang w:val="sk-SK"/>
        </w:rPr>
        <w:t>supresiou</w:t>
      </w:r>
      <w:proofErr w:type="spellEnd"/>
      <w:r>
        <w:rPr>
          <w:szCs w:val="22"/>
          <w:lang w:val="sk-SK"/>
        </w:rPr>
        <w:t xml:space="preserve"> kostnej drene. Odpoveď na liečbu možno očakávať po približne 4 – 8 týždňoch. Po dosiahnutí terapeuticky želaného výsledku sa má dávka postupne znižovať na najnižšiu možnú účinnú udržiavaciu dávku.</w:t>
      </w:r>
    </w:p>
    <w:p w:rsidR="00A46249" w:rsidRPr="007D180D" w:rsidRDefault="00A46249" w:rsidP="0072168C">
      <w:pPr>
        <w:rPr>
          <w:szCs w:val="22"/>
          <w:lang w:val="sk-SK"/>
        </w:rPr>
      </w:pPr>
    </w:p>
    <w:p w:rsidR="00A46249" w:rsidRPr="007D180D" w:rsidRDefault="00D56571" w:rsidP="0072168C">
      <w:pPr>
        <w:rPr>
          <w:szCs w:val="22"/>
          <w:u w:val="single"/>
          <w:lang w:val="sk-SK"/>
        </w:rPr>
      </w:pPr>
      <w:r>
        <w:rPr>
          <w:szCs w:val="22"/>
          <w:u w:val="single"/>
          <w:lang w:val="sk-SK"/>
        </w:rPr>
        <w:t>Dávkovanie u detí a mladistvých do 16 rokov s </w:t>
      </w:r>
      <w:proofErr w:type="spellStart"/>
      <w:r>
        <w:rPr>
          <w:szCs w:val="22"/>
          <w:u w:val="single"/>
          <w:lang w:val="sk-SK"/>
        </w:rPr>
        <w:t>polyartritickými</w:t>
      </w:r>
      <w:proofErr w:type="spellEnd"/>
      <w:r>
        <w:rPr>
          <w:szCs w:val="22"/>
          <w:u w:val="single"/>
          <w:lang w:val="sk-SK"/>
        </w:rPr>
        <w:t xml:space="preserve"> formami juvenilnej </w:t>
      </w:r>
      <w:proofErr w:type="spellStart"/>
      <w:r>
        <w:rPr>
          <w:szCs w:val="22"/>
          <w:u w:val="single"/>
          <w:lang w:val="sk-SK"/>
        </w:rPr>
        <w:t>idiopatickej</w:t>
      </w:r>
      <w:proofErr w:type="spellEnd"/>
      <w:r>
        <w:rPr>
          <w:szCs w:val="22"/>
          <w:u w:val="single"/>
          <w:lang w:val="sk-SK"/>
        </w:rPr>
        <w:t xml:space="preserve"> artritídy</w:t>
      </w:r>
    </w:p>
    <w:p w:rsidR="00F5176E" w:rsidRPr="007D180D" w:rsidRDefault="00F5176E" w:rsidP="0072168C">
      <w:pPr>
        <w:rPr>
          <w:szCs w:val="22"/>
          <w:u w:val="single"/>
          <w:lang w:val="sk-SK"/>
        </w:rPr>
      </w:pPr>
    </w:p>
    <w:p w:rsidR="00F5176E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>Deti, ktorých celkový povrch tela tvorí menej ako 0,75 m</w:t>
      </w:r>
      <w:r>
        <w:rPr>
          <w:szCs w:val="22"/>
          <w:vertAlign w:val="superscript"/>
          <w:lang w:val="sk-SK"/>
        </w:rPr>
        <w:t>2</w:t>
      </w:r>
      <w:r>
        <w:rPr>
          <w:szCs w:val="22"/>
          <w:lang w:val="sk-SK"/>
        </w:rPr>
        <w:t>, sa nemajú liečiť týmto liekom. Ak sú potrebné nižšie dávky ako 7,5 mg, má sa použiť iný liek.</w:t>
      </w:r>
    </w:p>
    <w:p w:rsidR="00F5176E" w:rsidRPr="007D180D" w:rsidRDefault="00F5176E" w:rsidP="0072168C">
      <w:pPr>
        <w:rPr>
          <w:szCs w:val="22"/>
          <w:lang w:val="sk-SK"/>
        </w:rPr>
      </w:pPr>
    </w:p>
    <w:p w:rsidR="009A0D5F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>Odporúčaná dávka je 10 – 15 mg/m² celkového telesného povrchu/</w:t>
      </w:r>
      <w:r>
        <w:rPr>
          <w:b/>
          <w:bCs/>
          <w:szCs w:val="22"/>
          <w:lang w:val="sk-SK"/>
        </w:rPr>
        <w:t>raz týždenne</w:t>
      </w:r>
      <w:r>
        <w:rPr>
          <w:szCs w:val="22"/>
          <w:lang w:val="sk-SK"/>
        </w:rPr>
        <w:t>. V prípadoch, keď liečba nezaberá, možno týždennú dávku zvýšiť až do 20 mg/m² celkového telesného povrchu/</w:t>
      </w:r>
      <w:r>
        <w:rPr>
          <w:b/>
          <w:bCs/>
          <w:szCs w:val="22"/>
          <w:lang w:val="sk-SK"/>
        </w:rPr>
        <w:t>raz týždenne</w:t>
      </w:r>
      <w:r>
        <w:rPr>
          <w:szCs w:val="22"/>
          <w:lang w:val="sk-SK"/>
        </w:rPr>
        <w:t>. Ak sa však dávka zvýši, je indikovaná zvýšená frekvencia sledovania.</w:t>
      </w:r>
    </w:p>
    <w:p w:rsidR="00F5176E" w:rsidRPr="007D180D" w:rsidRDefault="00F5176E" w:rsidP="0072168C">
      <w:pPr>
        <w:rPr>
          <w:szCs w:val="22"/>
          <w:lang w:val="sk-SK"/>
        </w:rPr>
      </w:pPr>
    </w:p>
    <w:p w:rsidR="009A0D5F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>Vzhľadom na obmedzenú dostupnosť údajov o </w:t>
      </w:r>
      <w:proofErr w:type="spellStart"/>
      <w:r>
        <w:rPr>
          <w:szCs w:val="22"/>
          <w:lang w:val="sk-SK"/>
        </w:rPr>
        <w:t>intavenóznom</w:t>
      </w:r>
      <w:proofErr w:type="spellEnd"/>
      <w:r>
        <w:rPr>
          <w:szCs w:val="22"/>
          <w:lang w:val="sk-SK"/>
        </w:rPr>
        <w:t xml:space="preserve"> podávaní u detí a mladistvých je </w:t>
      </w:r>
      <w:proofErr w:type="spellStart"/>
      <w:r>
        <w:rPr>
          <w:szCs w:val="22"/>
          <w:lang w:val="sk-SK"/>
        </w:rPr>
        <w:t>parenterálne</w:t>
      </w:r>
      <w:proofErr w:type="spellEnd"/>
      <w:r>
        <w:rPr>
          <w:szCs w:val="22"/>
          <w:lang w:val="sk-SK"/>
        </w:rPr>
        <w:t xml:space="preserve"> podávanie obmedzené na </w:t>
      </w:r>
      <w:proofErr w:type="spellStart"/>
      <w:r>
        <w:rPr>
          <w:szCs w:val="22"/>
          <w:lang w:val="sk-SK"/>
        </w:rPr>
        <w:t>subkutánnu</w:t>
      </w:r>
      <w:proofErr w:type="spellEnd"/>
      <w:r>
        <w:rPr>
          <w:szCs w:val="22"/>
          <w:lang w:val="sk-SK"/>
        </w:rPr>
        <w:t xml:space="preserve"> injekciu.</w:t>
      </w:r>
    </w:p>
    <w:p w:rsidR="00F5176E" w:rsidRPr="007D180D" w:rsidRDefault="00F5176E" w:rsidP="0072168C">
      <w:pPr>
        <w:rPr>
          <w:szCs w:val="22"/>
          <w:lang w:val="sk-SK"/>
        </w:rPr>
      </w:pPr>
    </w:p>
    <w:p w:rsidR="00C62B80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Pri liečbe detí/mladistvých sa majú pacienti s juvenilnou </w:t>
      </w:r>
      <w:proofErr w:type="spellStart"/>
      <w:r>
        <w:rPr>
          <w:szCs w:val="22"/>
          <w:lang w:val="sk-SK"/>
        </w:rPr>
        <w:t>idiopatickou</w:t>
      </w:r>
      <w:proofErr w:type="spellEnd"/>
      <w:r>
        <w:rPr>
          <w:szCs w:val="22"/>
          <w:lang w:val="sk-SK"/>
        </w:rPr>
        <w:t xml:space="preserve"> artritídou (JIA) vždy obrátiť na špecialistu, reumatológa.</w:t>
      </w:r>
    </w:p>
    <w:p w:rsidR="00C62B80" w:rsidRPr="007D180D" w:rsidRDefault="00C62B80" w:rsidP="0072168C">
      <w:pPr>
        <w:rPr>
          <w:szCs w:val="22"/>
          <w:lang w:val="sk-SK"/>
        </w:rPr>
      </w:pPr>
    </w:p>
    <w:p w:rsidR="00A46249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>Použitie u detí vo veku &lt; 3 roky sa neodporúča, keďže sú dostupné iba nedostatočné údaje o účinnosti a bezpečnosti v tejto populácii (pozri časť 4.4).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3"/>
        <w:rPr>
          <w:szCs w:val="22"/>
          <w:lang w:val="sk-SK"/>
        </w:rPr>
      </w:pPr>
      <w:r>
        <w:rPr>
          <w:szCs w:val="22"/>
          <w:lang w:val="sk-SK"/>
        </w:rPr>
        <w:t xml:space="preserve">Dávkovanie u pacientov so </w:t>
      </w:r>
      <w:proofErr w:type="spellStart"/>
      <w:r w:rsidRPr="00D56571">
        <w:rPr>
          <w:i/>
          <w:iCs/>
          <w:szCs w:val="22"/>
          <w:lang w:val="sk-SK"/>
        </w:rPr>
        <w:t>psoriasis</w:t>
      </w:r>
      <w:proofErr w:type="spellEnd"/>
      <w:r w:rsidRPr="00D56571">
        <w:rPr>
          <w:i/>
          <w:iCs/>
          <w:szCs w:val="22"/>
          <w:lang w:val="sk-SK"/>
        </w:rPr>
        <w:t xml:space="preserve"> </w:t>
      </w:r>
      <w:proofErr w:type="spellStart"/>
      <w:r w:rsidRPr="00D56571">
        <w:rPr>
          <w:i/>
          <w:iCs/>
          <w:szCs w:val="22"/>
          <w:lang w:val="sk-SK"/>
        </w:rPr>
        <w:t>vulgaris</w:t>
      </w:r>
      <w:proofErr w:type="spellEnd"/>
      <w:r w:rsidR="00784A7D" w:rsidRPr="007D180D">
        <w:rPr>
          <w:szCs w:val="22"/>
          <w:lang w:val="sk-SK"/>
        </w:rPr>
        <w:t xml:space="preserve"> a </w:t>
      </w:r>
      <w:proofErr w:type="spellStart"/>
      <w:r w:rsidR="00784A7D" w:rsidRPr="007D180D">
        <w:rPr>
          <w:szCs w:val="22"/>
          <w:lang w:val="sk-SK"/>
        </w:rPr>
        <w:t>psoriatickou</w:t>
      </w:r>
      <w:proofErr w:type="spellEnd"/>
      <w:r w:rsidR="00784A7D" w:rsidRPr="007D180D">
        <w:rPr>
          <w:szCs w:val="22"/>
          <w:lang w:val="sk-SK"/>
        </w:rPr>
        <w:t xml:space="preserve"> artritídou:</w:t>
      </w:r>
    </w:p>
    <w:p w:rsidR="004D0D70" w:rsidRPr="007D180D" w:rsidRDefault="004D0D70" w:rsidP="004D0D70">
      <w:pPr>
        <w:rPr>
          <w:lang w:val="sk-SK"/>
        </w:rPr>
      </w:pPr>
    </w:p>
    <w:p w:rsidR="00784A7D" w:rsidRPr="007D180D" w:rsidRDefault="00D56571" w:rsidP="0072168C">
      <w:pPr>
        <w:autoSpaceDE w:val="0"/>
        <w:autoSpaceDN w:val="0"/>
        <w:adjustRightInd w:val="0"/>
        <w:rPr>
          <w:szCs w:val="22"/>
          <w:lang w:val="sk-SK"/>
        </w:rPr>
      </w:pPr>
      <w:r>
        <w:rPr>
          <w:szCs w:val="22"/>
          <w:lang w:val="sk-SK"/>
        </w:rPr>
        <w:t xml:space="preserve">Odporúča sa týždeň pred začatím liečby raz týždenne podávať testovaciu dávku 5 – 10 mg </w:t>
      </w:r>
      <w:proofErr w:type="spellStart"/>
      <w:r>
        <w:rPr>
          <w:szCs w:val="22"/>
          <w:lang w:val="sk-SK"/>
        </w:rPr>
        <w:t>parenterálne</w:t>
      </w:r>
      <w:proofErr w:type="spellEnd"/>
      <w:r>
        <w:rPr>
          <w:szCs w:val="22"/>
          <w:lang w:val="sk-SK"/>
        </w:rPr>
        <w:t xml:space="preserve">, aby sa zistili </w:t>
      </w:r>
      <w:proofErr w:type="spellStart"/>
      <w:r>
        <w:rPr>
          <w:szCs w:val="22"/>
          <w:lang w:val="sk-SK"/>
        </w:rPr>
        <w:t>idiosynkratické</w:t>
      </w:r>
      <w:proofErr w:type="spellEnd"/>
      <w:r>
        <w:rPr>
          <w:szCs w:val="22"/>
          <w:lang w:val="sk-SK"/>
        </w:rPr>
        <w:t xml:space="preserve"> nežiaduce reakcie. Odporúčaná začiatočná dávka je 7,5 mg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 </w:t>
      </w:r>
      <w:r>
        <w:rPr>
          <w:b/>
          <w:bCs/>
          <w:szCs w:val="22"/>
          <w:lang w:val="sk-SK"/>
        </w:rPr>
        <w:t>jedenkrát týždenne</w:t>
      </w:r>
      <w:r>
        <w:rPr>
          <w:szCs w:val="22"/>
          <w:lang w:val="sk-SK"/>
        </w:rPr>
        <w:t xml:space="preserve"> podávaná </w:t>
      </w:r>
      <w:proofErr w:type="spellStart"/>
      <w:r>
        <w:rPr>
          <w:szCs w:val="22"/>
          <w:lang w:val="sk-SK"/>
        </w:rPr>
        <w:t>subkutánne</w:t>
      </w:r>
      <w:proofErr w:type="spellEnd"/>
      <w:r>
        <w:rPr>
          <w:szCs w:val="22"/>
          <w:lang w:val="sk-SK"/>
        </w:rPr>
        <w:t xml:space="preserve">. Dávka sa má zvyšovať postupne, ale vo všeobecnosti nesmie presiahnuť týždennú dávku 25 mg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. Dávky presahujúce 20 mg týždenne môžu byť spojené s významným zvýšením toxicity, najmä so </w:t>
      </w:r>
      <w:proofErr w:type="spellStart"/>
      <w:r>
        <w:rPr>
          <w:szCs w:val="22"/>
          <w:lang w:val="sk-SK"/>
        </w:rPr>
        <w:t>supresiou</w:t>
      </w:r>
      <w:proofErr w:type="spellEnd"/>
      <w:r>
        <w:rPr>
          <w:szCs w:val="22"/>
          <w:lang w:val="sk-SK"/>
        </w:rPr>
        <w:t xml:space="preserve"> kostnej drene. Odpoveď na liečbu možno všeobecne očakávať po približne 2 – 6 týždňoch. Po dosiahnutí terapeuticky želaného výsledku sa má dávka postupne znižovať na najnižšiu možnú účinnú udržiavaciu dávku.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C55A79" w:rsidRPr="007D180D" w:rsidRDefault="00C55A79" w:rsidP="0072168C">
      <w:pPr>
        <w:rPr>
          <w:szCs w:val="22"/>
          <w:lang w:val="sk-SK"/>
        </w:rPr>
      </w:pPr>
    </w:p>
    <w:p w:rsidR="006249DF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Dávka sa má zvyšovať, keď je to nevyhnutné, ale všeobecne sa nemá prekročiť maximálna odporúčaná týždenná dávka 25 mg. V niekoľkých výnimočných prípadoch by mohla byť klinicky opodstatnená vyššia dávka, nemala by sa ale prekročiť maximálna týždenná dávka 30 mg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, pretože toxicita sa významne zvyšuje. </w:t>
      </w:r>
    </w:p>
    <w:p w:rsidR="006249DF" w:rsidRPr="007D180D" w:rsidRDefault="006249DF" w:rsidP="0072168C">
      <w:pPr>
        <w:rPr>
          <w:szCs w:val="22"/>
          <w:lang w:val="sk-SK"/>
        </w:rPr>
      </w:pPr>
    </w:p>
    <w:p w:rsidR="009D37A4" w:rsidRPr="007D180D" w:rsidRDefault="00D56571" w:rsidP="009D37A4">
      <w:pPr>
        <w:pStyle w:val="Nadpis3"/>
        <w:rPr>
          <w:bCs/>
          <w:szCs w:val="22"/>
          <w:lang w:val="sk-SK"/>
        </w:rPr>
      </w:pPr>
      <w:r>
        <w:rPr>
          <w:bCs/>
          <w:szCs w:val="22"/>
          <w:lang w:val="sk-SK"/>
        </w:rPr>
        <w:t>Dávkovanie u pacientov s </w:t>
      </w:r>
      <w:proofErr w:type="spellStart"/>
      <w:r>
        <w:rPr>
          <w:bCs/>
          <w:szCs w:val="22"/>
          <w:lang w:val="sk-SK"/>
        </w:rPr>
        <w:t>Crohnovou</w:t>
      </w:r>
      <w:proofErr w:type="spellEnd"/>
      <w:r>
        <w:rPr>
          <w:bCs/>
          <w:szCs w:val="22"/>
          <w:lang w:val="sk-SK"/>
        </w:rPr>
        <w:t xml:space="preserve"> chorobou:</w:t>
      </w:r>
    </w:p>
    <w:p w:rsidR="00C55A79" w:rsidRPr="007D180D" w:rsidRDefault="00C55A79" w:rsidP="00C55A79">
      <w:pPr>
        <w:rPr>
          <w:lang w:val="sk-SK"/>
        </w:rPr>
      </w:pPr>
    </w:p>
    <w:p w:rsidR="00DD0629" w:rsidRPr="007D180D" w:rsidRDefault="00D56571" w:rsidP="00DD0629">
      <w:pPr>
        <w:numPr>
          <w:ilvl w:val="0"/>
          <w:numId w:val="33"/>
        </w:numPr>
        <w:rPr>
          <w:szCs w:val="22"/>
          <w:lang w:val="sk-SK"/>
        </w:rPr>
      </w:pPr>
      <w:r>
        <w:rPr>
          <w:szCs w:val="22"/>
          <w:lang w:val="sk-SK"/>
        </w:rPr>
        <w:t>Úvodná liečba:</w:t>
      </w:r>
    </w:p>
    <w:p w:rsidR="00C55A79" w:rsidRPr="007D180D" w:rsidRDefault="00C55A79" w:rsidP="00C55A79">
      <w:pPr>
        <w:ind w:left="360"/>
        <w:rPr>
          <w:szCs w:val="22"/>
          <w:lang w:val="sk-SK"/>
        </w:rPr>
      </w:pPr>
    </w:p>
    <w:p w:rsidR="00C55A79" w:rsidRPr="007D180D" w:rsidRDefault="00D56571" w:rsidP="00DD0629">
      <w:pPr>
        <w:ind w:left="360"/>
        <w:rPr>
          <w:szCs w:val="22"/>
          <w:lang w:val="sk-SK"/>
        </w:rPr>
      </w:pPr>
      <w:r>
        <w:rPr>
          <w:szCs w:val="22"/>
          <w:lang w:val="sk-SK"/>
        </w:rPr>
        <w:t xml:space="preserve">25 mg/týždeň podávaných </w:t>
      </w:r>
      <w:proofErr w:type="spellStart"/>
      <w:r>
        <w:rPr>
          <w:szCs w:val="22"/>
          <w:lang w:val="sk-SK"/>
        </w:rPr>
        <w:t>subkutánne</w:t>
      </w:r>
      <w:proofErr w:type="spellEnd"/>
      <w:r>
        <w:rPr>
          <w:szCs w:val="22"/>
          <w:lang w:val="sk-SK"/>
        </w:rPr>
        <w:t>.</w:t>
      </w:r>
    </w:p>
    <w:p w:rsidR="00C55A79" w:rsidRPr="007D180D" w:rsidRDefault="00C55A79" w:rsidP="00DD0629">
      <w:pPr>
        <w:ind w:left="360"/>
        <w:rPr>
          <w:szCs w:val="22"/>
          <w:lang w:val="sk-SK"/>
        </w:rPr>
      </w:pPr>
    </w:p>
    <w:p w:rsidR="00DD0629" w:rsidRPr="007D180D" w:rsidRDefault="00D56571" w:rsidP="00DD0629">
      <w:pPr>
        <w:ind w:left="360"/>
        <w:rPr>
          <w:szCs w:val="22"/>
          <w:lang w:val="sk-SK"/>
        </w:rPr>
      </w:pPr>
      <w:r>
        <w:rPr>
          <w:szCs w:val="22"/>
          <w:lang w:val="sk-SK"/>
        </w:rPr>
        <w:t>Odpoveď na liečbu možno očakávať po približne 8 až 12 týždňoch.</w:t>
      </w:r>
    </w:p>
    <w:p w:rsidR="00C55A79" w:rsidRPr="007D180D" w:rsidRDefault="00C55A79" w:rsidP="00DD0629">
      <w:pPr>
        <w:ind w:left="360"/>
        <w:rPr>
          <w:szCs w:val="22"/>
          <w:lang w:val="sk-SK"/>
        </w:rPr>
      </w:pPr>
    </w:p>
    <w:p w:rsidR="00DD0629" w:rsidRPr="007D180D" w:rsidRDefault="00D56571" w:rsidP="00DD0629">
      <w:pPr>
        <w:numPr>
          <w:ilvl w:val="0"/>
          <w:numId w:val="33"/>
        </w:numPr>
        <w:rPr>
          <w:szCs w:val="22"/>
          <w:lang w:val="sk-SK"/>
        </w:rPr>
      </w:pPr>
      <w:r>
        <w:rPr>
          <w:szCs w:val="22"/>
          <w:lang w:val="sk-SK"/>
        </w:rPr>
        <w:t>Udržiavacia liečba:</w:t>
      </w:r>
    </w:p>
    <w:p w:rsidR="00C55A79" w:rsidRPr="007D180D" w:rsidRDefault="00C55A79" w:rsidP="00C55A79">
      <w:pPr>
        <w:ind w:left="360"/>
        <w:rPr>
          <w:szCs w:val="22"/>
          <w:lang w:val="sk-SK"/>
        </w:rPr>
      </w:pPr>
    </w:p>
    <w:p w:rsidR="00DD0629" w:rsidRPr="007D180D" w:rsidRDefault="00D56571" w:rsidP="00DD0629">
      <w:pPr>
        <w:ind w:left="360"/>
        <w:rPr>
          <w:szCs w:val="22"/>
          <w:lang w:val="sk-SK"/>
        </w:rPr>
      </w:pPr>
      <w:r>
        <w:rPr>
          <w:szCs w:val="22"/>
          <w:lang w:val="sk-SK"/>
        </w:rPr>
        <w:t xml:space="preserve">15 mg/týždeň podávaných </w:t>
      </w:r>
      <w:proofErr w:type="spellStart"/>
      <w:r>
        <w:rPr>
          <w:szCs w:val="22"/>
          <w:lang w:val="sk-SK"/>
        </w:rPr>
        <w:t>subkutánne</w:t>
      </w:r>
      <w:proofErr w:type="spellEnd"/>
      <w:r>
        <w:rPr>
          <w:szCs w:val="22"/>
          <w:lang w:val="sk-SK"/>
        </w:rPr>
        <w:t>.</w:t>
      </w:r>
    </w:p>
    <w:p w:rsidR="00DD0629" w:rsidRPr="007D180D" w:rsidRDefault="00DD0629" w:rsidP="00DD0629">
      <w:pPr>
        <w:ind w:left="360"/>
        <w:rPr>
          <w:szCs w:val="22"/>
          <w:lang w:val="sk-SK"/>
        </w:rPr>
      </w:pPr>
    </w:p>
    <w:p w:rsidR="009D37A4" w:rsidRPr="007D180D" w:rsidRDefault="00D56571" w:rsidP="00DD0629">
      <w:pPr>
        <w:rPr>
          <w:lang w:val="sk-SK"/>
        </w:rPr>
      </w:pPr>
      <w:r>
        <w:rPr>
          <w:szCs w:val="22"/>
          <w:lang w:val="sk-SK"/>
        </w:rPr>
        <w:t xml:space="preserve">Nie sú dostatočné skúsenosti u pediatrickej populácie, aby bolo možné odporučiť </w:t>
      </w:r>
      <w:proofErr w:type="spellStart"/>
      <w:r>
        <w:rPr>
          <w:szCs w:val="22"/>
          <w:lang w:val="sk-SK"/>
        </w:rPr>
        <w:t>Injexate</w:t>
      </w:r>
      <w:proofErr w:type="spellEnd"/>
      <w:r>
        <w:rPr>
          <w:szCs w:val="22"/>
          <w:lang w:val="sk-SK"/>
        </w:rPr>
        <w:t xml:space="preserve"> na liečbu </w:t>
      </w:r>
      <w:proofErr w:type="spellStart"/>
      <w:r>
        <w:rPr>
          <w:szCs w:val="22"/>
          <w:lang w:val="sk-SK"/>
        </w:rPr>
        <w:t>Crohnovej</w:t>
      </w:r>
      <w:proofErr w:type="spellEnd"/>
      <w:r>
        <w:rPr>
          <w:szCs w:val="22"/>
          <w:lang w:val="sk-SK"/>
        </w:rPr>
        <w:t xml:space="preserve"> choroby v tejto populácii.</w:t>
      </w:r>
    </w:p>
    <w:p w:rsidR="009D37A4" w:rsidRPr="007D180D" w:rsidRDefault="009D37A4" w:rsidP="009D37A4">
      <w:pPr>
        <w:rPr>
          <w:lang w:val="sk-SK"/>
        </w:rPr>
      </w:pPr>
    </w:p>
    <w:p w:rsidR="00784A7D" w:rsidRPr="007D180D" w:rsidRDefault="00D56571" w:rsidP="0072168C">
      <w:pPr>
        <w:pStyle w:val="Nadpis3"/>
        <w:rPr>
          <w:szCs w:val="22"/>
          <w:lang w:val="sk-SK"/>
        </w:rPr>
      </w:pPr>
      <w:r>
        <w:rPr>
          <w:szCs w:val="22"/>
          <w:lang w:val="sk-SK"/>
        </w:rPr>
        <w:t>Pacienti s poškodením funkcie obličiek:</w:t>
      </w:r>
    </w:p>
    <w:p w:rsidR="00C55A79" w:rsidRPr="007D180D" w:rsidRDefault="00C55A79" w:rsidP="00C55A79">
      <w:pPr>
        <w:rPr>
          <w:lang w:val="sk-SK"/>
        </w:rPr>
      </w:pPr>
    </w:p>
    <w:p w:rsidR="00784A7D" w:rsidRPr="007D180D" w:rsidRDefault="00D56571" w:rsidP="0072168C">
      <w:pPr>
        <w:rPr>
          <w:snapToGrid w:val="0"/>
          <w:szCs w:val="22"/>
          <w:lang w:val="sk-SK" w:eastAsia="de-DE"/>
        </w:rPr>
      </w:pPr>
      <w:proofErr w:type="spellStart"/>
      <w:r>
        <w:rPr>
          <w:snapToGrid w:val="0"/>
          <w:szCs w:val="22"/>
          <w:lang w:val="sk-SK" w:eastAsia="de-DE"/>
        </w:rPr>
        <w:t>Injexate</w:t>
      </w:r>
      <w:proofErr w:type="spellEnd"/>
      <w:r>
        <w:rPr>
          <w:snapToGrid w:val="0"/>
          <w:szCs w:val="22"/>
          <w:lang w:val="sk-SK" w:eastAsia="de-DE"/>
        </w:rPr>
        <w:t xml:space="preserve"> sa má používať obozretne u pacientov s poškodením funkcie obličiek. Dávka sa má upraviť nasledovne:</w:t>
      </w:r>
    </w:p>
    <w:p w:rsidR="00C55A79" w:rsidRPr="007D180D" w:rsidRDefault="00C55A79" w:rsidP="0072168C">
      <w:pPr>
        <w:rPr>
          <w:snapToGrid w:val="0"/>
          <w:szCs w:val="22"/>
          <w:lang w:val="sk-SK" w:eastAsia="de-DE"/>
        </w:rPr>
      </w:pPr>
    </w:p>
    <w:p w:rsidR="00784A7D" w:rsidRPr="007D180D" w:rsidRDefault="00D56571" w:rsidP="0072168C">
      <w:pPr>
        <w:rPr>
          <w:snapToGrid w:val="0"/>
          <w:szCs w:val="22"/>
          <w:lang w:val="sk-SK" w:eastAsia="de-DE"/>
        </w:rPr>
      </w:pPr>
      <w:proofErr w:type="spellStart"/>
      <w:r>
        <w:rPr>
          <w:snapToGrid w:val="0"/>
          <w:szCs w:val="22"/>
          <w:lang w:val="sk-SK" w:eastAsia="de-DE"/>
        </w:rPr>
        <w:t>Klírens</w:t>
      </w:r>
      <w:proofErr w:type="spellEnd"/>
      <w:r>
        <w:rPr>
          <w:snapToGrid w:val="0"/>
          <w:szCs w:val="22"/>
          <w:lang w:val="sk-SK" w:eastAsia="de-DE"/>
        </w:rPr>
        <w:t xml:space="preserve"> </w:t>
      </w:r>
      <w:proofErr w:type="spellStart"/>
      <w:r>
        <w:rPr>
          <w:snapToGrid w:val="0"/>
          <w:szCs w:val="22"/>
          <w:lang w:val="sk-SK" w:eastAsia="de-DE"/>
        </w:rPr>
        <w:t>kreatinínu</w:t>
      </w:r>
      <w:proofErr w:type="spellEnd"/>
      <w:r>
        <w:rPr>
          <w:snapToGrid w:val="0"/>
          <w:szCs w:val="22"/>
          <w:lang w:val="sk-SK" w:eastAsia="de-DE"/>
        </w:rPr>
        <w:t xml:space="preserve"> (ml/min)</w:t>
      </w:r>
      <w:r>
        <w:rPr>
          <w:snapToGrid w:val="0"/>
          <w:szCs w:val="22"/>
          <w:lang w:val="sk-SK" w:eastAsia="de-DE"/>
        </w:rPr>
        <w:tab/>
        <w:t>Dávka</w:t>
      </w:r>
    </w:p>
    <w:p w:rsidR="00784A7D" w:rsidRPr="007D180D" w:rsidRDefault="00D56571" w:rsidP="0072168C">
      <w:pPr>
        <w:tabs>
          <w:tab w:val="left" w:pos="1276"/>
        </w:tabs>
        <w:rPr>
          <w:snapToGrid w:val="0"/>
          <w:szCs w:val="22"/>
          <w:lang w:val="sk-SK" w:eastAsia="de-DE"/>
        </w:rPr>
      </w:pPr>
      <w:r>
        <w:rPr>
          <w:snapToGrid w:val="0"/>
          <w:szCs w:val="22"/>
          <w:lang w:val="sk-SK" w:eastAsia="de-DE"/>
        </w:rPr>
        <w:t>&gt; 50</w:t>
      </w:r>
      <w:r>
        <w:rPr>
          <w:snapToGrid w:val="0"/>
          <w:szCs w:val="22"/>
          <w:lang w:val="sk-SK" w:eastAsia="de-DE"/>
        </w:rPr>
        <w:tab/>
      </w:r>
      <w:r>
        <w:rPr>
          <w:snapToGrid w:val="0"/>
          <w:szCs w:val="22"/>
          <w:lang w:val="sk-SK" w:eastAsia="de-DE"/>
        </w:rPr>
        <w:tab/>
      </w:r>
      <w:r>
        <w:rPr>
          <w:snapToGrid w:val="0"/>
          <w:szCs w:val="22"/>
          <w:lang w:val="sk-SK" w:eastAsia="de-DE"/>
        </w:rPr>
        <w:tab/>
      </w:r>
      <w:r>
        <w:rPr>
          <w:snapToGrid w:val="0"/>
          <w:szCs w:val="22"/>
          <w:lang w:val="sk-SK" w:eastAsia="de-DE"/>
        </w:rPr>
        <w:tab/>
        <w:t>100 %</w:t>
      </w:r>
    </w:p>
    <w:p w:rsidR="00784A7D" w:rsidRPr="007D180D" w:rsidRDefault="00D56571" w:rsidP="0072168C">
      <w:pPr>
        <w:tabs>
          <w:tab w:val="left" w:pos="1276"/>
        </w:tabs>
        <w:rPr>
          <w:snapToGrid w:val="0"/>
          <w:szCs w:val="22"/>
          <w:lang w:val="sk-SK" w:eastAsia="de-DE"/>
        </w:rPr>
      </w:pPr>
      <w:r>
        <w:rPr>
          <w:snapToGrid w:val="0"/>
          <w:szCs w:val="22"/>
          <w:lang w:val="sk-SK" w:eastAsia="de-DE"/>
        </w:rPr>
        <w:t>20 – 50</w:t>
      </w:r>
      <w:r>
        <w:rPr>
          <w:snapToGrid w:val="0"/>
          <w:szCs w:val="22"/>
          <w:lang w:val="sk-SK" w:eastAsia="de-DE"/>
        </w:rPr>
        <w:tab/>
      </w:r>
      <w:r>
        <w:rPr>
          <w:snapToGrid w:val="0"/>
          <w:szCs w:val="22"/>
          <w:lang w:val="sk-SK" w:eastAsia="de-DE"/>
        </w:rPr>
        <w:tab/>
      </w:r>
      <w:r>
        <w:rPr>
          <w:snapToGrid w:val="0"/>
          <w:szCs w:val="22"/>
          <w:lang w:val="sk-SK" w:eastAsia="de-DE"/>
        </w:rPr>
        <w:tab/>
      </w:r>
      <w:r>
        <w:rPr>
          <w:snapToGrid w:val="0"/>
          <w:szCs w:val="22"/>
          <w:lang w:val="sk-SK" w:eastAsia="de-DE"/>
        </w:rPr>
        <w:tab/>
        <w:t>50 %</w:t>
      </w:r>
    </w:p>
    <w:p w:rsidR="00784A7D" w:rsidRPr="007D180D" w:rsidRDefault="00D56571" w:rsidP="0072168C">
      <w:pPr>
        <w:tabs>
          <w:tab w:val="left" w:pos="1276"/>
        </w:tabs>
        <w:rPr>
          <w:snapToGrid w:val="0"/>
          <w:szCs w:val="22"/>
          <w:lang w:val="sk-SK" w:eastAsia="de-DE"/>
        </w:rPr>
      </w:pPr>
      <w:r>
        <w:rPr>
          <w:snapToGrid w:val="0"/>
          <w:szCs w:val="22"/>
          <w:lang w:val="sk-SK" w:eastAsia="de-DE"/>
        </w:rPr>
        <w:t>&lt; 20</w:t>
      </w:r>
      <w:r>
        <w:rPr>
          <w:snapToGrid w:val="0"/>
          <w:szCs w:val="22"/>
          <w:lang w:val="sk-SK" w:eastAsia="de-DE"/>
        </w:rPr>
        <w:tab/>
      </w:r>
      <w:r>
        <w:rPr>
          <w:snapToGrid w:val="0"/>
          <w:szCs w:val="22"/>
          <w:lang w:val="sk-SK" w:eastAsia="de-DE"/>
        </w:rPr>
        <w:tab/>
      </w:r>
      <w:r>
        <w:rPr>
          <w:snapToGrid w:val="0"/>
          <w:szCs w:val="22"/>
          <w:lang w:val="sk-SK" w:eastAsia="de-DE"/>
        </w:rPr>
        <w:tab/>
      </w:r>
      <w:r>
        <w:rPr>
          <w:snapToGrid w:val="0"/>
          <w:szCs w:val="22"/>
          <w:lang w:val="sk-SK" w:eastAsia="de-DE"/>
        </w:rPr>
        <w:tab/>
      </w:r>
      <w:proofErr w:type="spellStart"/>
      <w:r>
        <w:rPr>
          <w:snapToGrid w:val="0"/>
          <w:szCs w:val="22"/>
          <w:lang w:val="sk-SK" w:eastAsia="de-DE"/>
        </w:rPr>
        <w:t>Injexate</w:t>
      </w:r>
      <w:proofErr w:type="spellEnd"/>
      <w:r>
        <w:rPr>
          <w:snapToGrid w:val="0"/>
          <w:szCs w:val="22"/>
          <w:lang w:val="sk-SK" w:eastAsia="de-DE"/>
        </w:rPr>
        <w:t xml:space="preserve"> sa nesmie používať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>Pozri časť 4.3.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3"/>
        <w:rPr>
          <w:szCs w:val="22"/>
          <w:lang w:val="sk-SK"/>
        </w:rPr>
      </w:pPr>
      <w:r>
        <w:rPr>
          <w:szCs w:val="22"/>
          <w:lang w:val="sk-SK"/>
        </w:rPr>
        <w:t>Pacienti s poškodením funkcie pečene:</w:t>
      </w:r>
    </w:p>
    <w:p w:rsidR="00C55A79" w:rsidRPr="007D180D" w:rsidRDefault="00C55A79" w:rsidP="00C55A79">
      <w:pPr>
        <w:rPr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proofErr w:type="spellStart"/>
      <w:r>
        <w:rPr>
          <w:szCs w:val="22"/>
          <w:lang w:val="sk-SK"/>
        </w:rPr>
        <w:t>Metotrexát</w:t>
      </w:r>
      <w:proofErr w:type="spellEnd"/>
      <w:r>
        <w:rPr>
          <w:szCs w:val="22"/>
          <w:lang w:val="sk-SK"/>
        </w:rPr>
        <w:t xml:space="preserve"> sa má podávať veľmi obozretne, ak vôbec, pacientom s výrazným súčasným alebo minulým ochorením pečene, najmä ak je spôsobené alkoholom. Ak je hodnota </w:t>
      </w:r>
      <w:proofErr w:type="spellStart"/>
      <w:r>
        <w:rPr>
          <w:szCs w:val="22"/>
          <w:lang w:val="sk-SK"/>
        </w:rPr>
        <w:t>bilirubínu</w:t>
      </w:r>
      <w:proofErr w:type="spellEnd"/>
      <w:r>
        <w:rPr>
          <w:szCs w:val="22"/>
          <w:lang w:val="sk-SK"/>
        </w:rPr>
        <w:t xml:space="preserve"> </w:t>
      </w:r>
      <w:r>
        <w:rPr>
          <w:szCs w:val="22"/>
          <w:lang w:val="sk-SK"/>
        </w:rPr>
        <w:sym w:font="Symbol" w:char="F03E"/>
      </w:r>
      <w:r>
        <w:rPr>
          <w:szCs w:val="22"/>
          <w:lang w:val="sk-SK"/>
        </w:rPr>
        <w:t xml:space="preserve"> 5 mg/dl (85,5 µmol/l), </w:t>
      </w:r>
      <w:proofErr w:type="spellStart"/>
      <w:r>
        <w:rPr>
          <w:szCs w:val="22"/>
          <w:lang w:val="sk-SK"/>
        </w:rPr>
        <w:t>metotrexát</w:t>
      </w:r>
      <w:proofErr w:type="spellEnd"/>
      <w:r>
        <w:rPr>
          <w:szCs w:val="22"/>
          <w:lang w:val="sk-SK"/>
        </w:rPr>
        <w:t xml:space="preserve"> je kontraindikovaný.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>Úplný zoznam kontraindikácií, pozri časť 4.3.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C55A79" w:rsidRPr="007D180D" w:rsidRDefault="00D56571" w:rsidP="00C55A79">
      <w:pPr>
        <w:pStyle w:val="Nadpis3"/>
        <w:keepLines/>
        <w:rPr>
          <w:szCs w:val="22"/>
          <w:lang w:val="sk-SK"/>
        </w:rPr>
      </w:pPr>
      <w:r>
        <w:rPr>
          <w:szCs w:val="22"/>
          <w:lang w:val="sk-SK"/>
        </w:rPr>
        <w:t xml:space="preserve">Použitie u starších pacientov: </w:t>
      </w:r>
    </w:p>
    <w:p w:rsidR="00C55A79" w:rsidRPr="007D180D" w:rsidRDefault="00C55A79" w:rsidP="00C55A79">
      <w:pPr>
        <w:pStyle w:val="Nadpis3"/>
        <w:keepLines/>
        <w:rPr>
          <w:szCs w:val="22"/>
          <w:lang w:val="sk-SK"/>
        </w:rPr>
      </w:pPr>
    </w:p>
    <w:p w:rsidR="00C55A79" w:rsidRPr="007D180D" w:rsidRDefault="00D56571" w:rsidP="00C55A79">
      <w:pPr>
        <w:pStyle w:val="Nadpis3"/>
        <w:keepLines/>
        <w:rPr>
          <w:szCs w:val="22"/>
          <w:u w:val="none"/>
          <w:lang w:val="sk-SK"/>
        </w:rPr>
      </w:pPr>
      <w:r>
        <w:rPr>
          <w:szCs w:val="22"/>
          <w:u w:val="none"/>
          <w:lang w:val="sk-SK"/>
        </w:rPr>
        <w:t>U starších pacientov sa má zvážiť zníženie dávky kvôli zníženej funkcii pečene a obličiek a rovnako aj</w:t>
      </w:r>
    </w:p>
    <w:p w:rsidR="00784A7D" w:rsidRPr="007D180D" w:rsidRDefault="00D56571" w:rsidP="00C55A79">
      <w:pPr>
        <w:pStyle w:val="Nadpis3"/>
        <w:keepLines/>
        <w:rPr>
          <w:szCs w:val="22"/>
          <w:u w:val="none"/>
          <w:lang w:val="sk-SK"/>
        </w:rPr>
      </w:pPr>
      <w:r>
        <w:rPr>
          <w:szCs w:val="22"/>
          <w:u w:val="none"/>
          <w:lang w:val="sk-SK"/>
        </w:rPr>
        <w:t xml:space="preserve">zníženým rezervám </w:t>
      </w:r>
      <w:proofErr w:type="spellStart"/>
      <w:r>
        <w:rPr>
          <w:szCs w:val="22"/>
          <w:u w:val="none"/>
          <w:lang w:val="sk-SK"/>
        </w:rPr>
        <w:t>folátu</w:t>
      </w:r>
      <w:proofErr w:type="spellEnd"/>
      <w:r>
        <w:rPr>
          <w:szCs w:val="22"/>
          <w:u w:val="none"/>
          <w:lang w:val="sk-SK"/>
        </w:rPr>
        <w:t>, ktoré sa vyskytujú vo vyššom veku.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u w:val="single"/>
          <w:lang w:val="sk-SK"/>
        </w:rPr>
      </w:pPr>
      <w:r>
        <w:rPr>
          <w:szCs w:val="22"/>
          <w:u w:val="single"/>
          <w:lang w:val="sk-SK"/>
        </w:rPr>
        <w:t>Použitie u pacientov s tretím distribučným priestorom (</w:t>
      </w:r>
      <w:proofErr w:type="spellStart"/>
      <w:r>
        <w:rPr>
          <w:szCs w:val="22"/>
          <w:u w:val="single"/>
          <w:lang w:val="sk-SK"/>
        </w:rPr>
        <w:t>pleurálne</w:t>
      </w:r>
      <w:proofErr w:type="spellEnd"/>
      <w:r>
        <w:rPr>
          <w:szCs w:val="22"/>
          <w:u w:val="single"/>
          <w:lang w:val="sk-SK"/>
        </w:rPr>
        <w:t xml:space="preserve"> </w:t>
      </w:r>
      <w:proofErr w:type="spellStart"/>
      <w:r>
        <w:rPr>
          <w:szCs w:val="22"/>
          <w:u w:val="single"/>
          <w:lang w:val="sk-SK"/>
        </w:rPr>
        <w:t>efúzie</w:t>
      </w:r>
      <w:proofErr w:type="spellEnd"/>
      <w:r>
        <w:rPr>
          <w:szCs w:val="22"/>
          <w:u w:val="single"/>
          <w:lang w:val="sk-SK"/>
        </w:rPr>
        <w:t xml:space="preserve">, </w:t>
      </w:r>
      <w:proofErr w:type="spellStart"/>
      <w:r>
        <w:rPr>
          <w:szCs w:val="22"/>
          <w:u w:val="single"/>
          <w:lang w:val="sk-SK"/>
        </w:rPr>
        <w:t>ascites</w:t>
      </w:r>
      <w:proofErr w:type="spellEnd"/>
      <w:r>
        <w:rPr>
          <w:szCs w:val="22"/>
          <w:u w:val="single"/>
          <w:lang w:val="sk-SK"/>
        </w:rPr>
        <w:t>):</w:t>
      </w:r>
    </w:p>
    <w:p w:rsidR="00C55A79" w:rsidRPr="007D180D" w:rsidRDefault="00C55A79" w:rsidP="0072168C">
      <w:pPr>
        <w:rPr>
          <w:szCs w:val="22"/>
          <w:u w:val="single"/>
          <w:lang w:val="sk-SK"/>
        </w:rPr>
      </w:pPr>
    </w:p>
    <w:p w:rsidR="00784A7D" w:rsidRPr="007D180D" w:rsidRDefault="00D56571" w:rsidP="0072168C">
      <w:pPr>
        <w:autoSpaceDE w:val="0"/>
        <w:autoSpaceDN w:val="0"/>
        <w:adjustRightInd w:val="0"/>
        <w:rPr>
          <w:szCs w:val="22"/>
          <w:lang w:val="sk-SK"/>
        </w:rPr>
      </w:pPr>
      <w:r>
        <w:rPr>
          <w:szCs w:val="22"/>
          <w:lang w:val="sk-SK"/>
        </w:rPr>
        <w:t xml:space="preserve">U pacientov, ktorí majú tretí distribučný priestor, sa môže polčas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 predĺžiť štvornásobne v porovnaní s normálnou dĺžkou, preto sa môže vyžadovať zníženie dávky alebo v niektorých prípadoch ukončenie podávania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 (pozri časť 5.2 a 4.4).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3"/>
        <w:rPr>
          <w:szCs w:val="22"/>
          <w:lang w:val="sk-SK"/>
        </w:rPr>
      </w:pPr>
      <w:r>
        <w:rPr>
          <w:szCs w:val="22"/>
          <w:lang w:val="sk-SK"/>
        </w:rPr>
        <w:t>Dĺžka a spôsob podávania:</w:t>
      </w:r>
    </w:p>
    <w:p w:rsidR="00C55A79" w:rsidRPr="007D180D" w:rsidRDefault="00C55A79" w:rsidP="00C55A79">
      <w:pPr>
        <w:rPr>
          <w:lang w:val="sk-SK"/>
        </w:rPr>
      </w:pPr>
    </w:p>
    <w:p w:rsidR="00784A7D" w:rsidRPr="007D180D" w:rsidRDefault="00D56571" w:rsidP="0072168C">
      <w:pPr>
        <w:jc w:val="both"/>
        <w:rPr>
          <w:szCs w:val="22"/>
          <w:lang w:val="sk-SK"/>
        </w:rPr>
      </w:pPr>
      <w:r>
        <w:rPr>
          <w:szCs w:val="22"/>
          <w:lang w:val="sk-SK"/>
        </w:rPr>
        <w:t>Naplnená injekčná striekačka je len na jednorazové použitie.</w:t>
      </w:r>
    </w:p>
    <w:p w:rsidR="00C55A79" w:rsidRPr="007D180D" w:rsidRDefault="00D56571" w:rsidP="0072168C">
      <w:pPr>
        <w:jc w:val="both"/>
        <w:rPr>
          <w:szCs w:val="22"/>
          <w:lang w:val="sk-SK"/>
        </w:rPr>
      </w:pPr>
      <w:r>
        <w:rPr>
          <w:szCs w:val="22"/>
          <w:lang w:val="sk-SK"/>
        </w:rPr>
        <w:t>Je nutné, aby sa použil celý obsah.</w:t>
      </w:r>
    </w:p>
    <w:p w:rsidR="0015380E" w:rsidRPr="007D180D" w:rsidRDefault="0015380E" w:rsidP="0072168C">
      <w:pPr>
        <w:jc w:val="both"/>
        <w:rPr>
          <w:szCs w:val="22"/>
          <w:lang w:val="sk-SK"/>
        </w:rPr>
      </w:pPr>
    </w:p>
    <w:p w:rsidR="0015380E" w:rsidRPr="007D180D" w:rsidRDefault="0015380E" w:rsidP="0072168C">
      <w:pPr>
        <w:jc w:val="both"/>
        <w:rPr>
          <w:szCs w:val="22"/>
          <w:lang w:val="sk-SK"/>
        </w:rPr>
      </w:pPr>
    </w:p>
    <w:p w:rsidR="0015380E" w:rsidRPr="007D180D" w:rsidRDefault="0015380E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proofErr w:type="spellStart"/>
      <w:r>
        <w:rPr>
          <w:szCs w:val="22"/>
          <w:lang w:val="sk-SK"/>
        </w:rPr>
        <w:t>Injexate</w:t>
      </w:r>
      <w:proofErr w:type="spellEnd"/>
      <w:r>
        <w:rPr>
          <w:szCs w:val="22"/>
          <w:lang w:val="sk-SK"/>
        </w:rPr>
        <w:t xml:space="preserve"> injekčný roztok sa podáva </w:t>
      </w:r>
      <w:proofErr w:type="spellStart"/>
      <w:r>
        <w:rPr>
          <w:szCs w:val="22"/>
          <w:lang w:val="sk-SK"/>
        </w:rPr>
        <w:t>subkutánnou</w:t>
      </w:r>
      <w:proofErr w:type="spellEnd"/>
      <w:r>
        <w:rPr>
          <w:szCs w:val="22"/>
          <w:lang w:val="sk-SK"/>
        </w:rPr>
        <w:t xml:space="preserve"> cestou.</w:t>
      </w:r>
    </w:p>
    <w:p w:rsidR="0015380E" w:rsidRPr="007D180D" w:rsidRDefault="0015380E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>O celkovej dĺžke trvania liečby rozhoduje lekár.</w:t>
      </w:r>
    </w:p>
    <w:p w:rsidR="0015380E" w:rsidRPr="007D180D" w:rsidRDefault="0015380E" w:rsidP="0072168C">
      <w:pPr>
        <w:rPr>
          <w:szCs w:val="22"/>
          <w:lang w:val="sk-SK"/>
        </w:rPr>
      </w:pPr>
    </w:p>
    <w:p w:rsidR="0015380E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>Pokyny o </w:t>
      </w:r>
      <w:proofErr w:type="spellStart"/>
      <w:r>
        <w:rPr>
          <w:szCs w:val="22"/>
          <w:lang w:val="sk-SK"/>
        </w:rPr>
        <w:t>subkutánnom</w:t>
      </w:r>
      <w:proofErr w:type="spellEnd"/>
      <w:r>
        <w:rPr>
          <w:szCs w:val="22"/>
          <w:lang w:val="sk-SK"/>
        </w:rPr>
        <w:t xml:space="preserve"> použití (pozri časť </w:t>
      </w:r>
      <w:r>
        <w:rPr>
          <w:lang w:val="sk-SK"/>
        </w:rPr>
        <w:t>6.6).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>Poznámka:</w:t>
      </w: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Pri zmene z perorálneho podávania na </w:t>
      </w:r>
      <w:proofErr w:type="spellStart"/>
      <w:r>
        <w:rPr>
          <w:szCs w:val="22"/>
          <w:lang w:val="sk-SK"/>
        </w:rPr>
        <w:t>parenterálne</w:t>
      </w:r>
      <w:proofErr w:type="spellEnd"/>
      <w:r>
        <w:rPr>
          <w:szCs w:val="22"/>
          <w:lang w:val="sk-SK"/>
        </w:rPr>
        <w:t xml:space="preserve"> sa môže vyžadovať zníženie dávky z dôvodu variabilnej biologickej dostupnosti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 po perorálnom podávaní.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rPr>
          <w:snapToGrid w:val="0"/>
          <w:szCs w:val="22"/>
          <w:lang w:val="sk-SK" w:eastAsia="de-DE"/>
        </w:rPr>
      </w:pPr>
      <w:r>
        <w:rPr>
          <w:snapToGrid w:val="0"/>
          <w:szCs w:val="22"/>
          <w:lang w:val="sk-SK" w:eastAsia="de-DE"/>
        </w:rPr>
        <w:t>Podľa súčasných liečebných smerníc možno zvážiť doplnkové podávanie kyseliny listovej.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15380E">
      <w:pPr>
        <w:pStyle w:val="Nadpis2"/>
        <w:numPr>
          <w:ilvl w:val="1"/>
          <w:numId w:val="35"/>
        </w:numPr>
        <w:rPr>
          <w:szCs w:val="22"/>
          <w:lang w:val="sk-SK"/>
        </w:rPr>
      </w:pPr>
      <w:r>
        <w:rPr>
          <w:szCs w:val="22"/>
          <w:lang w:val="sk-SK"/>
        </w:rPr>
        <w:t>Kontraindikácie</w:t>
      </w:r>
    </w:p>
    <w:p w:rsidR="00784A7D" w:rsidRPr="007D180D" w:rsidRDefault="00784A7D" w:rsidP="0072168C">
      <w:pPr>
        <w:keepNext/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proofErr w:type="spellStart"/>
      <w:r>
        <w:rPr>
          <w:szCs w:val="22"/>
          <w:lang w:val="sk-SK"/>
        </w:rPr>
        <w:t>Injexate</w:t>
      </w:r>
      <w:proofErr w:type="spellEnd"/>
      <w:r>
        <w:rPr>
          <w:szCs w:val="22"/>
          <w:lang w:val="sk-SK"/>
        </w:rPr>
        <w:t xml:space="preserve"> je kontraindikovaný v prípade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numPr>
          <w:ilvl w:val="0"/>
          <w:numId w:val="16"/>
        </w:numPr>
        <w:rPr>
          <w:szCs w:val="22"/>
          <w:lang w:val="sk-SK"/>
        </w:rPr>
      </w:pPr>
      <w:r>
        <w:rPr>
          <w:szCs w:val="22"/>
          <w:lang w:val="sk-SK"/>
        </w:rPr>
        <w:t xml:space="preserve">precitlivenosti na </w:t>
      </w:r>
      <w:proofErr w:type="spellStart"/>
      <w:r>
        <w:rPr>
          <w:szCs w:val="22"/>
          <w:lang w:val="sk-SK"/>
        </w:rPr>
        <w:t>metotrexát</w:t>
      </w:r>
      <w:proofErr w:type="spellEnd"/>
      <w:r>
        <w:rPr>
          <w:szCs w:val="22"/>
          <w:lang w:val="sk-SK"/>
        </w:rPr>
        <w:t xml:space="preserve"> alebo na ktorúkoľvek z pomocných látok </w:t>
      </w:r>
      <w:r>
        <w:rPr>
          <w:lang w:val="sk-SK"/>
        </w:rPr>
        <w:t>uvedených v časti 6.1</w:t>
      </w:r>
      <w:r>
        <w:rPr>
          <w:szCs w:val="22"/>
          <w:lang w:val="sk-SK"/>
        </w:rPr>
        <w:t>,</w:t>
      </w:r>
    </w:p>
    <w:p w:rsidR="00784A7D" w:rsidRPr="007D180D" w:rsidRDefault="00D56571" w:rsidP="0072168C">
      <w:pPr>
        <w:numPr>
          <w:ilvl w:val="0"/>
          <w:numId w:val="16"/>
        </w:numPr>
        <w:rPr>
          <w:szCs w:val="22"/>
          <w:lang w:val="sk-SK"/>
        </w:rPr>
      </w:pPr>
      <w:r>
        <w:rPr>
          <w:szCs w:val="22"/>
          <w:lang w:val="sk-SK"/>
        </w:rPr>
        <w:t>závažnej poruchy pečene (pozri časť 4.2),</w:t>
      </w:r>
    </w:p>
    <w:p w:rsidR="00784A7D" w:rsidRPr="007D180D" w:rsidRDefault="00D56571" w:rsidP="0072168C">
      <w:pPr>
        <w:numPr>
          <w:ilvl w:val="0"/>
          <w:numId w:val="16"/>
        </w:numPr>
        <w:rPr>
          <w:szCs w:val="22"/>
          <w:lang w:val="sk-SK"/>
        </w:rPr>
      </w:pPr>
      <w:r>
        <w:rPr>
          <w:szCs w:val="22"/>
          <w:lang w:val="sk-SK"/>
        </w:rPr>
        <w:t>alkoholovej závislosti,</w:t>
      </w:r>
    </w:p>
    <w:p w:rsidR="00784A7D" w:rsidRPr="007D180D" w:rsidRDefault="00D56571" w:rsidP="0072168C">
      <w:pPr>
        <w:numPr>
          <w:ilvl w:val="0"/>
          <w:numId w:val="16"/>
        </w:numPr>
        <w:rPr>
          <w:szCs w:val="22"/>
          <w:lang w:val="sk-SK"/>
        </w:rPr>
      </w:pPr>
      <w:r>
        <w:rPr>
          <w:szCs w:val="22"/>
          <w:lang w:val="sk-SK"/>
        </w:rPr>
        <w:t>závažnej poruchy obličiek (</w:t>
      </w:r>
      <w:proofErr w:type="spellStart"/>
      <w:r>
        <w:rPr>
          <w:szCs w:val="22"/>
          <w:lang w:val="sk-SK"/>
        </w:rPr>
        <w:t>klírens</w:t>
      </w:r>
      <w:proofErr w:type="spellEnd"/>
      <w:r>
        <w:rPr>
          <w:szCs w:val="22"/>
          <w:lang w:val="sk-SK"/>
        </w:rPr>
        <w:t xml:space="preserve"> </w:t>
      </w:r>
      <w:proofErr w:type="spellStart"/>
      <w:r>
        <w:rPr>
          <w:szCs w:val="22"/>
          <w:lang w:val="sk-SK"/>
        </w:rPr>
        <w:t>kreatinínu</w:t>
      </w:r>
      <w:proofErr w:type="spellEnd"/>
      <w:r>
        <w:rPr>
          <w:szCs w:val="22"/>
          <w:lang w:val="sk-SK"/>
        </w:rPr>
        <w:t xml:space="preserve"> menej ako 20 ml/min, pozri časť 4.2 a časť 4.4),</w:t>
      </w:r>
    </w:p>
    <w:p w:rsidR="00784A7D" w:rsidRPr="007D180D" w:rsidRDefault="00D56571" w:rsidP="0072168C">
      <w:pPr>
        <w:numPr>
          <w:ilvl w:val="0"/>
          <w:numId w:val="16"/>
        </w:numPr>
        <w:rPr>
          <w:szCs w:val="22"/>
          <w:lang w:val="sk-SK"/>
        </w:rPr>
      </w:pPr>
      <w:r>
        <w:rPr>
          <w:szCs w:val="22"/>
          <w:lang w:val="sk-SK"/>
        </w:rPr>
        <w:t xml:space="preserve">už existujúcej krvnej </w:t>
      </w:r>
      <w:proofErr w:type="spellStart"/>
      <w:r>
        <w:rPr>
          <w:szCs w:val="22"/>
          <w:lang w:val="sk-SK"/>
        </w:rPr>
        <w:t>dyskrázie</w:t>
      </w:r>
      <w:proofErr w:type="spellEnd"/>
      <w:r>
        <w:rPr>
          <w:szCs w:val="22"/>
          <w:lang w:val="sk-SK"/>
        </w:rPr>
        <w:t xml:space="preserve">, ako je </w:t>
      </w:r>
      <w:proofErr w:type="spellStart"/>
      <w:r>
        <w:rPr>
          <w:szCs w:val="22"/>
          <w:lang w:val="sk-SK"/>
        </w:rPr>
        <w:t>hypoplázia</w:t>
      </w:r>
      <w:proofErr w:type="spellEnd"/>
      <w:r>
        <w:rPr>
          <w:szCs w:val="22"/>
          <w:lang w:val="sk-SK"/>
        </w:rPr>
        <w:t xml:space="preserve"> kostnej drene, </w:t>
      </w:r>
      <w:proofErr w:type="spellStart"/>
      <w:r>
        <w:rPr>
          <w:szCs w:val="22"/>
          <w:lang w:val="sk-SK"/>
        </w:rPr>
        <w:t>leukopénia</w:t>
      </w:r>
      <w:proofErr w:type="spellEnd"/>
      <w:r>
        <w:rPr>
          <w:szCs w:val="22"/>
          <w:lang w:val="sk-SK"/>
        </w:rPr>
        <w:t xml:space="preserve">, </w:t>
      </w:r>
      <w:proofErr w:type="spellStart"/>
      <w:r>
        <w:rPr>
          <w:szCs w:val="22"/>
          <w:lang w:val="sk-SK"/>
        </w:rPr>
        <w:t>trombocytopénia</w:t>
      </w:r>
      <w:proofErr w:type="spellEnd"/>
      <w:r>
        <w:rPr>
          <w:szCs w:val="22"/>
          <w:lang w:val="sk-SK"/>
        </w:rPr>
        <w:t xml:space="preserve"> alebo významná anémia,</w:t>
      </w:r>
    </w:p>
    <w:p w:rsidR="00784A7D" w:rsidRPr="007D180D" w:rsidRDefault="00D56571" w:rsidP="0072168C">
      <w:pPr>
        <w:numPr>
          <w:ilvl w:val="0"/>
          <w:numId w:val="16"/>
        </w:numPr>
        <w:rPr>
          <w:szCs w:val="22"/>
          <w:lang w:val="sk-SK"/>
        </w:rPr>
      </w:pPr>
      <w:r>
        <w:rPr>
          <w:szCs w:val="22"/>
          <w:lang w:val="sk-SK"/>
        </w:rPr>
        <w:t xml:space="preserve">závažných, akútnych alebo chronických infekcií, ako sú tuberkulóza, HIV alebo iné syndrómy </w:t>
      </w:r>
      <w:proofErr w:type="spellStart"/>
      <w:r>
        <w:rPr>
          <w:szCs w:val="22"/>
          <w:lang w:val="sk-SK"/>
        </w:rPr>
        <w:t>imunodeficiencie</w:t>
      </w:r>
      <w:proofErr w:type="spellEnd"/>
      <w:r>
        <w:rPr>
          <w:szCs w:val="22"/>
          <w:lang w:val="sk-SK"/>
        </w:rPr>
        <w:t>,</w:t>
      </w:r>
    </w:p>
    <w:p w:rsidR="00784A7D" w:rsidRPr="007D180D" w:rsidRDefault="00D56571" w:rsidP="0072168C">
      <w:pPr>
        <w:numPr>
          <w:ilvl w:val="0"/>
          <w:numId w:val="16"/>
        </w:numPr>
        <w:rPr>
          <w:szCs w:val="22"/>
          <w:lang w:val="sk-SK"/>
        </w:rPr>
      </w:pPr>
      <w:r>
        <w:rPr>
          <w:szCs w:val="22"/>
          <w:lang w:val="sk-SK"/>
        </w:rPr>
        <w:t xml:space="preserve">vredov ústnej dutiny a známeho aktívneho </w:t>
      </w:r>
      <w:proofErr w:type="spellStart"/>
      <w:r>
        <w:rPr>
          <w:szCs w:val="22"/>
          <w:lang w:val="sk-SK"/>
        </w:rPr>
        <w:t>gastrointestinálneho</w:t>
      </w:r>
      <w:proofErr w:type="spellEnd"/>
      <w:r>
        <w:rPr>
          <w:szCs w:val="22"/>
          <w:lang w:val="sk-SK"/>
        </w:rPr>
        <w:t xml:space="preserve"> vredového ochorenia,</w:t>
      </w:r>
    </w:p>
    <w:p w:rsidR="00784A7D" w:rsidRPr="007D180D" w:rsidRDefault="00D56571" w:rsidP="0072168C">
      <w:pPr>
        <w:numPr>
          <w:ilvl w:val="0"/>
          <w:numId w:val="16"/>
        </w:numPr>
        <w:rPr>
          <w:szCs w:val="22"/>
          <w:lang w:val="sk-SK"/>
        </w:rPr>
      </w:pPr>
      <w:r>
        <w:rPr>
          <w:szCs w:val="22"/>
          <w:lang w:val="sk-SK"/>
        </w:rPr>
        <w:t>gravidity, dojčenia (pozri časť 4.6),</w:t>
      </w:r>
    </w:p>
    <w:p w:rsidR="00784A7D" w:rsidRPr="007D180D" w:rsidRDefault="00D56571" w:rsidP="0072168C">
      <w:pPr>
        <w:numPr>
          <w:ilvl w:val="0"/>
          <w:numId w:val="16"/>
        </w:numPr>
        <w:rPr>
          <w:szCs w:val="22"/>
          <w:lang w:val="sk-SK"/>
        </w:rPr>
      </w:pPr>
      <w:r>
        <w:rPr>
          <w:szCs w:val="22"/>
          <w:lang w:val="sk-SK"/>
        </w:rPr>
        <w:t xml:space="preserve">očkovania živými vakcínami v rovnakom čase.  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2"/>
        <w:rPr>
          <w:szCs w:val="22"/>
          <w:lang w:val="sk-SK"/>
        </w:rPr>
      </w:pPr>
      <w:r>
        <w:rPr>
          <w:szCs w:val="22"/>
          <w:lang w:val="sk-SK"/>
        </w:rPr>
        <w:t>Osobitné upozornenia a opatrenia pri používaní</w:t>
      </w:r>
    </w:p>
    <w:p w:rsidR="00784A7D" w:rsidRPr="007D180D" w:rsidRDefault="00784A7D" w:rsidP="0072168C">
      <w:pPr>
        <w:keepNext/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Pacienti majú byť jasne informovaní, že liečba sa podáva </w:t>
      </w:r>
      <w:r>
        <w:rPr>
          <w:b/>
          <w:bCs/>
          <w:szCs w:val="22"/>
          <w:lang w:val="sk-SK"/>
        </w:rPr>
        <w:t>jedenkrát týždenne</w:t>
      </w:r>
      <w:r>
        <w:rPr>
          <w:szCs w:val="22"/>
          <w:lang w:val="sk-SK"/>
        </w:rPr>
        <w:t xml:space="preserve">, nie každý deň. Liečení pacienti majú byť pod primeraným dohľadom, aby sa prejavy možných toxických účinkov alebo nežiaducich reakcií mohli určiť a stanoviť s minimálnym zdržaním. Preto má </w:t>
      </w:r>
      <w:proofErr w:type="spellStart"/>
      <w:r>
        <w:rPr>
          <w:szCs w:val="22"/>
          <w:lang w:val="sk-SK"/>
        </w:rPr>
        <w:t>metotrexát</w:t>
      </w:r>
      <w:proofErr w:type="spellEnd"/>
      <w:r>
        <w:rPr>
          <w:szCs w:val="22"/>
          <w:lang w:val="sk-SK"/>
        </w:rPr>
        <w:t xml:space="preserve"> podávať len lekár alebo sa má podávať len pod dohľadom lekárov, ktorých vedomosti a skúsenosti zahŕňajú použitie terapie </w:t>
      </w:r>
      <w:proofErr w:type="spellStart"/>
      <w:r>
        <w:rPr>
          <w:szCs w:val="22"/>
          <w:lang w:val="sk-SK"/>
        </w:rPr>
        <w:t>antimetabolitmi</w:t>
      </w:r>
      <w:proofErr w:type="spellEnd"/>
      <w:r>
        <w:rPr>
          <w:szCs w:val="22"/>
          <w:lang w:val="sk-SK"/>
        </w:rPr>
        <w:t>. Kvôli možnosti závažných alebo až fatálnych toxických reakcií má lekár pacienta plne informovať o rizikách, ktoré terapia zahŕňa a o odporúčaných bezpečnostných opatreniach.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6249DF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>Použitie u detí vo veku &lt; 3 roky sa neodporúča, keďže sú dostupné iba nedostatočné údaje o účinnosti a bezpečnosti v tejto populácii (pozri časť 4.2).</w:t>
      </w:r>
    </w:p>
    <w:p w:rsidR="006249DF" w:rsidRPr="007D180D" w:rsidRDefault="006249DF" w:rsidP="0072168C">
      <w:pPr>
        <w:rPr>
          <w:szCs w:val="22"/>
          <w:lang w:val="sk-SK"/>
        </w:rPr>
      </w:pPr>
    </w:p>
    <w:p w:rsidR="00784A7D" w:rsidRPr="007D180D" w:rsidRDefault="00D56571" w:rsidP="000E70B4">
      <w:pPr>
        <w:keepNext/>
        <w:keepLines/>
        <w:rPr>
          <w:b/>
          <w:szCs w:val="22"/>
          <w:lang w:val="sk-SK"/>
        </w:rPr>
      </w:pPr>
      <w:r>
        <w:rPr>
          <w:b/>
          <w:szCs w:val="22"/>
          <w:lang w:val="sk-SK"/>
        </w:rPr>
        <w:t>Odporúčané vyšetrenia a bezpečnostné opatrenia</w:t>
      </w:r>
    </w:p>
    <w:p w:rsidR="00784A7D" w:rsidRPr="007D180D" w:rsidRDefault="00784A7D" w:rsidP="000E70B4">
      <w:pPr>
        <w:keepNext/>
        <w:keepLines/>
        <w:rPr>
          <w:szCs w:val="22"/>
          <w:lang w:val="sk-SK"/>
        </w:rPr>
      </w:pPr>
    </w:p>
    <w:p w:rsidR="00784A7D" w:rsidRPr="007D180D" w:rsidRDefault="00D56571" w:rsidP="000E70B4">
      <w:pPr>
        <w:pStyle w:val="Nadpis3"/>
        <w:keepLines/>
        <w:rPr>
          <w:szCs w:val="22"/>
          <w:lang w:val="sk-SK"/>
        </w:rPr>
      </w:pPr>
      <w:r>
        <w:rPr>
          <w:szCs w:val="22"/>
          <w:lang w:val="sk-SK"/>
        </w:rPr>
        <w:t xml:space="preserve">Pred začatím alebo opätovným nasadením terapie </w:t>
      </w:r>
      <w:proofErr w:type="spellStart"/>
      <w:r>
        <w:rPr>
          <w:szCs w:val="22"/>
          <w:lang w:val="sk-SK"/>
        </w:rPr>
        <w:t>metotrexátom</w:t>
      </w:r>
      <w:proofErr w:type="spellEnd"/>
      <w:r>
        <w:rPr>
          <w:szCs w:val="22"/>
          <w:lang w:val="sk-SK"/>
        </w:rPr>
        <w:t xml:space="preserve"> po prestávke v liečbe:</w:t>
      </w:r>
    </w:p>
    <w:p w:rsidR="004C501E" w:rsidRPr="007D180D" w:rsidRDefault="004C501E" w:rsidP="004C501E">
      <w:pPr>
        <w:rPr>
          <w:lang w:val="sk-SK"/>
        </w:rPr>
      </w:pPr>
    </w:p>
    <w:p w:rsidR="00784A7D" w:rsidRPr="007D180D" w:rsidRDefault="00D56571" w:rsidP="000E70B4">
      <w:pPr>
        <w:keepNext/>
        <w:keepLines/>
        <w:rPr>
          <w:szCs w:val="22"/>
          <w:lang w:val="sk-SK"/>
        </w:rPr>
      </w:pPr>
      <w:r>
        <w:rPr>
          <w:szCs w:val="22"/>
          <w:lang w:val="sk-SK"/>
        </w:rPr>
        <w:t xml:space="preserve">Úplný krvný obraz s diferenciálom krvného obrazu a doštičkami, testy pečeňových enzýmov, </w:t>
      </w:r>
      <w:proofErr w:type="spellStart"/>
      <w:r>
        <w:rPr>
          <w:szCs w:val="22"/>
          <w:lang w:val="sk-SK"/>
        </w:rPr>
        <w:t>bilirubínu</w:t>
      </w:r>
      <w:proofErr w:type="spellEnd"/>
      <w:r>
        <w:rPr>
          <w:szCs w:val="22"/>
          <w:lang w:val="sk-SK"/>
        </w:rPr>
        <w:t>, albumínu v sére, RTG hrudníka a testy obličkových funkcií. Ak je to klinicky indikované, vylúčenie tuberkulózy a hepatitídy.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3"/>
        <w:rPr>
          <w:szCs w:val="22"/>
          <w:lang w:val="sk-SK"/>
        </w:rPr>
      </w:pPr>
      <w:r>
        <w:rPr>
          <w:szCs w:val="22"/>
          <w:lang w:val="sk-SK"/>
        </w:rPr>
        <w:t>Počas liečby (najmenej raz mesačne počas prvých šiestich mesiacov a potom každé tri mesiace):</w:t>
      </w:r>
    </w:p>
    <w:p w:rsidR="004C501E" w:rsidRPr="007D180D" w:rsidRDefault="004C501E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>Pri zvýšení dávky treba uvažovať aj o zvýšení frekvencie monitorovania.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numPr>
          <w:ilvl w:val="0"/>
          <w:numId w:val="22"/>
        </w:numPr>
        <w:rPr>
          <w:szCs w:val="22"/>
          <w:lang w:val="sk-SK"/>
        </w:rPr>
      </w:pPr>
      <w:r>
        <w:rPr>
          <w:szCs w:val="22"/>
          <w:lang w:val="sk-SK"/>
        </w:rPr>
        <w:lastRenderedPageBreak/>
        <w:t xml:space="preserve">Vyšetrenie úst a hrdla na zmeny sliznice 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4C501E" w:rsidRPr="007D180D" w:rsidRDefault="004C501E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numPr>
          <w:ilvl w:val="0"/>
          <w:numId w:val="22"/>
        </w:numPr>
        <w:rPr>
          <w:szCs w:val="22"/>
          <w:lang w:val="sk-SK"/>
        </w:rPr>
      </w:pPr>
      <w:r>
        <w:rPr>
          <w:szCs w:val="22"/>
          <w:lang w:val="sk-SK"/>
        </w:rPr>
        <w:t xml:space="preserve">Úplný krvný obraz s diferenciálom krvného obrazu a doštičkami. </w:t>
      </w:r>
      <w:proofErr w:type="spellStart"/>
      <w:r>
        <w:rPr>
          <w:szCs w:val="22"/>
          <w:lang w:val="sk-SK"/>
        </w:rPr>
        <w:t>Hemopoetická</w:t>
      </w:r>
      <w:proofErr w:type="spellEnd"/>
      <w:r>
        <w:rPr>
          <w:szCs w:val="22"/>
          <w:lang w:val="sk-SK"/>
        </w:rPr>
        <w:t xml:space="preserve"> </w:t>
      </w:r>
      <w:proofErr w:type="spellStart"/>
      <w:r>
        <w:rPr>
          <w:szCs w:val="22"/>
          <w:lang w:val="sk-SK"/>
        </w:rPr>
        <w:t>supresia</w:t>
      </w:r>
      <w:proofErr w:type="spellEnd"/>
      <w:r>
        <w:rPr>
          <w:szCs w:val="22"/>
          <w:lang w:val="sk-SK"/>
        </w:rPr>
        <w:t xml:space="preserve"> spôsobená </w:t>
      </w:r>
      <w:proofErr w:type="spellStart"/>
      <w:r>
        <w:rPr>
          <w:szCs w:val="22"/>
          <w:lang w:val="sk-SK"/>
        </w:rPr>
        <w:t>metotrexátom</w:t>
      </w:r>
      <w:proofErr w:type="spellEnd"/>
      <w:r>
        <w:rPr>
          <w:szCs w:val="22"/>
          <w:lang w:val="sk-SK"/>
        </w:rPr>
        <w:t xml:space="preserve"> sa môže objaviť neočakávane a pri zdanlivo bezpečných dávkach. Akékoľvek prudké poklesy v počte bielych krviniek alebo doštičiek indikujú okamžité ukončenie podávania lieku a vhodnú podpornú liečbu. Pacientov treba poučiť, aby nahlásili všetky prejavy a príznaky naznačujúce infekciu. U pacientov súčasne užívajúcich </w:t>
      </w:r>
      <w:proofErr w:type="spellStart"/>
      <w:r>
        <w:rPr>
          <w:szCs w:val="22"/>
          <w:lang w:val="sk-SK"/>
        </w:rPr>
        <w:t>hematotoxické</w:t>
      </w:r>
      <w:proofErr w:type="spellEnd"/>
      <w:r>
        <w:rPr>
          <w:szCs w:val="22"/>
          <w:lang w:val="sk-SK"/>
        </w:rPr>
        <w:t xml:space="preserve"> lieky (napr. </w:t>
      </w:r>
      <w:proofErr w:type="spellStart"/>
      <w:r>
        <w:rPr>
          <w:szCs w:val="22"/>
          <w:lang w:val="sk-SK"/>
        </w:rPr>
        <w:t>leflunomid</w:t>
      </w:r>
      <w:proofErr w:type="spellEnd"/>
      <w:r>
        <w:rPr>
          <w:szCs w:val="22"/>
          <w:lang w:val="sk-SK"/>
        </w:rPr>
        <w:t xml:space="preserve">) sa musí sledovať krvný obraz a doštičky.  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4C501E" w:rsidRPr="007D180D" w:rsidRDefault="00D56571" w:rsidP="0072168C">
      <w:pPr>
        <w:numPr>
          <w:ilvl w:val="0"/>
          <w:numId w:val="22"/>
        </w:numPr>
        <w:rPr>
          <w:szCs w:val="22"/>
          <w:lang w:val="sk-SK"/>
        </w:rPr>
      </w:pPr>
      <w:r>
        <w:rPr>
          <w:szCs w:val="22"/>
          <w:lang w:val="sk-SK"/>
        </w:rPr>
        <w:t xml:space="preserve">Testy pečeňových funkcií: Osobitnú pozornosť treba venovať objaveniu sa pečeňovej toxicity. Ak je prítomná, alebo ak sa počas liečby vyvinie akákoľvek anomália testov pečeňových funkcií alebo </w:t>
      </w:r>
      <w:proofErr w:type="spellStart"/>
      <w:r>
        <w:rPr>
          <w:szCs w:val="22"/>
          <w:lang w:val="sk-SK"/>
        </w:rPr>
        <w:t>biopsie</w:t>
      </w:r>
      <w:proofErr w:type="spellEnd"/>
      <w:r>
        <w:rPr>
          <w:szCs w:val="22"/>
          <w:lang w:val="sk-SK"/>
        </w:rPr>
        <w:t xml:space="preserve"> pečene, liečba sa nemá začať alebo sa má prerušiť. Takéto anomálie sa majú vrátiť do normálu v priebehu dvoch týždňov, po ktorých možno liečbu obnoviť podľa rozhodnutia lekára. Neexistuje dôkaz, ktorý by podporoval použitie </w:t>
      </w:r>
      <w:proofErr w:type="spellStart"/>
      <w:r>
        <w:rPr>
          <w:szCs w:val="22"/>
          <w:lang w:val="sk-SK"/>
        </w:rPr>
        <w:t>biopsie</w:t>
      </w:r>
      <w:proofErr w:type="spellEnd"/>
      <w:r>
        <w:rPr>
          <w:szCs w:val="22"/>
          <w:lang w:val="sk-SK"/>
        </w:rPr>
        <w:t xml:space="preserve"> pečene na monitorovanie </w:t>
      </w:r>
      <w:proofErr w:type="spellStart"/>
      <w:r>
        <w:rPr>
          <w:szCs w:val="22"/>
          <w:lang w:val="sk-SK"/>
        </w:rPr>
        <w:t>hepatotoxicity</w:t>
      </w:r>
      <w:proofErr w:type="spellEnd"/>
      <w:r>
        <w:rPr>
          <w:szCs w:val="22"/>
          <w:lang w:val="sk-SK"/>
        </w:rPr>
        <w:t xml:space="preserve"> pri reumatologických indikáciách. </w:t>
      </w:r>
    </w:p>
    <w:p w:rsidR="004C501E" w:rsidRPr="007D180D" w:rsidRDefault="004C501E" w:rsidP="004C501E">
      <w:pPr>
        <w:pStyle w:val="Odsekzoznamu"/>
        <w:rPr>
          <w:szCs w:val="22"/>
          <w:lang w:val="sk-SK"/>
        </w:rPr>
      </w:pPr>
    </w:p>
    <w:p w:rsidR="00784A7D" w:rsidRPr="007D180D" w:rsidRDefault="00D56571" w:rsidP="004C501E">
      <w:pPr>
        <w:ind w:left="425"/>
        <w:rPr>
          <w:szCs w:val="22"/>
          <w:lang w:val="sk-SK"/>
        </w:rPr>
      </w:pPr>
      <w:r>
        <w:rPr>
          <w:szCs w:val="22"/>
          <w:lang w:val="sk-SK"/>
        </w:rPr>
        <w:t xml:space="preserve">U pacientov so psoriázou je potreba </w:t>
      </w:r>
      <w:proofErr w:type="spellStart"/>
      <w:r>
        <w:rPr>
          <w:szCs w:val="22"/>
          <w:lang w:val="sk-SK"/>
        </w:rPr>
        <w:t>biopsie</w:t>
      </w:r>
      <w:proofErr w:type="spellEnd"/>
      <w:r>
        <w:rPr>
          <w:szCs w:val="22"/>
          <w:lang w:val="sk-SK"/>
        </w:rPr>
        <w:t xml:space="preserve"> pečene pred alebo počas liečby kontroverzná. Je potrebný ďalší výskum na stanovenie, či séria pečeňových chemických testov alebo </w:t>
      </w:r>
      <w:proofErr w:type="spellStart"/>
      <w:r>
        <w:rPr>
          <w:szCs w:val="22"/>
          <w:lang w:val="sk-SK"/>
        </w:rPr>
        <w:t>propeptidu</w:t>
      </w:r>
      <w:proofErr w:type="spellEnd"/>
      <w:r>
        <w:rPr>
          <w:szCs w:val="22"/>
          <w:lang w:val="sk-SK"/>
        </w:rPr>
        <w:t xml:space="preserve"> kolagénu typu III môžu dostatočne zistiť </w:t>
      </w:r>
      <w:proofErr w:type="spellStart"/>
      <w:r>
        <w:rPr>
          <w:szCs w:val="22"/>
          <w:lang w:val="sk-SK"/>
        </w:rPr>
        <w:t>hepatotoxicitu</w:t>
      </w:r>
      <w:proofErr w:type="spellEnd"/>
      <w:r>
        <w:rPr>
          <w:szCs w:val="22"/>
          <w:lang w:val="sk-SK"/>
        </w:rPr>
        <w:t xml:space="preserve">. V jednotlivých prípadoch sa má vykonať hodnotenie a diferencovať medzi pacientmi so žiadnymi rizikovými faktormi a pacientmi s rizikovými faktormi, akými sú predošlá vysoká konzumácia alkoholu, pretrvávajúce zvýšené hodnoty pečeňových enzýmov, anamnéza ochorenia pečene, rodinná anamnéza dedičného ochorenia pečene, diabetes </w:t>
      </w:r>
      <w:proofErr w:type="spellStart"/>
      <w:r>
        <w:rPr>
          <w:szCs w:val="22"/>
          <w:lang w:val="sk-SK"/>
        </w:rPr>
        <w:t>mellitus</w:t>
      </w:r>
      <w:proofErr w:type="spellEnd"/>
      <w:r>
        <w:rPr>
          <w:szCs w:val="22"/>
          <w:lang w:val="sk-SK"/>
        </w:rPr>
        <w:t xml:space="preserve">, obezita, anamnéza významnej expozície </w:t>
      </w:r>
      <w:proofErr w:type="spellStart"/>
      <w:r>
        <w:rPr>
          <w:szCs w:val="22"/>
          <w:lang w:val="sk-SK"/>
        </w:rPr>
        <w:t>hepatotoxickým</w:t>
      </w:r>
      <w:proofErr w:type="spellEnd"/>
      <w:r>
        <w:rPr>
          <w:szCs w:val="22"/>
          <w:lang w:val="sk-SK"/>
        </w:rPr>
        <w:t xml:space="preserve"> drogám alebo chemikáliám a predĺžená liečba </w:t>
      </w:r>
      <w:proofErr w:type="spellStart"/>
      <w:r>
        <w:rPr>
          <w:szCs w:val="22"/>
          <w:lang w:val="sk-SK"/>
        </w:rPr>
        <w:t>metotrexátom</w:t>
      </w:r>
      <w:proofErr w:type="spellEnd"/>
      <w:r>
        <w:rPr>
          <w:szCs w:val="22"/>
          <w:lang w:val="sk-SK"/>
        </w:rPr>
        <w:t xml:space="preserve"> alebo kumulatívne dávky 1,5 g alebo vyššie.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ind w:left="425"/>
        <w:rPr>
          <w:szCs w:val="22"/>
          <w:lang w:val="sk-SK"/>
        </w:rPr>
      </w:pPr>
      <w:r>
        <w:rPr>
          <w:szCs w:val="22"/>
          <w:lang w:val="sk-SK"/>
        </w:rPr>
        <w:t xml:space="preserve">Kontrola pečeňových enzýmov v sére: Prechodné zvýšenia hodnôt </w:t>
      </w:r>
      <w:proofErr w:type="spellStart"/>
      <w:r>
        <w:rPr>
          <w:szCs w:val="22"/>
          <w:lang w:val="sk-SK"/>
        </w:rPr>
        <w:t>transamináz</w:t>
      </w:r>
      <w:proofErr w:type="spellEnd"/>
      <w:r>
        <w:rPr>
          <w:szCs w:val="22"/>
          <w:lang w:val="sk-SK"/>
        </w:rPr>
        <w:t xml:space="preserve"> dvoj- až trojnásobne oproti hornej hranici normálnych hodnôt boli pacientmi hlásené vo frekvencii 13 – 20 %. V prípade trvalého zvýšenia hodnôt pečeňových enzýmov sa má zvážiť redukcia dávky alebo ukončenie liečby. </w:t>
      </w:r>
    </w:p>
    <w:p w:rsidR="00784A7D" w:rsidRPr="007D180D" w:rsidRDefault="00784A7D" w:rsidP="0072168C">
      <w:pPr>
        <w:ind w:left="426"/>
        <w:rPr>
          <w:szCs w:val="22"/>
          <w:lang w:val="sk-SK"/>
        </w:rPr>
      </w:pPr>
    </w:p>
    <w:p w:rsidR="00784A7D" w:rsidRPr="007D180D" w:rsidRDefault="00D56571" w:rsidP="0072168C">
      <w:pPr>
        <w:ind w:left="426"/>
        <w:rPr>
          <w:szCs w:val="22"/>
          <w:lang w:val="sk-SK"/>
        </w:rPr>
      </w:pPr>
      <w:r>
        <w:rPr>
          <w:szCs w:val="22"/>
          <w:lang w:val="sk-SK"/>
        </w:rPr>
        <w:t xml:space="preserve">Kvôli možnému toxickému účinku na pečeň sa počas liečby </w:t>
      </w:r>
      <w:proofErr w:type="spellStart"/>
      <w:r>
        <w:rPr>
          <w:szCs w:val="22"/>
          <w:lang w:val="sk-SK"/>
        </w:rPr>
        <w:t>metotrexátom</w:t>
      </w:r>
      <w:proofErr w:type="spellEnd"/>
      <w:r>
        <w:rPr>
          <w:szCs w:val="22"/>
          <w:lang w:val="sk-SK"/>
        </w:rPr>
        <w:t xml:space="preserve"> nemajú používať ďalšie </w:t>
      </w:r>
      <w:proofErr w:type="spellStart"/>
      <w:r>
        <w:rPr>
          <w:szCs w:val="22"/>
          <w:lang w:val="sk-SK"/>
        </w:rPr>
        <w:t>hepatotoxické</w:t>
      </w:r>
      <w:proofErr w:type="spellEnd"/>
      <w:r>
        <w:rPr>
          <w:szCs w:val="22"/>
          <w:lang w:val="sk-SK"/>
        </w:rPr>
        <w:t xml:space="preserve"> lieky, </w:t>
      </w:r>
      <w:r w:rsidRPr="00D56571">
        <w:rPr>
          <w:iCs/>
          <w:szCs w:val="22"/>
          <w:lang w:val="sk-SK"/>
        </w:rPr>
        <w:t>ak to nie je jednoznačne nevyhnutné</w:t>
      </w:r>
      <w:r w:rsidR="00784A7D" w:rsidRPr="007D180D">
        <w:rPr>
          <w:szCs w:val="22"/>
          <w:lang w:val="sk-SK"/>
        </w:rPr>
        <w:t xml:space="preserve"> a konzumáci</w:t>
      </w:r>
      <w:r w:rsidR="00496B79" w:rsidRPr="007D180D">
        <w:rPr>
          <w:szCs w:val="22"/>
          <w:lang w:val="sk-SK"/>
        </w:rPr>
        <w:t>i</w:t>
      </w:r>
      <w:r>
        <w:rPr>
          <w:szCs w:val="22"/>
          <w:lang w:val="sk-SK"/>
        </w:rPr>
        <w:t xml:space="preserve"> alkoholu je potrebné sa vyhýbať alebo ju výrazne znížiť (pozri časť 4.5). Bližšie monitorovanie pečeňových enzýmov sa má vykonať u pacientov užívajúcich súčasne iné </w:t>
      </w:r>
      <w:proofErr w:type="spellStart"/>
      <w:r>
        <w:rPr>
          <w:szCs w:val="22"/>
          <w:lang w:val="sk-SK"/>
        </w:rPr>
        <w:t>hepatotoxické</w:t>
      </w:r>
      <w:proofErr w:type="spellEnd"/>
      <w:r>
        <w:rPr>
          <w:szCs w:val="22"/>
          <w:lang w:val="sk-SK"/>
        </w:rPr>
        <w:t xml:space="preserve"> lieky (napr. </w:t>
      </w:r>
      <w:proofErr w:type="spellStart"/>
      <w:r>
        <w:rPr>
          <w:szCs w:val="22"/>
          <w:lang w:val="sk-SK"/>
        </w:rPr>
        <w:t>leflunomid</w:t>
      </w:r>
      <w:proofErr w:type="spellEnd"/>
      <w:r>
        <w:rPr>
          <w:szCs w:val="22"/>
          <w:lang w:val="sk-SK"/>
        </w:rPr>
        <w:t xml:space="preserve">). Rovnaké fakty treba vziať do úvahy pri simultánnom podávaní </w:t>
      </w:r>
      <w:proofErr w:type="spellStart"/>
      <w:r>
        <w:rPr>
          <w:szCs w:val="22"/>
          <w:lang w:val="sk-SK"/>
        </w:rPr>
        <w:t>hematotoxických</w:t>
      </w:r>
      <w:proofErr w:type="spellEnd"/>
      <w:r>
        <w:rPr>
          <w:szCs w:val="22"/>
          <w:lang w:val="sk-SK"/>
        </w:rPr>
        <w:t xml:space="preserve"> liekov (napr. </w:t>
      </w:r>
      <w:proofErr w:type="spellStart"/>
      <w:r>
        <w:rPr>
          <w:szCs w:val="22"/>
          <w:lang w:val="sk-SK"/>
        </w:rPr>
        <w:t>leflunomid</w:t>
      </w:r>
      <w:proofErr w:type="spellEnd"/>
      <w:r>
        <w:rPr>
          <w:szCs w:val="22"/>
          <w:lang w:val="sk-SK"/>
        </w:rPr>
        <w:t xml:space="preserve">). </w:t>
      </w:r>
    </w:p>
    <w:p w:rsidR="00784A7D" w:rsidRPr="007D180D" w:rsidRDefault="00784A7D" w:rsidP="0072168C">
      <w:pPr>
        <w:ind w:left="426"/>
        <w:rPr>
          <w:szCs w:val="22"/>
          <w:lang w:val="sk-SK"/>
        </w:rPr>
      </w:pPr>
    </w:p>
    <w:p w:rsidR="00AB4ED7" w:rsidRPr="007D180D" w:rsidRDefault="00D56571" w:rsidP="00154D19">
      <w:pPr>
        <w:keepNext/>
        <w:keepLines/>
        <w:numPr>
          <w:ilvl w:val="0"/>
          <w:numId w:val="22"/>
        </w:numPr>
        <w:ind w:left="426"/>
        <w:rPr>
          <w:b/>
          <w:szCs w:val="22"/>
          <w:lang w:val="sk-SK"/>
        </w:rPr>
      </w:pPr>
      <w:r>
        <w:rPr>
          <w:szCs w:val="22"/>
          <w:lang w:val="sk-SK"/>
        </w:rPr>
        <w:t xml:space="preserve">Obličkové funkcie sa majú sledovať pomocou testov obličkových funkcií a rozboru </w:t>
      </w:r>
      <w:proofErr w:type="spellStart"/>
      <w:r>
        <w:rPr>
          <w:szCs w:val="22"/>
          <w:lang w:val="sk-SK"/>
        </w:rPr>
        <w:t>moča</w:t>
      </w:r>
      <w:proofErr w:type="spellEnd"/>
      <w:r>
        <w:rPr>
          <w:szCs w:val="22"/>
          <w:lang w:val="sk-SK"/>
        </w:rPr>
        <w:t xml:space="preserve"> (pozri časť 4.2 a 4.3).</w:t>
      </w:r>
    </w:p>
    <w:p w:rsidR="00AB4ED7" w:rsidRPr="007D180D" w:rsidRDefault="00AB4ED7" w:rsidP="00AB4ED7">
      <w:pPr>
        <w:keepNext/>
        <w:keepLines/>
        <w:ind w:left="426"/>
        <w:rPr>
          <w:szCs w:val="22"/>
          <w:lang w:val="sk-SK"/>
        </w:rPr>
      </w:pPr>
    </w:p>
    <w:p w:rsidR="00AB4ED7" w:rsidRPr="007D180D" w:rsidRDefault="00D56571" w:rsidP="00AB4ED7">
      <w:pPr>
        <w:keepNext/>
        <w:keepLines/>
        <w:ind w:left="426"/>
        <w:rPr>
          <w:szCs w:val="22"/>
          <w:lang w:val="sk-SK"/>
        </w:rPr>
      </w:pPr>
      <w:r>
        <w:rPr>
          <w:szCs w:val="22"/>
          <w:lang w:val="sk-SK"/>
        </w:rPr>
        <w:t xml:space="preserve">Keďže </w:t>
      </w:r>
      <w:proofErr w:type="spellStart"/>
      <w:r>
        <w:rPr>
          <w:szCs w:val="22"/>
          <w:lang w:val="sk-SK"/>
        </w:rPr>
        <w:t>metotrexát</w:t>
      </w:r>
      <w:proofErr w:type="spellEnd"/>
      <w:r>
        <w:rPr>
          <w:szCs w:val="22"/>
          <w:lang w:val="sk-SK"/>
        </w:rPr>
        <w:t xml:space="preserve"> sa vylučuje najmä obličkami, očakávajú sa zvýšené koncentrácie v sére v prípade poruchy obličiek, ktoré môžu viesť k závažným nežiaducim účinkom. </w:t>
      </w:r>
    </w:p>
    <w:p w:rsidR="00AB4ED7" w:rsidRPr="007D180D" w:rsidRDefault="00AB4ED7" w:rsidP="00AB4ED7">
      <w:pPr>
        <w:keepNext/>
        <w:keepLines/>
        <w:ind w:left="426"/>
        <w:rPr>
          <w:szCs w:val="22"/>
          <w:lang w:val="sk-SK"/>
        </w:rPr>
      </w:pPr>
    </w:p>
    <w:p w:rsidR="00784A7D" w:rsidRPr="007D180D" w:rsidRDefault="00D56571" w:rsidP="0072168C">
      <w:pPr>
        <w:pStyle w:val="Zarkazkladnhotextu2"/>
        <w:rPr>
          <w:szCs w:val="22"/>
          <w:lang w:val="sk-SK"/>
        </w:rPr>
      </w:pPr>
      <w:r>
        <w:rPr>
          <w:szCs w:val="22"/>
          <w:lang w:val="sk-SK"/>
        </w:rPr>
        <w:t xml:space="preserve">Kde môžu byť obličkové funkcie porušené (napr. u starších pacientov), monitorovanie sa má uskutočniť častejšie. Toto platí hlavne vtedy, keď sú lieky pôsobiace na vylučovanie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 podávané súčasne a spôsobujú poškodenie obličiek (napr. </w:t>
      </w:r>
      <w:proofErr w:type="spellStart"/>
      <w:r>
        <w:rPr>
          <w:szCs w:val="22"/>
          <w:lang w:val="sk-SK"/>
        </w:rPr>
        <w:t>nesteroidné</w:t>
      </w:r>
      <w:proofErr w:type="spellEnd"/>
      <w:r>
        <w:rPr>
          <w:szCs w:val="22"/>
          <w:lang w:val="sk-SK"/>
        </w:rPr>
        <w:t xml:space="preserve"> protizápalové lieky) alebo môžu potenciálne viesť k poškodeniu tvorby krvi. Dehydratácia môže tiež zvýšiť intenzitu toxicity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. </w:t>
      </w:r>
    </w:p>
    <w:p w:rsidR="00784A7D" w:rsidRPr="007D180D" w:rsidRDefault="00784A7D" w:rsidP="0072168C">
      <w:pPr>
        <w:ind w:left="426"/>
        <w:rPr>
          <w:szCs w:val="22"/>
          <w:lang w:val="sk-SK"/>
        </w:rPr>
      </w:pPr>
    </w:p>
    <w:p w:rsidR="00AB4ED7" w:rsidRPr="007D180D" w:rsidRDefault="00D56571" w:rsidP="00C633DC">
      <w:pPr>
        <w:numPr>
          <w:ilvl w:val="0"/>
          <w:numId w:val="22"/>
        </w:numPr>
        <w:rPr>
          <w:szCs w:val="22"/>
          <w:lang w:val="sk-SK"/>
        </w:rPr>
      </w:pPr>
      <w:r>
        <w:rPr>
          <w:szCs w:val="22"/>
          <w:lang w:val="sk-SK"/>
        </w:rPr>
        <w:t xml:space="preserve">Vyšetrenie respiračného systému: Bdelé pozorovanie príznakov poškodenia funkcie pľúc a ak je to nevyhnutné, test pľúcnych funkcií. </w:t>
      </w:r>
      <w:proofErr w:type="spellStart"/>
      <w:r>
        <w:rPr>
          <w:szCs w:val="22"/>
          <w:lang w:val="sk-SK"/>
        </w:rPr>
        <w:t>Pulmonálne</w:t>
      </w:r>
      <w:proofErr w:type="spellEnd"/>
      <w:r>
        <w:rPr>
          <w:szCs w:val="22"/>
          <w:lang w:val="sk-SK"/>
        </w:rPr>
        <w:t xml:space="preserve"> postihnutie si vyžaduje rýchlu diagnózu a vysadenie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. </w:t>
      </w:r>
      <w:proofErr w:type="spellStart"/>
      <w:r>
        <w:rPr>
          <w:szCs w:val="22"/>
          <w:lang w:val="sk-SK"/>
        </w:rPr>
        <w:t>Pulmonálne</w:t>
      </w:r>
      <w:proofErr w:type="spellEnd"/>
      <w:r>
        <w:rPr>
          <w:szCs w:val="22"/>
          <w:lang w:val="sk-SK"/>
        </w:rPr>
        <w:t xml:space="preserve"> príznaky (najmä suchý, neproduktívny kašeľ) alebo nešpecifická </w:t>
      </w:r>
      <w:proofErr w:type="spellStart"/>
      <w:r>
        <w:rPr>
          <w:szCs w:val="22"/>
          <w:lang w:val="sk-SK"/>
        </w:rPr>
        <w:t>pneumotitída</w:t>
      </w:r>
      <w:proofErr w:type="spellEnd"/>
      <w:r>
        <w:rPr>
          <w:szCs w:val="22"/>
          <w:lang w:val="sk-SK"/>
        </w:rPr>
        <w:t xml:space="preserve">, ktoré sa objavujú počas liečby </w:t>
      </w:r>
      <w:proofErr w:type="spellStart"/>
      <w:r>
        <w:rPr>
          <w:szCs w:val="22"/>
          <w:lang w:val="sk-SK"/>
        </w:rPr>
        <w:t>metotrexátom</w:t>
      </w:r>
      <w:proofErr w:type="spellEnd"/>
      <w:r>
        <w:rPr>
          <w:szCs w:val="22"/>
          <w:lang w:val="sk-SK"/>
        </w:rPr>
        <w:t xml:space="preserve">, môžu byť indikátorom potenciálne nebezpečnej lézie a vyžadujú si prerušenie liečby a opatrné vyšetrovanie. Vyskytnúť sa môže akútna alebo chronická </w:t>
      </w:r>
      <w:proofErr w:type="spellStart"/>
      <w:r>
        <w:rPr>
          <w:szCs w:val="22"/>
          <w:lang w:val="sk-SK"/>
        </w:rPr>
        <w:t>intersticiálna</w:t>
      </w:r>
      <w:proofErr w:type="spellEnd"/>
      <w:r>
        <w:rPr>
          <w:szCs w:val="22"/>
          <w:lang w:val="sk-SK"/>
        </w:rPr>
        <w:t xml:space="preserve"> </w:t>
      </w:r>
      <w:proofErr w:type="spellStart"/>
      <w:r>
        <w:rPr>
          <w:szCs w:val="22"/>
          <w:lang w:val="sk-SK"/>
        </w:rPr>
        <w:t>pneumotitída</w:t>
      </w:r>
      <w:proofErr w:type="spellEnd"/>
      <w:r>
        <w:rPr>
          <w:szCs w:val="22"/>
          <w:lang w:val="sk-SK"/>
        </w:rPr>
        <w:t xml:space="preserve">, často spojená s krvnou </w:t>
      </w:r>
      <w:proofErr w:type="spellStart"/>
      <w:r>
        <w:rPr>
          <w:szCs w:val="22"/>
          <w:lang w:val="sk-SK"/>
        </w:rPr>
        <w:t>eozinofíliou</w:t>
      </w:r>
      <w:proofErr w:type="spellEnd"/>
      <w:r>
        <w:rPr>
          <w:szCs w:val="22"/>
          <w:lang w:val="sk-SK"/>
        </w:rPr>
        <w:t xml:space="preserve">, </w:t>
      </w:r>
      <w:r>
        <w:rPr>
          <w:szCs w:val="22"/>
          <w:lang w:val="sk-SK"/>
        </w:rPr>
        <w:lastRenderedPageBreak/>
        <w:t xml:space="preserve">a hlásené boli úmrtia. Hoci je to klinicky variabilné, u typického pacienta sa ochorenie pľúc indukované </w:t>
      </w:r>
      <w:proofErr w:type="spellStart"/>
      <w:r>
        <w:rPr>
          <w:szCs w:val="22"/>
          <w:lang w:val="sk-SK"/>
        </w:rPr>
        <w:t>metotrexátom</w:t>
      </w:r>
      <w:proofErr w:type="spellEnd"/>
      <w:r>
        <w:rPr>
          <w:szCs w:val="22"/>
          <w:lang w:val="sk-SK"/>
        </w:rPr>
        <w:t xml:space="preserve"> prejavuje horúčkou, kašľom, </w:t>
      </w:r>
      <w:proofErr w:type="spellStart"/>
      <w:r>
        <w:rPr>
          <w:szCs w:val="22"/>
          <w:lang w:val="sk-SK"/>
        </w:rPr>
        <w:t>dyspnoe</w:t>
      </w:r>
      <w:proofErr w:type="spellEnd"/>
      <w:r>
        <w:rPr>
          <w:szCs w:val="22"/>
          <w:lang w:val="sk-SK"/>
        </w:rPr>
        <w:t xml:space="preserve">, </w:t>
      </w:r>
      <w:proofErr w:type="spellStart"/>
      <w:r>
        <w:rPr>
          <w:szCs w:val="22"/>
          <w:lang w:val="sk-SK"/>
        </w:rPr>
        <w:t>hypoxémiou</w:t>
      </w:r>
      <w:proofErr w:type="spellEnd"/>
      <w:r>
        <w:rPr>
          <w:szCs w:val="22"/>
          <w:lang w:val="sk-SK"/>
        </w:rPr>
        <w:t xml:space="preserve"> a </w:t>
      </w:r>
      <w:proofErr w:type="spellStart"/>
      <w:r>
        <w:rPr>
          <w:szCs w:val="22"/>
          <w:lang w:val="sk-SK"/>
        </w:rPr>
        <w:t>infiltrátom</w:t>
      </w:r>
      <w:proofErr w:type="spellEnd"/>
      <w:r>
        <w:rPr>
          <w:szCs w:val="22"/>
          <w:lang w:val="sk-SK"/>
        </w:rPr>
        <w:t xml:space="preserve"> na</w:t>
      </w:r>
    </w:p>
    <w:p w:rsidR="00784A7D" w:rsidRPr="007D180D" w:rsidRDefault="00D56571" w:rsidP="00C633DC">
      <w:pPr>
        <w:ind w:left="425"/>
        <w:rPr>
          <w:szCs w:val="22"/>
          <w:lang w:val="sk-SK"/>
        </w:rPr>
      </w:pPr>
      <w:r>
        <w:rPr>
          <w:szCs w:val="22"/>
          <w:lang w:val="sk-SK"/>
        </w:rPr>
        <w:t xml:space="preserve">RTG hrudníka, infekciu je potrebné vylúčiť. </w:t>
      </w:r>
      <w:proofErr w:type="spellStart"/>
      <w:r>
        <w:rPr>
          <w:szCs w:val="22"/>
          <w:lang w:val="sk-SK"/>
        </w:rPr>
        <w:t>Pulmonálne</w:t>
      </w:r>
      <w:proofErr w:type="spellEnd"/>
      <w:r>
        <w:rPr>
          <w:szCs w:val="22"/>
          <w:lang w:val="sk-SK"/>
        </w:rPr>
        <w:t xml:space="preserve"> postihnutie si vyžaduje rýchlu diagnózu a ukončenie liečby </w:t>
      </w:r>
      <w:proofErr w:type="spellStart"/>
      <w:r>
        <w:rPr>
          <w:szCs w:val="22"/>
          <w:lang w:val="sk-SK"/>
        </w:rPr>
        <w:t>metotrexátom</w:t>
      </w:r>
      <w:proofErr w:type="spellEnd"/>
      <w:r>
        <w:rPr>
          <w:szCs w:val="22"/>
          <w:lang w:val="sk-SK"/>
        </w:rPr>
        <w:t xml:space="preserve">. Takáto lézia sa môže objaviť u všetkých dávkovaní. 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keepNext/>
        <w:keepLines/>
        <w:numPr>
          <w:ilvl w:val="0"/>
          <w:numId w:val="22"/>
        </w:numPr>
        <w:rPr>
          <w:szCs w:val="22"/>
          <w:lang w:val="sk-SK"/>
        </w:rPr>
      </w:pPr>
      <w:proofErr w:type="spellStart"/>
      <w:r>
        <w:rPr>
          <w:szCs w:val="22"/>
          <w:lang w:val="sk-SK"/>
        </w:rPr>
        <w:t>Metotrexát</w:t>
      </w:r>
      <w:proofErr w:type="spellEnd"/>
      <w:r>
        <w:rPr>
          <w:szCs w:val="22"/>
          <w:lang w:val="sk-SK"/>
        </w:rPr>
        <w:t xml:space="preserve"> môže, kvôli jeho účinku na imunitný systém, zhoršiť odpoveď na výsledky vakcinácie a ovplyvniť výsledky imunologických testov. Osobitná pozornosť je tiež potrebná, ak sú prítomné </w:t>
      </w:r>
      <w:proofErr w:type="spellStart"/>
      <w:r>
        <w:rPr>
          <w:szCs w:val="22"/>
          <w:lang w:val="sk-SK"/>
        </w:rPr>
        <w:t>inaktívne</w:t>
      </w:r>
      <w:proofErr w:type="spellEnd"/>
      <w:r>
        <w:rPr>
          <w:szCs w:val="22"/>
          <w:lang w:val="sk-SK"/>
        </w:rPr>
        <w:t xml:space="preserve">, chronické infekcie (napr. herpes </w:t>
      </w:r>
      <w:proofErr w:type="spellStart"/>
      <w:r>
        <w:rPr>
          <w:szCs w:val="22"/>
          <w:lang w:val="sk-SK"/>
        </w:rPr>
        <w:t>zoster</w:t>
      </w:r>
      <w:proofErr w:type="spellEnd"/>
      <w:r>
        <w:rPr>
          <w:szCs w:val="22"/>
          <w:lang w:val="sk-SK"/>
        </w:rPr>
        <w:t xml:space="preserve">, tuberkulóza, hepatitída B alebo C) z dôvodu možnej aktivácie. Očkovanie živými vakcínami sa nesmie vykonávať pri liečbe </w:t>
      </w:r>
      <w:proofErr w:type="spellStart"/>
      <w:r>
        <w:rPr>
          <w:szCs w:val="22"/>
          <w:lang w:val="sk-SK"/>
        </w:rPr>
        <w:t>metotrexátom</w:t>
      </w:r>
      <w:proofErr w:type="spellEnd"/>
      <w:r>
        <w:rPr>
          <w:szCs w:val="22"/>
          <w:lang w:val="sk-SK"/>
        </w:rPr>
        <w:t xml:space="preserve">. 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U pacientov liečených nízkou dávkou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 sa môžu vyskytnúť malígne </w:t>
      </w:r>
      <w:proofErr w:type="spellStart"/>
      <w:r>
        <w:rPr>
          <w:szCs w:val="22"/>
          <w:lang w:val="sk-SK"/>
        </w:rPr>
        <w:t>lymfómy</w:t>
      </w:r>
      <w:proofErr w:type="spellEnd"/>
      <w:r>
        <w:rPr>
          <w:szCs w:val="22"/>
          <w:lang w:val="sk-SK"/>
        </w:rPr>
        <w:t xml:space="preserve">, a vtedy musí byť terapia prerušená. Zlyhanie prejavov znakov spontánnej regresie </w:t>
      </w:r>
      <w:proofErr w:type="spellStart"/>
      <w:r>
        <w:rPr>
          <w:szCs w:val="22"/>
          <w:lang w:val="sk-SK"/>
        </w:rPr>
        <w:t>lymfómu</w:t>
      </w:r>
      <w:proofErr w:type="spellEnd"/>
      <w:r>
        <w:rPr>
          <w:szCs w:val="22"/>
          <w:lang w:val="sk-SK"/>
        </w:rPr>
        <w:t xml:space="preserve"> si vyžaduje iniciáciu </w:t>
      </w:r>
      <w:proofErr w:type="spellStart"/>
      <w:r>
        <w:rPr>
          <w:szCs w:val="22"/>
          <w:lang w:val="sk-SK"/>
        </w:rPr>
        <w:t>cytotoxickej</w:t>
      </w:r>
      <w:proofErr w:type="spellEnd"/>
      <w:r>
        <w:rPr>
          <w:szCs w:val="22"/>
          <w:lang w:val="sk-SK"/>
        </w:rPr>
        <w:t xml:space="preserve"> liečby.</w:t>
      </w:r>
    </w:p>
    <w:p w:rsidR="003678D9" w:rsidRPr="007D180D" w:rsidRDefault="003678D9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Bolo hlásené, že súčasné podávanie antagonistov </w:t>
      </w:r>
      <w:proofErr w:type="spellStart"/>
      <w:r>
        <w:rPr>
          <w:szCs w:val="22"/>
          <w:lang w:val="sk-SK"/>
        </w:rPr>
        <w:t>folátu</w:t>
      </w:r>
      <w:proofErr w:type="spellEnd"/>
      <w:r>
        <w:rPr>
          <w:szCs w:val="22"/>
          <w:lang w:val="sk-SK"/>
        </w:rPr>
        <w:t xml:space="preserve"> ako je </w:t>
      </w:r>
      <w:proofErr w:type="spellStart"/>
      <w:r>
        <w:rPr>
          <w:szCs w:val="22"/>
          <w:lang w:val="sk-SK"/>
        </w:rPr>
        <w:t>trimetoprim</w:t>
      </w:r>
      <w:proofErr w:type="spellEnd"/>
      <w:r>
        <w:rPr>
          <w:szCs w:val="22"/>
          <w:lang w:val="sk-SK"/>
        </w:rPr>
        <w:t>/</w:t>
      </w:r>
      <w:proofErr w:type="spellStart"/>
      <w:r>
        <w:rPr>
          <w:szCs w:val="22"/>
          <w:lang w:val="sk-SK"/>
        </w:rPr>
        <w:t>sulfametoxazol</w:t>
      </w:r>
      <w:proofErr w:type="spellEnd"/>
      <w:r>
        <w:rPr>
          <w:szCs w:val="22"/>
          <w:lang w:val="sk-SK"/>
        </w:rPr>
        <w:t xml:space="preserve"> spôsobuje v zriedkavých prípadoch akútnu </w:t>
      </w:r>
      <w:proofErr w:type="spellStart"/>
      <w:r>
        <w:rPr>
          <w:szCs w:val="22"/>
          <w:lang w:val="sk-SK"/>
        </w:rPr>
        <w:t>megaloblastickú</w:t>
      </w:r>
      <w:proofErr w:type="spellEnd"/>
      <w:r>
        <w:rPr>
          <w:szCs w:val="22"/>
          <w:lang w:val="sk-SK"/>
        </w:rPr>
        <w:t xml:space="preserve"> </w:t>
      </w:r>
      <w:proofErr w:type="spellStart"/>
      <w:r>
        <w:rPr>
          <w:szCs w:val="22"/>
          <w:lang w:val="sk-SK"/>
        </w:rPr>
        <w:t>pancytopéniu</w:t>
      </w:r>
      <w:proofErr w:type="spellEnd"/>
      <w:r>
        <w:rPr>
          <w:szCs w:val="22"/>
          <w:lang w:val="sk-SK"/>
        </w:rPr>
        <w:t>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autoSpaceDE w:val="0"/>
        <w:autoSpaceDN w:val="0"/>
        <w:adjustRightInd w:val="0"/>
        <w:rPr>
          <w:szCs w:val="22"/>
          <w:lang w:val="sk-SK"/>
        </w:rPr>
      </w:pPr>
      <w:r>
        <w:rPr>
          <w:szCs w:val="22"/>
          <w:lang w:val="sk-SK"/>
        </w:rPr>
        <w:t xml:space="preserve">Pri liečbe </w:t>
      </w:r>
      <w:proofErr w:type="spellStart"/>
      <w:r>
        <w:rPr>
          <w:szCs w:val="22"/>
          <w:lang w:val="sk-SK"/>
        </w:rPr>
        <w:t>metotrexátom</w:t>
      </w:r>
      <w:proofErr w:type="spellEnd"/>
      <w:r>
        <w:rPr>
          <w:szCs w:val="22"/>
          <w:lang w:val="sk-SK"/>
        </w:rPr>
        <w:t xml:space="preserve"> sa môže znovu objaviť dermatitída indukovaná radiáciou a spálenie slnkom (tzv. “</w:t>
      </w:r>
      <w:proofErr w:type="spellStart"/>
      <w:r>
        <w:rPr>
          <w:szCs w:val="22"/>
          <w:lang w:val="sk-SK"/>
        </w:rPr>
        <w:t>recall</w:t>
      </w:r>
      <w:proofErr w:type="spellEnd"/>
      <w:r>
        <w:rPr>
          <w:szCs w:val="22"/>
          <w:lang w:val="sk-SK"/>
        </w:rPr>
        <w:t xml:space="preserve">” reakcia). </w:t>
      </w:r>
      <w:proofErr w:type="spellStart"/>
      <w:r>
        <w:rPr>
          <w:szCs w:val="22"/>
          <w:lang w:val="sk-SK"/>
        </w:rPr>
        <w:t>Psoriatické</w:t>
      </w:r>
      <w:proofErr w:type="spellEnd"/>
      <w:r>
        <w:rPr>
          <w:szCs w:val="22"/>
          <w:lang w:val="sk-SK"/>
        </w:rPr>
        <w:t xml:space="preserve"> lézie sa môžu zhoršiť počas žiarenia UV lúčmi a simultánneho podávania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>.</w:t>
      </w:r>
    </w:p>
    <w:p w:rsidR="00784A7D" w:rsidRPr="007D180D" w:rsidRDefault="00784A7D" w:rsidP="0072168C">
      <w:pPr>
        <w:autoSpaceDE w:val="0"/>
        <w:autoSpaceDN w:val="0"/>
        <w:adjustRightInd w:val="0"/>
        <w:rPr>
          <w:szCs w:val="22"/>
          <w:lang w:val="sk-SK"/>
        </w:rPr>
      </w:pPr>
    </w:p>
    <w:p w:rsidR="00784A7D" w:rsidRPr="007D180D" w:rsidRDefault="00D56571" w:rsidP="0072168C">
      <w:pPr>
        <w:autoSpaceDE w:val="0"/>
        <w:autoSpaceDN w:val="0"/>
        <w:adjustRightInd w:val="0"/>
        <w:rPr>
          <w:szCs w:val="22"/>
          <w:lang w:val="sk-SK"/>
        </w:rPr>
      </w:pPr>
      <w:r>
        <w:rPr>
          <w:szCs w:val="22"/>
          <w:lang w:val="sk-SK"/>
        </w:rPr>
        <w:t xml:space="preserve">Vylučovanie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 je znížené u pacientov s tretím distribučným priestorom (</w:t>
      </w:r>
      <w:proofErr w:type="spellStart"/>
      <w:r>
        <w:rPr>
          <w:szCs w:val="22"/>
          <w:lang w:val="sk-SK"/>
        </w:rPr>
        <w:t>ascites</w:t>
      </w:r>
      <w:proofErr w:type="spellEnd"/>
      <w:r>
        <w:rPr>
          <w:szCs w:val="22"/>
          <w:lang w:val="sk-SK"/>
        </w:rPr>
        <w:t xml:space="preserve">, </w:t>
      </w:r>
      <w:proofErr w:type="spellStart"/>
      <w:r>
        <w:rPr>
          <w:szCs w:val="22"/>
          <w:lang w:val="sk-SK"/>
        </w:rPr>
        <w:t>pleurálne</w:t>
      </w:r>
      <w:proofErr w:type="spellEnd"/>
      <w:r>
        <w:rPr>
          <w:szCs w:val="22"/>
          <w:lang w:val="sk-SK"/>
        </w:rPr>
        <w:t xml:space="preserve"> </w:t>
      </w:r>
      <w:proofErr w:type="spellStart"/>
      <w:r>
        <w:rPr>
          <w:szCs w:val="22"/>
          <w:lang w:val="sk-SK"/>
        </w:rPr>
        <w:t>efúzie</w:t>
      </w:r>
      <w:proofErr w:type="spellEnd"/>
      <w:r>
        <w:rPr>
          <w:szCs w:val="22"/>
          <w:lang w:val="sk-SK"/>
        </w:rPr>
        <w:t xml:space="preserve">). Takíto pacienti si vyžadujú predovšetkým obozretné monitorovanie toxicity a vyžadujú si zníženie dávky alebo v niektorých prípadoch ukončenie podávania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. </w:t>
      </w:r>
      <w:proofErr w:type="spellStart"/>
      <w:r>
        <w:rPr>
          <w:szCs w:val="22"/>
          <w:lang w:val="sk-SK"/>
        </w:rPr>
        <w:t>Pleurálne</w:t>
      </w:r>
      <w:proofErr w:type="spellEnd"/>
      <w:r>
        <w:rPr>
          <w:szCs w:val="22"/>
          <w:lang w:val="sk-SK"/>
        </w:rPr>
        <w:t xml:space="preserve"> </w:t>
      </w:r>
      <w:proofErr w:type="spellStart"/>
      <w:r>
        <w:rPr>
          <w:szCs w:val="22"/>
          <w:lang w:val="sk-SK"/>
        </w:rPr>
        <w:t>efúzie</w:t>
      </w:r>
      <w:proofErr w:type="spellEnd"/>
      <w:r>
        <w:rPr>
          <w:szCs w:val="22"/>
          <w:lang w:val="sk-SK"/>
        </w:rPr>
        <w:t xml:space="preserve"> a </w:t>
      </w:r>
      <w:proofErr w:type="spellStart"/>
      <w:r>
        <w:rPr>
          <w:szCs w:val="22"/>
          <w:lang w:val="sk-SK"/>
        </w:rPr>
        <w:t>ascites</w:t>
      </w:r>
      <w:proofErr w:type="spellEnd"/>
      <w:r>
        <w:rPr>
          <w:szCs w:val="22"/>
          <w:lang w:val="sk-SK"/>
        </w:rPr>
        <w:t xml:space="preserve"> sa majú drenážou odviesť pred začatím liečby </w:t>
      </w:r>
      <w:proofErr w:type="spellStart"/>
      <w:r>
        <w:rPr>
          <w:szCs w:val="22"/>
          <w:lang w:val="sk-SK"/>
        </w:rPr>
        <w:t>metotrexátom</w:t>
      </w:r>
      <w:proofErr w:type="spellEnd"/>
      <w:r>
        <w:rPr>
          <w:szCs w:val="22"/>
          <w:lang w:val="sk-SK"/>
        </w:rPr>
        <w:t xml:space="preserve"> (pozri časť 5.2).</w:t>
      </w:r>
    </w:p>
    <w:p w:rsidR="00784A7D" w:rsidRPr="007D180D" w:rsidRDefault="00784A7D" w:rsidP="0072168C">
      <w:pPr>
        <w:autoSpaceDE w:val="0"/>
        <w:autoSpaceDN w:val="0"/>
        <w:adjustRightInd w:val="0"/>
        <w:rPr>
          <w:szCs w:val="22"/>
          <w:lang w:val="sk-SK" w:eastAsia="de-DE"/>
        </w:rPr>
      </w:pPr>
    </w:p>
    <w:p w:rsidR="00784A7D" w:rsidRPr="007D180D" w:rsidRDefault="00D56571" w:rsidP="0072168C">
      <w:pPr>
        <w:autoSpaceDE w:val="0"/>
        <w:autoSpaceDN w:val="0"/>
        <w:adjustRightInd w:val="0"/>
        <w:rPr>
          <w:szCs w:val="22"/>
          <w:lang w:val="sk-SK" w:eastAsia="de-DE"/>
        </w:rPr>
      </w:pPr>
      <w:r>
        <w:rPr>
          <w:szCs w:val="22"/>
          <w:lang w:val="sk-SK" w:eastAsia="de-DE"/>
        </w:rPr>
        <w:t xml:space="preserve">Toxickými účinkami môžu byť hnačka a </w:t>
      </w:r>
      <w:proofErr w:type="spellStart"/>
      <w:r>
        <w:rPr>
          <w:szCs w:val="22"/>
          <w:lang w:val="sk-SK" w:eastAsia="de-DE"/>
        </w:rPr>
        <w:t>ulceratívna</w:t>
      </w:r>
      <w:proofErr w:type="spellEnd"/>
      <w:r>
        <w:rPr>
          <w:szCs w:val="22"/>
          <w:lang w:val="sk-SK" w:eastAsia="de-DE"/>
        </w:rPr>
        <w:t xml:space="preserve"> </w:t>
      </w:r>
      <w:proofErr w:type="spellStart"/>
      <w:r>
        <w:rPr>
          <w:szCs w:val="22"/>
          <w:lang w:val="sk-SK" w:eastAsia="de-DE"/>
        </w:rPr>
        <w:t>stomatitída</w:t>
      </w:r>
      <w:proofErr w:type="spellEnd"/>
      <w:r>
        <w:rPr>
          <w:szCs w:val="22"/>
          <w:lang w:val="sk-SK" w:eastAsia="de-DE"/>
        </w:rPr>
        <w:t xml:space="preserve"> a vyžadujú si prerušenie liečby, inak sa môže objaviť </w:t>
      </w:r>
      <w:proofErr w:type="spellStart"/>
      <w:r>
        <w:rPr>
          <w:szCs w:val="22"/>
          <w:lang w:val="sk-SK" w:eastAsia="de-DE"/>
        </w:rPr>
        <w:t>hemoragická</w:t>
      </w:r>
      <w:proofErr w:type="spellEnd"/>
      <w:r>
        <w:rPr>
          <w:szCs w:val="22"/>
          <w:lang w:val="sk-SK" w:eastAsia="de-DE"/>
        </w:rPr>
        <w:t xml:space="preserve"> </w:t>
      </w:r>
      <w:proofErr w:type="spellStart"/>
      <w:r>
        <w:rPr>
          <w:szCs w:val="22"/>
          <w:lang w:val="sk-SK" w:eastAsia="de-DE"/>
        </w:rPr>
        <w:t>enteritída</w:t>
      </w:r>
      <w:proofErr w:type="spellEnd"/>
      <w:r>
        <w:rPr>
          <w:szCs w:val="22"/>
          <w:lang w:val="sk-SK" w:eastAsia="de-DE"/>
        </w:rPr>
        <w:t xml:space="preserve"> a úmrtie z dôvodu perforácie čreva.</w:t>
      </w:r>
    </w:p>
    <w:p w:rsidR="00784A7D" w:rsidRPr="007D180D" w:rsidRDefault="00784A7D" w:rsidP="0072168C">
      <w:pPr>
        <w:autoSpaceDE w:val="0"/>
        <w:autoSpaceDN w:val="0"/>
        <w:adjustRightInd w:val="0"/>
        <w:rPr>
          <w:szCs w:val="22"/>
          <w:lang w:val="sk-SK" w:eastAsia="de-DE"/>
        </w:rPr>
      </w:pPr>
    </w:p>
    <w:p w:rsidR="00784A7D" w:rsidRPr="007D180D" w:rsidRDefault="00D56571" w:rsidP="0072168C">
      <w:pPr>
        <w:autoSpaceDE w:val="0"/>
        <w:autoSpaceDN w:val="0"/>
        <w:adjustRightInd w:val="0"/>
        <w:rPr>
          <w:szCs w:val="22"/>
          <w:lang w:val="sk-SK" w:eastAsia="de-DE"/>
        </w:rPr>
      </w:pPr>
      <w:r>
        <w:rPr>
          <w:szCs w:val="22"/>
          <w:lang w:val="sk-SK" w:eastAsia="de-DE"/>
        </w:rPr>
        <w:t xml:space="preserve">Vitamínové preparáty a iné produkty obsahujúce kyselinu listovú, kyselinu </w:t>
      </w:r>
      <w:proofErr w:type="spellStart"/>
      <w:r>
        <w:rPr>
          <w:szCs w:val="22"/>
          <w:lang w:val="sk-SK" w:eastAsia="de-DE"/>
        </w:rPr>
        <w:t>folínovú</w:t>
      </w:r>
      <w:proofErr w:type="spellEnd"/>
      <w:r>
        <w:rPr>
          <w:szCs w:val="22"/>
          <w:lang w:val="sk-SK" w:eastAsia="de-DE"/>
        </w:rPr>
        <w:t xml:space="preserve"> alebo ich deriváty môžu znížiť účinnosť </w:t>
      </w:r>
      <w:proofErr w:type="spellStart"/>
      <w:r>
        <w:rPr>
          <w:szCs w:val="22"/>
          <w:lang w:val="sk-SK" w:eastAsia="de-DE"/>
        </w:rPr>
        <w:t>metotrexátu</w:t>
      </w:r>
      <w:proofErr w:type="spellEnd"/>
      <w:r>
        <w:rPr>
          <w:szCs w:val="22"/>
          <w:lang w:val="sk-SK" w:eastAsia="de-DE"/>
        </w:rPr>
        <w:t>.</w:t>
      </w:r>
    </w:p>
    <w:p w:rsidR="00784A7D" w:rsidRPr="007D180D" w:rsidRDefault="00784A7D" w:rsidP="0072168C">
      <w:pPr>
        <w:autoSpaceDE w:val="0"/>
        <w:autoSpaceDN w:val="0"/>
        <w:adjustRightInd w:val="0"/>
        <w:rPr>
          <w:b/>
          <w:szCs w:val="22"/>
          <w:lang w:val="sk-SK"/>
        </w:rPr>
      </w:pPr>
    </w:p>
    <w:p w:rsidR="00784A7D" w:rsidRPr="007D180D" w:rsidRDefault="00D56571" w:rsidP="0072168C">
      <w:pPr>
        <w:autoSpaceDE w:val="0"/>
        <w:autoSpaceDN w:val="0"/>
        <w:adjustRightInd w:val="0"/>
        <w:rPr>
          <w:szCs w:val="22"/>
          <w:lang w:val="sk-SK"/>
        </w:rPr>
      </w:pPr>
      <w:r>
        <w:rPr>
          <w:szCs w:val="22"/>
          <w:lang w:val="sk-SK"/>
        </w:rPr>
        <w:t xml:space="preserve">Pri liečbe psoriázy má byť podávanie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 obmedzené len na liečbu ťažkej nezvládnuteľnej </w:t>
      </w:r>
      <w:proofErr w:type="spellStart"/>
      <w:r>
        <w:rPr>
          <w:szCs w:val="22"/>
          <w:lang w:val="sk-SK"/>
        </w:rPr>
        <w:t>invalidizujúcej</w:t>
      </w:r>
      <w:proofErr w:type="spellEnd"/>
      <w:r>
        <w:rPr>
          <w:szCs w:val="22"/>
          <w:lang w:val="sk-SK"/>
        </w:rPr>
        <w:t xml:space="preserve"> psoriázy, ktorá neodpovedá adekvátne na iné formy liečby, ale len keď je diagnóza určená </w:t>
      </w:r>
      <w:proofErr w:type="spellStart"/>
      <w:r>
        <w:rPr>
          <w:szCs w:val="22"/>
          <w:lang w:val="sk-SK"/>
        </w:rPr>
        <w:t>biopsiou</w:t>
      </w:r>
      <w:proofErr w:type="spellEnd"/>
      <w:r>
        <w:rPr>
          <w:szCs w:val="22"/>
          <w:lang w:val="sk-SK"/>
        </w:rPr>
        <w:t xml:space="preserve"> a/alebo po dermatologickej konzultácii.</w:t>
      </w:r>
    </w:p>
    <w:p w:rsidR="0080613C" w:rsidRPr="007D180D" w:rsidRDefault="0080613C" w:rsidP="0072168C">
      <w:pPr>
        <w:autoSpaceDE w:val="0"/>
        <w:autoSpaceDN w:val="0"/>
        <w:adjustRightInd w:val="0"/>
        <w:rPr>
          <w:szCs w:val="22"/>
          <w:lang w:val="sk-SK"/>
        </w:rPr>
      </w:pPr>
    </w:p>
    <w:p w:rsidR="0080613C" w:rsidRPr="007D180D" w:rsidRDefault="00D56571" w:rsidP="0080613C">
      <w:pPr>
        <w:autoSpaceDE w:val="0"/>
        <w:autoSpaceDN w:val="0"/>
        <w:adjustRightInd w:val="0"/>
        <w:rPr>
          <w:szCs w:val="22"/>
          <w:lang w:val="sk-SK"/>
        </w:rPr>
      </w:pPr>
      <w:r>
        <w:rPr>
          <w:szCs w:val="22"/>
          <w:lang w:val="sk-SK"/>
        </w:rPr>
        <w:t xml:space="preserve">U onkologických pacientov dostávajúcich terapiu </w:t>
      </w:r>
      <w:proofErr w:type="spellStart"/>
      <w:r>
        <w:rPr>
          <w:szCs w:val="22"/>
          <w:lang w:val="sk-SK"/>
        </w:rPr>
        <w:t>metotrexátom</w:t>
      </w:r>
      <w:proofErr w:type="spellEnd"/>
      <w:r>
        <w:rPr>
          <w:szCs w:val="22"/>
          <w:lang w:val="sk-SK"/>
        </w:rPr>
        <w:t xml:space="preserve"> bola hlásená </w:t>
      </w:r>
      <w:proofErr w:type="spellStart"/>
      <w:r>
        <w:rPr>
          <w:szCs w:val="22"/>
          <w:lang w:val="sk-SK"/>
        </w:rPr>
        <w:t>encefalopatia</w:t>
      </w:r>
      <w:proofErr w:type="spellEnd"/>
      <w:r>
        <w:rPr>
          <w:szCs w:val="22"/>
          <w:lang w:val="sk-SK"/>
        </w:rPr>
        <w:t>/</w:t>
      </w:r>
      <w:proofErr w:type="spellStart"/>
      <w:r>
        <w:rPr>
          <w:szCs w:val="22"/>
          <w:lang w:val="sk-SK"/>
        </w:rPr>
        <w:t>leukoencefalopatia</w:t>
      </w:r>
      <w:proofErr w:type="spellEnd"/>
      <w:r>
        <w:rPr>
          <w:szCs w:val="22"/>
          <w:lang w:val="sk-SK"/>
        </w:rPr>
        <w:t xml:space="preserve">, ktorá sa nedá vylúčiť v liečbe </w:t>
      </w:r>
      <w:proofErr w:type="spellStart"/>
      <w:r>
        <w:rPr>
          <w:szCs w:val="22"/>
          <w:lang w:val="sk-SK"/>
        </w:rPr>
        <w:t>metotrexátom</w:t>
      </w:r>
      <w:proofErr w:type="spellEnd"/>
      <w:r>
        <w:rPr>
          <w:szCs w:val="22"/>
          <w:lang w:val="sk-SK"/>
        </w:rPr>
        <w:t xml:space="preserve"> pri neonkologických </w:t>
      </w:r>
      <w:proofErr w:type="spellStart"/>
      <w:r>
        <w:rPr>
          <w:szCs w:val="22"/>
          <w:lang w:val="sk-SK"/>
        </w:rPr>
        <w:t>indikáciach</w:t>
      </w:r>
      <w:proofErr w:type="spellEnd"/>
      <w:r>
        <w:rPr>
          <w:szCs w:val="22"/>
          <w:lang w:val="sk-SK"/>
        </w:rPr>
        <w:t>.</w:t>
      </w:r>
    </w:p>
    <w:p w:rsidR="00784A7D" w:rsidRPr="007D180D" w:rsidRDefault="00784A7D" w:rsidP="0080613C">
      <w:pPr>
        <w:autoSpaceDE w:val="0"/>
        <w:autoSpaceDN w:val="0"/>
        <w:adjustRightInd w:val="0"/>
        <w:rPr>
          <w:szCs w:val="22"/>
          <w:lang w:val="sk-SK" w:eastAsia="de-DE"/>
        </w:rPr>
      </w:pPr>
    </w:p>
    <w:p w:rsidR="00784A7D" w:rsidRPr="007D180D" w:rsidRDefault="00D56571" w:rsidP="0072168C">
      <w:pPr>
        <w:autoSpaceDE w:val="0"/>
        <w:autoSpaceDN w:val="0"/>
        <w:adjustRightInd w:val="0"/>
        <w:rPr>
          <w:szCs w:val="22"/>
          <w:lang w:val="sk-SK" w:eastAsia="de-DE"/>
        </w:rPr>
      </w:pPr>
      <w:r>
        <w:rPr>
          <w:szCs w:val="22"/>
          <w:lang w:val="sk-SK" w:eastAsia="de-DE"/>
        </w:rPr>
        <w:t>Tento liek obsahuje menej ako 1 </w:t>
      </w:r>
      <w:proofErr w:type="spellStart"/>
      <w:r>
        <w:rPr>
          <w:szCs w:val="22"/>
          <w:lang w:val="sk-SK" w:eastAsia="de-DE"/>
        </w:rPr>
        <w:t>mmol</w:t>
      </w:r>
      <w:proofErr w:type="spellEnd"/>
      <w:r>
        <w:rPr>
          <w:szCs w:val="22"/>
          <w:lang w:val="sk-SK" w:eastAsia="de-DE"/>
        </w:rPr>
        <w:t xml:space="preserve"> sodíka (23 mg) v dávke, t.j. v podstate zanedbateľné množstvo sodíka. 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3F7BEC">
      <w:pPr>
        <w:keepNext/>
        <w:keepLines/>
        <w:rPr>
          <w:szCs w:val="22"/>
          <w:lang w:val="sk-SK"/>
        </w:rPr>
      </w:pPr>
      <w:r>
        <w:rPr>
          <w:szCs w:val="22"/>
          <w:lang w:val="sk-SK" w:eastAsia="de-DE"/>
        </w:rPr>
        <w:t xml:space="preserve">Neprítomnosť gravidity má byť potvrdená predtým, než je podávaný </w:t>
      </w:r>
      <w:proofErr w:type="spellStart"/>
      <w:r>
        <w:rPr>
          <w:szCs w:val="22"/>
          <w:lang w:val="sk-SK"/>
        </w:rPr>
        <w:t>metotrexát</w:t>
      </w:r>
      <w:proofErr w:type="spellEnd"/>
      <w:r>
        <w:rPr>
          <w:szCs w:val="22"/>
          <w:lang w:val="sk-SK"/>
        </w:rPr>
        <w:t xml:space="preserve">. </w:t>
      </w:r>
      <w:proofErr w:type="spellStart"/>
      <w:r>
        <w:rPr>
          <w:szCs w:val="22"/>
          <w:lang w:val="sk-SK"/>
        </w:rPr>
        <w:t>Metotrexát</w:t>
      </w:r>
      <w:proofErr w:type="spellEnd"/>
      <w:r>
        <w:rPr>
          <w:szCs w:val="22"/>
          <w:lang w:val="sk-SK"/>
        </w:rPr>
        <w:t xml:space="preserve"> spôsobuje u ľudí </w:t>
      </w:r>
      <w:proofErr w:type="spellStart"/>
      <w:r>
        <w:rPr>
          <w:szCs w:val="22"/>
          <w:lang w:val="sk-SK"/>
        </w:rPr>
        <w:t>embryotoxicitu</w:t>
      </w:r>
      <w:proofErr w:type="spellEnd"/>
      <w:r>
        <w:rPr>
          <w:szCs w:val="22"/>
          <w:lang w:val="sk-SK"/>
        </w:rPr>
        <w:t xml:space="preserve">, potrat a defekty plodu. </w:t>
      </w:r>
      <w:proofErr w:type="spellStart"/>
      <w:r>
        <w:rPr>
          <w:szCs w:val="22"/>
          <w:lang w:val="sk-SK"/>
        </w:rPr>
        <w:t>Metotrexát</w:t>
      </w:r>
      <w:proofErr w:type="spellEnd"/>
      <w:r>
        <w:rPr>
          <w:szCs w:val="22"/>
          <w:lang w:val="sk-SK"/>
        </w:rPr>
        <w:t xml:space="preserve"> ovplyvňuje </w:t>
      </w:r>
      <w:proofErr w:type="spellStart"/>
      <w:r>
        <w:rPr>
          <w:szCs w:val="22"/>
          <w:lang w:val="sk-SK"/>
        </w:rPr>
        <w:t>spermatogenézu</w:t>
      </w:r>
      <w:proofErr w:type="spellEnd"/>
      <w:r>
        <w:rPr>
          <w:szCs w:val="22"/>
          <w:lang w:val="sk-SK"/>
        </w:rPr>
        <w:t xml:space="preserve"> a </w:t>
      </w:r>
      <w:proofErr w:type="spellStart"/>
      <w:r>
        <w:rPr>
          <w:szCs w:val="22"/>
          <w:lang w:val="sk-SK"/>
        </w:rPr>
        <w:t>oogenézu</w:t>
      </w:r>
      <w:proofErr w:type="spellEnd"/>
      <w:r>
        <w:rPr>
          <w:szCs w:val="22"/>
          <w:lang w:val="sk-SK"/>
        </w:rPr>
        <w:t xml:space="preserve"> počas jeho podávania, čo môže vyústiť do zníženej </w:t>
      </w:r>
      <w:proofErr w:type="spellStart"/>
      <w:r>
        <w:rPr>
          <w:szCs w:val="22"/>
          <w:lang w:val="sk-SK"/>
        </w:rPr>
        <w:t>fertility</w:t>
      </w:r>
      <w:proofErr w:type="spellEnd"/>
      <w:r>
        <w:rPr>
          <w:szCs w:val="22"/>
          <w:lang w:val="sk-SK"/>
        </w:rPr>
        <w:t xml:space="preserve">. Tieto účinky sa ukazujú byť reverzibilné po ukončení liečby. Počas liečby a najmenej šesť mesiacov po jej ukončení sa má používať účinná antikoncepcia u mužov i žien. Možné riziká účinkov na reprodukciu majú byť s </w:t>
      </w:r>
      <w:proofErr w:type="spellStart"/>
      <w:r>
        <w:rPr>
          <w:szCs w:val="22"/>
          <w:lang w:val="sk-SK"/>
        </w:rPr>
        <w:t>pacientami</w:t>
      </w:r>
      <w:proofErr w:type="spellEnd"/>
      <w:r>
        <w:rPr>
          <w:szCs w:val="22"/>
          <w:lang w:val="sk-SK"/>
        </w:rPr>
        <w:t xml:space="preserve"> vo fertilnom veku prediskutované a ich partneri majú byť vhodne poučení (pozri časť 4.6).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92648F">
      <w:pPr>
        <w:pStyle w:val="Nadpis2"/>
        <w:keepLines/>
        <w:rPr>
          <w:szCs w:val="22"/>
          <w:lang w:val="sk-SK"/>
        </w:rPr>
      </w:pPr>
      <w:r>
        <w:rPr>
          <w:szCs w:val="22"/>
          <w:lang w:val="sk-SK"/>
        </w:rPr>
        <w:lastRenderedPageBreak/>
        <w:t>Liekové a iné interakcie</w:t>
      </w:r>
    </w:p>
    <w:p w:rsidR="00784A7D" w:rsidRPr="007D180D" w:rsidRDefault="00784A7D" w:rsidP="0092648F">
      <w:pPr>
        <w:keepNext/>
        <w:keepLines/>
        <w:rPr>
          <w:szCs w:val="22"/>
          <w:lang w:val="sk-SK"/>
        </w:rPr>
      </w:pPr>
    </w:p>
    <w:p w:rsidR="00784A7D" w:rsidRPr="007D180D" w:rsidRDefault="00D56571" w:rsidP="0092648F">
      <w:pPr>
        <w:pStyle w:val="Nadpis3"/>
        <w:keepLines/>
        <w:rPr>
          <w:szCs w:val="22"/>
          <w:lang w:val="sk-SK"/>
        </w:rPr>
      </w:pPr>
      <w:r>
        <w:rPr>
          <w:szCs w:val="22"/>
          <w:lang w:val="sk-SK"/>
        </w:rPr>
        <w:t xml:space="preserve">Alkohol, </w:t>
      </w:r>
      <w:proofErr w:type="spellStart"/>
      <w:r>
        <w:rPr>
          <w:szCs w:val="22"/>
          <w:lang w:val="sk-SK"/>
        </w:rPr>
        <w:t>hepatotoxické</w:t>
      </w:r>
      <w:proofErr w:type="spellEnd"/>
      <w:r>
        <w:rPr>
          <w:szCs w:val="22"/>
          <w:lang w:val="sk-SK"/>
        </w:rPr>
        <w:t xml:space="preserve"> lieky, </w:t>
      </w:r>
      <w:proofErr w:type="spellStart"/>
      <w:r>
        <w:rPr>
          <w:szCs w:val="22"/>
          <w:lang w:val="sk-SK"/>
        </w:rPr>
        <w:t>hematotoxické</w:t>
      </w:r>
      <w:proofErr w:type="spellEnd"/>
      <w:r>
        <w:rPr>
          <w:szCs w:val="22"/>
          <w:lang w:val="sk-SK"/>
        </w:rPr>
        <w:t xml:space="preserve"> lieky</w:t>
      </w:r>
    </w:p>
    <w:p w:rsidR="00784A7D" w:rsidRPr="007D180D" w:rsidRDefault="00D56571" w:rsidP="0092648F">
      <w:pPr>
        <w:keepNext/>
        <w:keepLines/>
        <w:rPr>
          <w:szCs w:val="22"/>
          <w:lang w:val="sk-SK"/>
        </w:rPr>
      </w:pPr>
      <w:r>
        <w:rPr>
          <w:szCs w:val="22"/>
          <w:lang w:val="sk-SK"/>
        </w:rPr>
        <w:t xml:space="preserve">Možnosť, že </w:t>
      </w:r>
      <w:proofErr w:type="spellStart"/>
      <w:r>
        <w:rPr>
          <w:szCs w:val="22"/>
          <w:lang w:val="sk-SK"/>
        </w:rPr>
        <w:t>metotrexát</w:t>
      </w:r>
      <w:proofErr w:type="spellEnd"/>
      <w:r>
        <w:rPr>
          <w:szCs w:val="22"/>
          <w:lang w:val="sk-SK"/>
        </w:rPr>
        <w:t xml:space="preserve"> preukáže </w:t>
      </w:r>
      <w:proofErr w:type="spellStart"/>
      <w:r>
        <w:rPr>
          <w:szCs w:val="22"/>
          <w:lang w:val="sk-SK"/>
        </w:rPr>
        <w:t>hepatotoxický</w:t>
      </w:r>
      <w:proofErr w:type="spellEnd"/>
      <w:r>
        <w:rPr>
          <w:szCs w:val="22"/>
          <w:lang w:val="sk-SK"/>
        </w:rPr>
        <w:t xml:space="preserve"> účinok, sa zvyšuje pri pravidelnej konzumácii alkoholu a keď sa v rovnakom čase používajú iné </w:t>
      </w:r>
      <w:proofErr w:type="spellStart"/>
      <w:r>
        <w:rPr>
          <w:szCs w:val="22"/>
          <w:lang w:val="sk-SK"/>
        </w:rPr>
        <w:t>hepatotoxické</w:t>
      </w:r>
      <w:proofErr w:type="spellEnd"/>
      <w:r>
        <w:rPr>
          <w:szCs w:val="22"/>
          <w:lang w:val="sk-SK"/>
        </w:rPr>
        <w:t xml:space="preserve"> lieky (pozri časť 4.4). Pacienti súbežne užívajúci iné </w:t>
      </w:r>
      <w:proofErr w:type="spellStart"/>
      <w:r>
        <w:rPr>
          <w:szCs w:val="22"/>
          <w:lang w:val="sk-SK"/>
        </w:rPr>
        <w:t>hepatotoxické</w:t>
      </w:r>
      <w:proofErr w:type="spellEnd"/>
      <w:r>
        <w:rPr>
          <w:szCs w:val="22"/>
          <w:lang w:val="sk-SK"/>
        </w:rPr>
        <w:t xml:space="preserve"> lieky (napr. </w:t>
      </w:r>
      <w:proofErr w:type="spellStart"/>
      <w:r>
        <w:rPr>
          <w:szCs w:val="22"/>
          <w:lang w:val="sk-SK"/>
        </w:rPr>
        <w:t>leflunomid</w:t>
      </w:r>
      <w:proofErr w:type="spellEnd"/>
      <w:r>
        <w:rPr>
          <w:szCs w:val="22"/>
          <w:lang w:val="sk-SK"/>
        </w:rPr>
        <w:t xml:space="preserve">) majú byť monitorovaní so špeciálnou starostlivosťou. To isté treba vziať do úvahy pri simultánnom podávaní </w:t>
      </w:r>
      <w:proofErr w:type="spellStart"/>
      <w:r>
        <w:rPr>
          <w:szCs w:val="22"/>
          <w:lang w:val="sk-SK"/>
        </w:rPr>
        <w:t>hematotoxických</w:t>
      </w:r>
      <w:proofErr w:type="spellEnd"/>
      <w:r>
        <w:rPr>
          <w:szCs w:val="22"/>
          <w:lang w:val="sk-SK"/>
        </w:rPr>
        <w:t xml:space="preserve"> liekov (napr. </w:t>
      </w:r>
      <w:proofErr w:type="spellStart"/>
      <w:r>
        <w:rPr>
          <w:szCs w:val="22"/>
          <w:lang w:val="sk-SK"/>
        </w:rPr>
        <w:t>leflunomid</w:t>
      </w:r>
      <w:proofErr w:type="spellEnd"/>
      <w:r>
        <w:rPr>
          <w:szCs w:val="22"/>
          <w:lang w:val="sk-SK"/>
        </w:rPr>
        <w:t xml:space="preserve">, </w:t>
      </w:r>
      <w:proofErr w:type="spellStart"/>
      <w:r>
        <w:rPr>
          <w:szCs w:val="22"/>
          <w:lang w:val="sk-SK"/>
        </w:rPr>
        <w:t>azatioprin</w:t>
      </w:r>
      <w:proofErr w:type="spellEnd"/>
      <w:r>
        <w:rPr>
          <w:szCs w:val="22"/>
          <w:lang w:val="sk-SK"/>
        </w:rPr>
        <w:t xml:space="preserve">, </w:t>
      </w:r>
      <w:proofErr w:type="spellStart"/>
      <w:r>
        <w:rPr>
          <w:szCs w:val="22"/>
          <w:lang w:val="sk-SK"/>
        </w:rPr>
        <w:t>retinoidy</w:t>
      </w:r>
      <w:proofErr w:type="spellEnd"/>
      <w:r>
        <w:rPr>
          <w:szCs w:val="22"/>
          <w:lang w:val="sk-SK"/>
        </w:rPr>
        <w:t xml:space="preserve">, </w:t>
      </w:r>
      <w:proofErr w:type="spellStart"/>
      <w:r>
        <w:rPr>
          <w:szCs w:val="22"/>
          <w:lang w:val="sk-SK"/>
        </w:rPr>
        <w:t>sulfasalazín</w:t>
      </w:r>
      <w:proofErr w:type="spellEnd"/>
      <w:r>
        <w:rPr>
          <w:szCs w:val="22"/>
          <w:lang w:val="sk-SK"/>
        </w:rPr>
        <w:t xml:space="preserve">). Výskyt </w:t>
      </w:r>
      <w:proofErr w:type="spellStart"/>
      <w:r>
        <w:rPr>
          <w:szCs w:val="22"/>
          <w:lang w:val="sk-SK"/>
        </w:rPr>
        <w:t>pancytopénie</w:t>
      </w:r>
      <w:proofErr w:type="spellEnd"/>
      <w:r>
        <w:rPr>
          <w:szCs w:val="22"/>
          <w:lang w:val="sk-SK"/>
        </w:rPr>
        <w:t xml:space="preserve"> a </w:t>
      </w:r>
      <w:proofErr w:type="spellStart"/>
      <w:r>
        <w:rPr>
          <w:szCs w:val="22"/>
          <w:lang w:val="sk-SK"/>
        </w:rPr>
        <w:t>hepatotoxicity</w:t>
      </w:r>
      <w:proofErr w:type="spellEnd"/>
      <w:r>
        <w:rPr>
          <w:szCs w:val="22"/>
          <w:lang w:val="sk-SK"/>
        </w:rPr>
        <w:t xml:space="preserve"> sa môže zvýšiť, keď je </w:t>
      </w:r>
      <w:proofErr w:type="spellStart"/>
      <w:r>
        <w:rPr>
          <w:szCs w:val="22"/>
          <w:lang w:val="sk-SK"/>
        </w:rPr>
        <w:t>leflunomid</w:t>
      </w:r>
      <w:proofErr w:type="spellEnd"/>
      <w:r>
        <w:rPr>
          <w:szCs w:val="22"/>
          <w:lang w:val="sk-SK"/>
        </w:rPr>
        <w:t xml:space="preserve"> kombinovaný s </w:t>
      </w:r>
      <w:proofErr w:type="spellStart"/>
      <w:r>
        <w:rPr>
          <w:szCs w:val="22"/>
          <w:lang w:val="sk-SK"/>
        </w:rPr>
        <w:t>metotrexátom</w:t>
      </w:r>
      <w:proofErr w:type="spellEnd"/>
      <w:r>
        <w:rPr>
          <w:szCs w:val="22"/>
          <w:lang w:val="sk-SK"/>
        </w:rPr>
        <w:t>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autoSpaceDE w:val="0"/>
        <w:autoSpaceDN w:val="0"/>
        <w:adjustRightInd w:val="0"/>
        <w:rPr>
          <w:szCs w:val="22"/>
          <w:lang w:val="sk-SK" w:eastAsia="de-DE"/>
        </w:rPr>
      </w:pPr>
      <w:r>
        <w:rPr>
          <w:szCs w:val="22"/>
          <w:lang w:val="sk-SK" w:eastAsia="de-DE"/>
        </w:rPr>
        <w:t xml:space="preserve">Kombinovaná liečba </w:t>
      </w:r>
      <w:proofErr w:type="spellStart"/>
      <w:r>
        <w:rPr>
          <w:szCs w:val="22"/>
          <w:lang w:val="sk-SK" w:eastAsia="de-DE"/>
        </w:rPr>
        <w:t>metotrexátu</w:t>
      </w:r>
      <w:proofErr w:type="spellEnd"/>
      <w:r>
        <w:rPr>
          <w:szCs w:val="22"/>
          <w:lang w:val="sk-SK" w:eastAsia="de-DE"/>
        </w:rPr>
        <w:t xml:space="preserve"> a </w:t>
      </w:r>
      <w:proofErr w:type="spellStart"/>
      <w:r>
        <w:rPr>
          <w:szCs w:val="22"/>
          <w:lang w:val="sk-SK" w:eastAsia="de-DE"/>
        </w:rPr>
        <w:t>retinoidov</w:t>
      </w:r>
      <w:proofErr w:type="spellEnd"/>
      <w:r>
        <w:rPr>
          <w:szCs w:val="22"/>
          <w:lang w:val="sk-SK" w:eastAsia="de-DE"/>
        </w:rPr>
        <w:t xml:space="preserve">, ako </w:t>
      </w:r>
      <w:proofErr w:type="spellStart"/>
      <w:r>
        <w:rPr>
          <w:szCs w:val="22"/>
          <w:lang w:val="sk-SK" w:eastAsia="de-DE"/>
        </w:rPr>
        <w:t>acitretin</w:t>
      </w:r>
      <w:proofErr w:type="spellEnd"/>
      <w:r>
        <w:rPr>
          <w:szCs w:val="22"/>
          <w:lang w:val="sk-SK" w:eastAsia="de-DE"/>
        </w:rPr>
        <w:t xml:space="preserve"> alebo </w:t>
      </w:r>
      <w:proofErr w:type="spellStart"/>
      <w:r>
        <w:rPr>
          <w:szCs w:val="22"/>
          <w:lang w:val="sk-SK" w:eastAsia="de-DE"/>
        </w:rPr>
        <w:t>etretinát</w:t>
      </w:r>
      <w:proofErr w:type="spellEnd"/>
      <w:r>
        <w:rPr>
          <w:szCs w:val="22"/>
          <w:lang w:val="sk-SK" w:eastAsia="de-DE"/>
        </w:rPr>
        <w:t xml:space="preserve">, zvyšuje riziko </w:t>
      </w:r>
      <w:proofErr w:type="spellStart"/>
      <w:r>
        <w:rPr>
          <w:szCs w:val="22"/>
          <w:lang w:val="sk-SK" w:eastAsia="de-DE"/>
        </w:rPr>
        <w:t>hepatotoxicity</w:t>
      </w:r>
      <w:proofErr w:type="spellEnd"/>
      <w:r>
        <w:rPr>
          <w:szCs w:val="22"/>
          <w:lang w:val="sk-SK" w:eastAsia="de-DE"/>
        </w:rPr>
        <w:t>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3"/>
        <w:rPr>
          <w:szCs w:val="22"/>
          <w:lang w:val="sk-SK"/>
        </w:rPr>
      </w:pPr>
      <w:r>
        <w:rPr>
          <w:szCs w:val="22"/>
          <w:lang w:val="sk-SK"/>
        </w:rPr>
        <w:t>Perorálne antibiotiká</w:t>
      </w: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Perorálne antibiotiká ako tetracyklíny, </w:t>
      </w:r>
      <w:proofErr w:type="spellStart"/>
      <w:r>
        <w:rPr>
          <w:szCs w:val="22"/>
          <w:lang w:val="sk-SK"/>
        </w:rPr>
        <w:t>chloramfenikol</w:t>
      </w:r>
      <w:proofErr w:type="spellEnd"/>
      <w:r>
        <w:rPr>
          <w:szCs w:val="22"/>
          <w:lang w:val="sk-SK"/>
        </w:rPr>
        <w:t xml:space="preserve"> a </w:t>
      </w:r>
      <w:proofErr w:type="spellStart"/>
      <w:r>
        <w:rPr>
          <w:szCs w:val="22"/>
          <w:lang w:val="sk-SK"/>
        </w:rPr>
        <w:t>neabsorbovateľné</w:t>
      </w:r>
      <w:proofErr w:type="spellEnd"/>
      <w:r>
        <w:rPr>
          <w:szCs w:val="22"/>
          <w:lang w:val="sk-SK"/>
        </w:rPr>
        <w:t xml:space="preserve"> širokospektrálne antibiotiká môžu interferovať s </w:t>
      </w:r>
      <w:proofErr w:type="spellStart"/>
      <w:r>
        <w:rPr>
          <w:szCs w:val="22"/>
          <w:lang w:val="sk-SK"/>
        </w:rPr>
        <w:t>enterohepatálnou</w:t>
      </w:r>
      <w:proofErr w:type="spellEnd"/>
      <w:r>
        <w:rPr>
          <w:szCs w:val="22"/>
          <w:lang w:val="sk-SK"/>
        </w:rPr>
        <w:t xml:space="preserve"> cirkuláciou cestou inhibície črevnej flóry alebo </w:t>
      </w:r>
      <w:proofErr w:type="spellStart"/>
      <w:r>
        <w:rPr>
          <w:szCs w:val="22"/>
          <w:lang w:val="sk-SK"/>
        </w:rPr>
        <w:t>supresiou</w:t>
      </w:r>
      <w:proofErr w:type="spellEnd"/>
      <w:r>
        <w:rPr>
          <w:szCs w:val="22"/>
          <w:lang w:val="sk-SK"/>
        </w:rPr>
        <w:t xml:space="preserve"> bakteriálneho metabolizmu. 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3"/>
        <w:rPr>
          <w:szCs w:val="22"/>
          <w:lang w:val="sk-SK"/>
        </w:rPr>
      </w:pPr>
      <w:r>
        <w:rPr>
          <w:szCs w:val="22"/>
          <w:lang w:val="sk-SK"/>
        </w:rPr>
        <w:t>Antibiotiká</w:t>
      </w:r>
    </w:p>
    <w:p w:rsidR="00D30A74" w:rsidRPr="007D180D" w:rsidRDefault="00D30A74" w:rsidP="00D30A74">
      <w:pPr>
        <w:rPr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Antibiotiká ako penicilíny, </w:t>
      </w:r>
      <w:proofErr w:type="spellStart"/>
      <w:r>
        <w:rPr>
          <w:szCs w:val="22"/>
          <w:lang w:val="sk-SK"/>
        </w:rPr>
        <w:t>glykopeptidy</w:t>
      </w:r>
      <w:proofErr w:type="spellEnd"/>
      <w:r>
        <w:rPr>
          <w:szCs w:val="22"/>
          <w:lang w:val="sk-SK"/>
        </w:rPr>
        <w:t xml:space="preserve">, sulfónamidy, </w:t>
      </w:r>
      <w:proofErr w:type="spellStart"/>
      <w:r>
        <w:rPr>
          <w:szCs w:val="22"/>
          <w:lang w:val="sk-SK"/>
        </w:rPr>
        <w:t>ciprofloxacín</w:t>
      </w:r>
      <w:proofErr w:type="spellEnd"/>
      <w:r>
        <w:rPr>
          <w:szCs w:val="22"/>
          <w:lang w:val="sk-SK"/>
        </w:rPr>
        <w:t xml:space="preserve"> a </w:t>
      </w:r>
      <w:proofErr w:type="spellStart"/>
      <w:r>
        <w:rPr>
          <w:szCs w:val="22"/>
          <w:lang w:val="sk-SK"/>
        </w:rPr>
        <w:t>cefalotín</w:t>
      </w:r>
      <w:proofErr w:type="spellEnd"/>
      <w:r>
        <w:rPr>
          <w:szCs w:val="22"/>
          <w:lang w:val="sk-SK"/>
        </w:rPr>
        <w:t xml:space="preserve"> môžu v jednotlivých prípadoch znížiť </w:t>
      </w:r>
      <w:proofErr w:type="spellStart"/>
      <w:r>
        <w:rPr>
          <w:szCs w:val="22"/>
          <w:lang w:val="sk-SK"/>
        </w:rPr>
        <w:t>renálny</w:t>
      </w:r>
      <w:proofErr w:type="spellEnd"/>
      <w:r>
        <w:rPr>
          <w:szCs w:val="22"/>
          <w:lang w:val="sk-SK"/>
        </w:rPr>
        <w:t xml:space="preserve"> </w:t>
      </w:r>
      <w:proofErr w:type="spellStart"/>
      <w:r>
        <w:rPr>
          <w:szCs w:val="22"/>
          <w:lang w:val="sk-SK"/>
        </w:rPr>
        <w:t>klírens</w:t>
      </w:r>
      <w:proofErr w:type="spellEnd"/>
      <w:r>
        <w:rPr>
          <w:szCs w:val="22"/>
          <w:lang w:val="sk-SK"/>
        </w:rPr>
        <w:t xml:space="preserve">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, a tak sa môžu objaviť zvýšené koncentrácie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 v sére so simultánnou hematologickou a </w:t>
      </w:r>
      <w:proofErr w:type="spellStart"/>
      <w:r>
        <w:rPr>
          <w:szCs w:val="22"/>
          <w:lang w:val="sk-SK"/>
        </w:rPr>
        <w:t>gastrointestinálnou</w:t>
      </w:r>
      <w:proofErr w:type="spellEnd"/>
      <w:r>
        <w:rPr>
          <w:szCs w:val="22"/>
          <w:lang w:val="sk-SK"/>
        </w:rPr>
        <w:t xml:space="preserve"> toxicitou.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3"/>
        <w:rPr>
          <w:szCs w:val="22"/>
          <w:lang w:val="sk-SK"/>
        </w:rPr>
      </w:pPr>
      <w:r>
        <w:rPr>
          <w:szCs w:val="22"/>
          <w:lang w:val="sk-SK"/>
        </w:rPr>
        <w:t>Lieky s vysokou väzbou na plazmatické bielkoviny</w:t>
      </w:r>
    </w:p>
    <w:p w:rsidR="00D30A74" w:rsidRPr="007D180D" w:rsidRDefault="00D30A74" w:rsidP="00D30A74">
      <w:pPr>
        <w:rPr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proofErr w:type="spellStart"/>
      <w:r>
        <w:rPr>
          <w:szCs w:val="22"/>
          <w:lang w:val="sk-SK"/>
        </w:rPr>
        <w:t>Metotrexát</w:t>
      </w:r>
      <w:proofErr w:type="spellEnd"/>
      <w:r>
        <w:rPr>
          <w:szCs w:val="22"/>
          <w:lang w:val="sk-SK"/>
        </w:rPr>
        <w:t xml:space="preserve"> sa viaže na plazmatické bielkoviny a môže byť vytlačený inými liekmi, ktoré sa viažu na proteíny, ako sú </w:t>
      </w:r>
      <w:proofErr w:type="spellStart"/>
      <w:r>
        <w:rPr>
          <w:szCs w:val="22"/>
          <w:lang w:val="sk-SK"/>
        </w:rPr>
        <w:t>salicyláty</w:t>
      </w:r>
      <w:proofErr w:type="spellEnd"/>
      <w:r>
        <w:rPr>
          <w:szCs w:val="22"/>
          <w:lang w:val="sk-SK"/>
        </w:rPr>
        <w:t xml:space="preserve">, </w:t>
      </w:r>
      <w:proofErr w:type="spellStart"/>
      <w:r>
        <w:rPr>
          <w:szCs w:val="22"/>
          <w:lang w:val="sk-SK"/>
        </w:rPr>
        <w:t>hypoglykemiká</w:t>
      </w:r>
      <w:proofErr w:type="spellEnd"/>
      <w:r>
        <w:rPr>
          <w:szCs w:val="22"/>
          <w:lang w:val="sk-SK"/>
        </w:rPr>
        <w:t xml:space="preserve">, diuretiká, sulfónamidy, </w:t>
      </w:r>
      <w:proofErr w:type="spellStart"/>
      <w:r>
        <w:rPr>
          <w:szCs w:val="22"/>
          <w:lang w:val="sk-SK"/>
        </w:rPr>
        <w:t>difenylhydantoíny</w:t>
      </w:r>
      <w:proofErr w:type="spellEnd"/>
      <w:r>
        <w:rPr>
          <w:szCs w:val="22"/>
          <w:lang w:val="sk-SK"/>
        </w:rPr>
        <w:t xml:space="preserve">, tetracyklíny, </w:t>
      </w:r>
      <w:proofErr w:type="spellStart"/>
      <w:r>
        <w:rPr>
          <w:szCs w:val="22"/>
          <w:lang w:val="sk-SK"/>
        </w:rPr>
        <w:t>chloramfenikol</w:t>
      </w:r>
      <w:proofErr w:type="spellEnd"/>
      <w:r>
        <w:rPr>
          <w:szCs w:val="22"/>
          <w:lang w:val="sk-SK"/>
        </w:rPr>
        <w:t xml:space="preserve"> a kyselina </w:t>
      </w:r>
      <w:proofErr w:type="spellStart"/>
      <w:r>
        <w:rPr>
          <w:szCs w:val="22"/>
          <w:lang w:val="sk-SK"/>
        </w:rPr>
        <w:t>para-aminobenzoová</w:t>
      </w:r>
      <w:proofErr w:type="spellEnd"/>
      <w:r>
        <w:rPr>
          <w:szCs w:val="22"/>
          <w:lang w:val="sk-SK"/>
        </w:rPr>
        <w:t xml:space="preserve"> a protizápalové liečivá na báze kyselín, čo môže viesť k zvýšenej toxicite, ak sa užívajú súčasne.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3"/>
        <w:keepLines/>
        <w:rPr>
          <w:szCs w:val="22"/>
          <w:lang w:val="sk-SK"/>
        </w:rPr>
      </w:pPr>
      <w:proofErr w:type="spellStart"/>
      <w:r>
        <w:rPr>
          <w:szCs w:val="22"/>
          <w:lang w:val="sk-SK"/>
        </w:rPr>
        <w:t>Probenecid</w:t>
      </w:r>
      <w:proofErr w:type="spellEnd"/>
      <w:r>
        <w:rPr>
          <w:szCs w:val="22"/>
          <w:lang w:val="sk-SK"/>
        </w:rPr>
        <w:t xml:space="preserve">, slabé organické kyseliny, </w:t>
      </w:r>
      <w:proofErr w:type="spellStart"/>
      <w:r>
        <w:rPr>
          <w:szCs w:val="22"/>
          <w:lang w:val="sk-SK"/>
        </w:rPr>
        <w:t>pyrazoly</w:t>
      </w:r>
      <w:proofErr w:type="spellEnd"/>
      <w:r>
        <w:rPr>
          <w:szCs w:val="22"/>
          <w:lang w:val="sk-SK"/>
        </w:rPr>
        <w:t xml:space="preserve"> a </w:t>
      </w:r>
      <w:proofErr w:type="spellStart"/>
      <w:r>
        <w:rPr>
          <w:szCs w:val="22"/>
          <w:lang w:val="sk-SK"/>
        </w:rPr>
        <w:t>nesteroidné</w:t>
      </w:r>
      <w:proofErr w:type="spellEnd"/>
      <w:r>
        <w:rPr>
          <w:szCs w:val="22"/>
          <w:lang w:val="sk-SK"/>
        </w:rPr>
        <w:t xml:space="preserve"> protizápalové liečivá</w:t>
      </w:r>
    </w:p>
    <w:p w:rsidR="00D30A74" w:rsidRPr="007D180D" w:rsidRDefault="00D30A74" w:rsidP="00D30A74">
      <w:pPr>
        <w:rPr>
          <w:lang w:val="sk-SK"/>
        </w:rPr>
      </w:pPr>
    </w:p>
    <w:p w:rsidR="00784A7D" w:rsidRPr="007D180D" w:rsidRDefault="00D56571" w:rsidP="0072168C">
      <w:pPr>
        <w:keepNext/>
        <w:keepLines/>
        <w:rPr>
          <w:szCs w:val="22"/>
          <w:lang w:val="sk-SK"/>
        </w:rPr>
      </w:pPr>
      <w:proofErr w:type="spellStart"/>
      <w:r>
        <w:rPr>
          <w:szCs w:val="22"/>
          <w:lang w:val="sk-SK"/>
        </w:rPr>
        <w:t>Probenecid</w:t>
      </w:r>
      <w:proofErr w:type="spellEnd"/>
      <w:r>
        <w:rPr>
          <w:szCs w:val="22"/>
          <w:lang w:val="sk-SK"/>
        </w:rPr>
        <w:t xml:space="preserve">, slabé organické kyseliny, ako sú </w:t>
      </w:r>
      <w:proofErr w:type="spellStart"/>
      <w:r>
        <w:rPr>
          <w:szCs w:val="22"/>
          <w:lang w:val="sk-SK"/>
        </w:rPr>
        <w:t>kľučkové</w:t>
      </w:r>
      <w:proofErr w:type="spellEnd"/>
      <w:r>
        <w:rPr>
          <w:szCs w:val="22"/>
          <w:lang w:val="sk-SK"/>
        </w:rPr>
        <w:t xml:space="preserve"> diuretiká a </w:t>
      </w:r>
      <w:proofErr w:type="spellStart"/>
      <w:r>
        <w:rPr>
          <w:szCs w:val="22"/>
          <w:lang w:val="sk-SK"/>
        </w:rPr>
        <w:t>pyrazoly</w:t>
      </w:r>
      <w:proofErr w:type="spellEnd"/>
      <w:r>
        <w:rPr>
          <w:szCs w:val="22"/>
          <w:lang w:val="sk-SK"/>
        </w:rPr>
        <w:t xml:space="preserve"> (</w:t>
      </w:r>
      <w:proofErr w:type="spellStart"/>
      <w:r>
        <w:rPr>
          <w:szCs w:val="22"/>
          <w:lang w:val="sk-SK"/>
        </w:rPr>
        <w:t>fenylbutazón</w:t>
      </w:r>
      <w:proofErr w:type="spellEnd"/>
      <w:r>
        <w:rPr>
          <w:szCs w:val="22"/>
          <w:lang w:val="sk-SK"/>
        </w:rPr>
        <w:t xml:space="preserve">), môžu znížiť vylučovanie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 a možno predpokladať zvýšené sérové koncentrácie , ktoré indukujú zvýšenú hematologickú toxicitu. Existuje aj možnosť zvýšenej toxicity, keď sa kombinujú nízke dávky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 s </w:t>
      </w:r>
      <w:proofErr w:type="spellStart"/>
      <w:r>
        <w:rPr>
          <w:szCs w:val="22"/>
          <w:lang w:val="sk-SK"/>
        </w:rPr>
        <w:t>nesteroidnými</w:t>
      </w:r>
      <w:proofErr w:type="spellEnd"/>
      <w:r>
        <w:rPr>
          <w:szCs w:val="22"/>
          <w:lang w:val="sk-SK"/>
        </w:rPr>
        <w:t xml:space="preserve"> protizápalovými liekmi alebo </w:t>
      </w:r>
      <w:proofErr w:type="spellStart"/>
      <w:r>
        <w:rPr>
          <w:szCs w:val="22"/>
          <w:lang w:val="sk-SK"/>
        </w:rPr>
        <w:t>salicylátmi</w:t>
      </w:r>
      <w:proofErr w:type="spellEnd"/>
      <w:r>
        <w:rPr>
          <w:szCs w:val="22"/>
          <w:lang w:val="sk-SK"/>
        </w:rPr>
        <w:t>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3"/>
        <w:rPr>
          <w:szCs w:val="22"/>
          <w:lang w:val="sk-SK"/>
        </w:rPr>
      </w:pPr>
      <w:r>
        <w:rPr>
          <w:szCs w:val="22"/>
          <w:lang w:val="sk-SK"/>
        </w:rPr>
        <w:t>Lieky s nežiaducimi účinkami na kostnú dreň</w:t>
      </w:r>
    </w:p>
    <w:p w:rsidR="00D30A74" w:rsidRPr="007D180D" w:rsidRDefault="00D30A74" w:rsidP="00D30A74">
      <w:pPr>
        <w:rPr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V prípade liečby liekmi, ktoré môžu mať nežiaduce reakcie na kostnú dreň (napr. sulfónamidy, </w:t>
      </w:r>
      <w:proofErr w:type="spellStart"/>
      <w:r>
        <w:rPr>
          <w:szCs w:val="22"/>
          <w:lang w:val="sk-SK"/>
        </w:rPr>
        <w:t>trimetoprim-sulfametoxazol</w:t>
      </w:r>
      <w:proofErr w:type="spellEnd"/>
      <w:r>
        <w:rPr>
          <w:szCs w:val="22"/>
          <w:lang w:val="sk-SK"/>
        </w:rPr>
        <w:t xml:space="preserve">, </w:t>
      </w:r>
      <w:proofErr w:type="spellStart"/>
      <w:r>
        <w:rPr>
          <w:szCs w:val="22"/>
          <w:lang w:val="sk-SK"/>
        </w:rPr>
        <w:t>chloramfenikol</w:t>
      </w:r>
      <w:proofErr w:type="spellEnd"/>
      <w:r>
        <w:rPr>
          <w:szCs w:val="22"/>
          <w:lang w:val="sk-SK"/>
        </w:rPr>
        <w:t xml:space="preserve">, </w:t>
      </w:r>
      <w:proofErr w:type="spellStart"/>
      <w:r>
        <w:rPr>
          <w:szCs w:val="22"/>
          <w:lang w:val="sk-SK"/>
        </w:rPr>
        <w:t>pyrimetamín</w:t>
      </w:r>
      <w:proofErr w:type="spellEnd"/>
      <w:r>
        <w:rPr>
          <w:szCs w:val="22"/>
          <w:lang w:val="sk-SK"/>
        </w:rPr>
        <w:t>), má byť venovaná pozornosť možnosti závažného poškodenia krvotvorby.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3"/>
        <w:rPr>
          <w:szCs w:val="22"/>
          <w:lang w:val="sk-SK"/>
        </w:rPr>
      </w:pPr>
      <w:r>
        <w:rPr>
          <w:szCs w:val="22"/>
          <w:lang w:val="sk-SK"/>
        </w:rPr>
        <w:t xml:space="preserve">Lieky, ktoré spôsobujú nedostatok </w:t>
      </w:r>
      <w:proofErr w:type="spellStart"/>
      <w:r>
        <w:rPr>
          <w:szCs w:val="22"/>
          <w:lang w:val="sk-SK"/>
        </w:rPr>
        <w:t>folátov</w:t>
      </w:r>
      <w:proofErr w:type="spellEnd"/>
    </w:p>
    <w:p w:rsidR="00D30A74" w:rsidRPr="007D180D" w:rsidRDefault="00D30A74" w:rsidP="00D30A74">
      <w:pPr>
        <w:rPr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Súčasné podávanie liekov, ktoré spôsobujú nedostatok </w:t>
      </w:r>
      <w:proofErr w:type="spellStart"/>
      <w:r>
        <w:rPr>
          <w:szCs w:val="22"/>
          <w:lang w:val="sk-SK"/>
        </w:rPr>
        <w:t>folátov</w:t>
      </w:r>
      <w:proofErr w:type="spellEnd"/>
      <w:r>
        <w:rPr>
          <w:szCs w:val="22"/>
          <w:lang w:val="sk-SK"/>
        </w:rPr>
        <w:t xml:space="preserve"> (napr. sulfónamidy, </w:t>
      </w:r>
      <w:proofErr w:type="spellStart"/>
      <w:r>
        <w:rPr>
          <w:szCs w:val="22"/>
          <w:lang w:val="sk-SK"/>
        </w:rPr>
        <w:t>trimetoprim-sulfametoxazol</w:t>
      </w:r>
      <w:proofErr w:type="spellEnd"/>
      <w:r>
        <w:rPr>
          <w:szCs w:val="22"/>
          <w:lang w:val="sk-SK"/>
        </w:rPr>
        <w:t xml:space="preserve">) môže viesť k zvýšenej toxicite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. Osobitná starostlivosť sa preto odporúča v prípade existujúceho nedostatku kyseliny listovej. 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3"/>
        <w:rPr>
          <w:szCs w:val="22"/>
          <w:lang w:val="sk-SK"/>
        </w:rPr>
      </w:pPr>
      <w:r>
        <w:rPr>
          <w:szCs w:val="22"/>
          <w:lang w:val="sk-SK"/>
        </w:rPr>
        <w:t xml:space="preserve">Produkty obsahujúce kyselinu listovú alebo kyselinu </w:t>
      </w:r>
      <w:proofErr w:type="spellStart"/>
      <w:r>
        <w:rPr>
          <w:szCs w:val="22"/>
          <w:lang w:val="sk-SK"/>
        </w:rPr>
        <w:t>folínovú</w:t>
      </w:r>
      <w:proofErr w:type="spellEnd"/>
    </w:p>
    <w:p w:rsidR="00D30A74" w:rsidRPr="007D180D" w:rsidRDefault="00D30A74" w:rsidP="00D30A74">
      <w:pPr>
        <w:rPr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Vitamínové preparáty alebo iné lieky obsahujúce kyselinu listovú, kyselinu </w:t>
      </w:r>
      <w:proofErr w:type="spellStart"/>
      <w:r>
        <w:rPr>
          <w:szCs w:val="22"/>
          <w:lang w:val="sk-SK"/>
        </w:rPr>
        <w:t>folínovú</w:t>
      </w:r>
      <w:proofErr w:type="spellEnd"/>
      <w:r>
        <w:rPr>
          <w:szCs w:val="22"/>
          <w:lang w:val="sk-SK"/>
        </w:rPr>
        <w:t xml:space="preserve"> alebo ich deriváty môžu znížiť účinnosť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>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3"/>
        <w:rPr>
          <w:szCs w:val="22"/>
          <w:lang w:val="sk-SK"/>
        </w:rPr>
      </w:pPr>
      <w:r>
        <w:rPr>
          <w:szCs w:val="22"/>
          <w:lang w:val="sk-SK"/>
        </w:rPr>
        <w:t xml:space="preserve">Iné </w:t>
      </w:r>
      <w:proofErr w:type="spellStart"/>
      <w:r>
        <w:rPr>
          <w:szCs w:val="22"/>
          <w:lang w:val="sk-SK"/>
        </w:rPr>
        <w:t>antireumatické</w:t>
      </w:r>
      <w:proofErr w:type="spellEnd"/>
      <w:r>
        <w:rPr>
          <w:szCs w:val="22"/>
          <w:lang w:val="sk-SK"/>
        </w:rPr>
        <w:t xml:space="preserve"> lieky</w:t>
      </w:r>
    </w:p>
    <w:p w:rsidR="00D30A74" w:rsidRPr="007D180D" w:rsidRDefault="00D30A74" w:rsidP="00D30A74">
      <w:pPr>
        <w:rPr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lastRenderedPageBreak/>
        <w:t xml:space="preserve">Zvýšenie toxických účinkov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 sa vo všeobecnosti neočakáva, keď sa </w:t>
      </w:r>
      <w:proofErr w:type="spellStart"/>
      <w:r>
        <w:rPr>
          <w:szCs w:val="22"/>
          <w:lang w:val="sk-SK"/>
        </w:rPr>
        <w:t>metotrexát</w:t>
      </w:r>
      <w:proofErr w:type="spellEnd"/>
      <w:r>
        <w:rPr>
          <w:szCs w:val="22"/>
          <w:lang w:val="sk-SK"/>
        </w:rPr>
        <w:t xml:space="preserve"> podáva súbežne s inými </w:t>
      </w:r>
      <w:proofErr w:type="spellStart"/>
      <w:r>
        <w:rPr>
          <w:szCs w:val="22"/>
          <w:lang w:val="sk-SK"/>
        </w:rPr>
        <w:t>antireumatickými</w:t>
      </w:r>
      <w:proofErr w:type="spellEnd"/>
      <w:r>
        <w:rPr>
          <w:szCs w:val="22"/>
          <w:lang w:val="sk-SK"/>
        </w:rPr>
        <w:t xml:space="preserve"> liekmi (napr. zlúčeniny zlata, </w:t>
      </w:r>
      <w:proofErr w:type="spellStart"/>
      <w:r>
        <w:rPr>
          <w:szCs w:val="22"/>
          <w:lang w:val="sk-SK"/>
        </w:rPr>
        <w:t>penicilamín</w:t>
      </w:r>
      <w:proofErr w:type="spellEnd"/>
      <w:r>
        <w:rPr>
          <w:szCs w:val="22"/>
          <w:lang w:val="sk-SK"/>
        </w:rPr>
        <w:t xml:space="preserve">, </w:t>
      </w:r>
      <w:proofErr w:type="spellStart"/>
      <w:r>
        <w:rPr>
          <w:szCs w:val="22"/>
          <w:lang w:val="sk-SK"/>
        </w:rPr>
        <w:t>hydroxychlorochinón</w:t>
      </w:r>
      <w:proofErr w:type="spellEnd"/>
      <w:r>
        <w:rPr>
          <w:szCs w:val="22"/>
          <w:lang w:val="sk-SK"/>
        </w:rPr>
        <w:t xml:space="preserve">, </w:t>
      </w:r>
      <w:proofErr w:type="spellStart"/>
      <w:r>
        <w:rPr>
          <w:szCs w:val="22"/>
          <w:lang w:val="sk-SK"/>
        </w:rPr>
        <w:t>sulfasalazín</w:t>
      </w:r>
      <w:proofErr w:type="spellEnd"/>
      <w:r>
        <w:rPr>
          <w:szCs w:val="22"/>
          <w:lang w:val="sk-SK"/>
        </w:rPr>
        <w:t xml:space="preserve">, </w:t>
      </w:r>
      <w:proofErr w:type="spellStart"/>
      <w:r>
        <w:rPr>
          <w:szCs w:val="22"/>
          <w:lang w:val="sk-SK"/>
        </w:rPr>
        <w:t>azatioprin</w:t>
      </w:r>
      <w:proofErr w:type="spellEnd"/>
      <w:r>
        <w:rPr>
          <w:szCs w:val="22"/>
          <w:lang w:val="sk-SK"/>
        </w:rPr>
        <w:t xml:space="preserve">, </w:t>
      </w:r>
      <w:proofErr w:type="spellStart"/>
      <w:r>
        <w:rPr>
          <w:szCs w:val="22"/>
          <w:lang w:val="sk-SK"/>
        </w:rPr>
        <w:t>cyklosporín</w:t>
      </w:r>
      <w:proofErr w:type="spellEnd"/>
      <w:r>
        <w:rPr>
          <w:szCs w:val="22"/>
          <w:lang w:val="sk-SK"/>
        </w:rPr>
        <w:t>).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9E21B7">
      <w:pPr>
        <w:pStyle w:val="Nadpis3"/>
        <w:keepLines/>
        <w:rPr>
          <w:szCs w:val="22"/>
          <w:lang w:val="sk-SK"/>
        </w:rPr>
      </w:pPr>
      <w:proofErr w:type="spellStart"/>
      <w:r>
        <w:rPr>
          <w:szCs w:val="22"/>
          <w:lang w:val="sk-SK"/>
        </w:rPr>
        <w:t>Sulfasalazín</w:t>
      </w:r>
      <w:proofErr w:type="spellEnd"/>
    </w:p>
    <w:p w:rsidR="00784A7D" w:rsidRPr="007D180D" w:rsidRDefault="00D56571" w:rsidP="009E21B7">
      <w:pPr>
        <w:keepNext/>
        <w:keepLines/>
        <w:rPr>
          <w:szCs w:val="22"/>
          <w:lang w:val="sk-SK"/>
        </w:rPr>
      </w:pPr>
      <w:r>
        <w:rPr>
          <w:szCs w:val="22"/>
          <w:lang w:val="sk-SK"/>
        </w:rPr>
        <w:t xml:space="preserve">Hoci kombinácia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 a </w:t>
      </w:r>
      <w:proofErr w:type="spellStart"/>
      <w:r>
        <w:rPr>
          <w:szCs w:val="22"/>
          <w:lang w:val="sk-SK"/>
        </w:rPr>
        <w:t>sulfasalazínu</w:t>
      </w:r>
      <w:proofErr w:type="spellEnd"/>
      <w:r>
        <w:rPr>
          <w:szCs w:val="22"/>
          <w:lang w:val="sk-SK"/>
        </w:rPr>
        <w:t xml:space="preserve"> môže spôsobiť zvýšenie účinnosti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 a výsledne viac nežiaducich účinkov z dôvodu inhibície syntézy kyseliny listovej cez </w:t>
      </w:r>
      <w:proofErr w:type="spellStart"/>
      <w:r>
        <w:rPr>
          <w:szCs w:val="22"/>
          <w:lang w:val="sk-SK"/>
        </w:rPr>
        <w:t>sulfasalazín</w:t>
      </w:r>
      <w:proofErr w:type="spellEnd"/>
      <w:r>
        <w:rPr>
          <w:szCs w:val="22"/>
          <w:lang w:val="sk-SK"/>
        </w:rPr>
        <w:t>, takéto nežiaduce účinky boli pozorované len v zriedkavých jednotlivých prípadoch v priebehu niekoľkých štúdií.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u w:val="single"/>
          <w:lang w:val="sk-SK"/>
        </w:rPr>
      </w:pPr>
      <w:proofErr w:type="spellStart"/>
      <w:r>
        <w:rPr>
          <w:szCs w:val="22"/>
          <w:u w:val="single"/>
          <w:lang w:val="sk-SK"/>
        </w:rPr>
        <w:t>Merkaptopurín</w:t>
      </w:r>
      <w:proofErr w:type="spellEnd"/>
    </w:p>
    <w:p w:rsidR="00D30A74" w:rsidRPr="007D180D" w:rsidRDefault="00D30A74" w:rsidP="0072168C">
      <w:pPr>
        <w:rPr>
          <w:szCs w:val="22"/>
          <w:u w:val="single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proofErr w:type="spellStart"/>
      <w:r>
        <w:rPr>
          <w:szCs w:val="22"/>
          <w:lang w:val="sk-SK"/>
        </w:rPr>
        <w:t>Metotrexát</w:t>
      </w:r>
      <w:proofErr w:type="spellEnd"/>
      <w:r>
        <w:rPr>
          <w:szCs w:val="22"/>
          <w:lang w:val="sk-SK"/>
        </w:rPr>
        <w:t xml:space="preserve"> zvyšuje hladiny </w:t>
      </w:r>
      <w:proofErr w:type="spellStart"/>
      <w:r>
        <w:rPr>
          <w:szCs w:val="22"/>
          <w:lang w:val="sk-SK"/>
        </w:rPr>
        <w:t>merkaptopurínu</w:t>
      </w:r>
      <w:proofErr w:type="spellEnd"/>
      <w:r>
        <w:rPr>
          <w:szCs w:val="22"/>
          <w:lang w:val="sk-SK"/>
        </w:rPr>
        <w:t xml:space="preserve"> v plazme. Kombinácia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 a </w:t>
      </w:r>
      <w:proofErr w:type="spellStart"/>
      <w:r>
        <w:rPr>
          <w:szCs w:val="22"/>
          <w:lang w:val="sk-SK"/>
        </w:rPr>
        <w:t>merkaptopurínu</w:t>
      </w:r>
      <w:proofErr w:type="spellEnd"/>
      <w:r>
        <w:rPr>
          <w:szCs w:val="22"/>
          <w:lang w:val="sk-SK"/>
        </w:rPr>
        <w:t xml:space="preserve"> si preto môže vyžadovať úpravu dávky.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3"/>
        <w:rPr>
          <w:szCs w:val="22"/>
          <w:lang w:val="sk-SK"/>
        </w:rPr>
      </w:pPr>
      <w:r>
        <w:rPr>
          <w:szCs w:val="22"/>
          <w:lang w:val="sk-SK"/>
        </w:rPr>
        <w:t>Inhibítory protónovej pumpy</w:t>
      </w:r>
    </w:p>
    <w:p w:rsidR="00D30A74" w:rsidRPr="007D180D" w:rsidRDefault="00D30A74" w:rsidP="00D30A74">
      <w:pPr>
        <w:rPr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Súčasné podávanie inhibítorov protónovej pumpy ako </w:t>
      </w:r>
      <w:proofErr w:type="spellStart"/>
      <w:r>
        <w:rPr>
          <w:szCs w:val="22"/>
          <w:lang w:val="sk-SK"/>
        </w:rPr>
        <w:t>omeprazol</w:t>
      </w:r>
      <w:proofErr w:type="spellEnd"/>
      <w:r>
        <w:rPr>
          <w:szCs w:val="22"/>
          <w:lang w:val="sk-SK"/>
        </w:rPr>
        <w:t xml:space="preserve"> alebo </w:t>
      </w:r>
      <w:proofErr w:type="spellStart"/>
      <w:r>
        <w:rPr>
          <w:szCs w:val="22"/>
          <w:lang w:val="sk-SK"/>
        </w:rPr>
        <w:t>pantoprazol</w:t>
      </w:r>
      <w:proofErr w:type="spellEnd"/>
      <w:r>
        <w:rPr>
          <w:szCs w:val="22"/>
          <w:lang w:val="sk-SK"/>
        </w:rPr>
        <w:t xml:space="preserve"> môže viesť k interakciám: súčasné podávanie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 a </w:t>
      </w:r>
      <w:proofErr w:type="spellStart"/>
      <w:r>
        <w:rPr>
          <w:szCs w:val="22"/>
          <w:lang w:val="sk-SK"/>
        </w:rPr>
        <w:t>omeprazolu</w:t>
      </w:r>
      <w:proofErr w:type="spellEnd"/>
      <w:r>
        <w:rPr>
          <w:szCs w:val="22"/>
          <w:lang w:val="sk-SK"/>
        </w:rPr>
        <w:t xml:space="preserve"> viedlo k oneskorenému vylučovaniu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 obličkami. V kombinácii s </w:t>
      </w:r>
      <w:proofErr w:type="spellStart"/>
      <w:r>
        <w:rPr>
          <w:szCs w:val="22"/>
          <w:lang w:val="sk-SK"/>
        </w:rPr>
        <w:t>pantoprazolom</w:t>
      </w:r>
      <w:proofErr w:type="spellEnd"/>
      <w:r>
        <w:rPr>
          <w:szCs w:val="22"/>
          <w:lang w:val="sk-SK"/>
        </w:rPr>
        <w:t xml:space="preserve"> bolo v jednom prípade hlásené </w:t>
      </w:r>
      <w:proofErr w:type="spellStart"/>
      <w:r>
        <w:rPr>
          <w:szCs w:val="22"/>
          <w:lang w:val="sk-SK"/>
        </w:rPr>
        <w:t>inhibované</w:t>
      </w:r>
      <w:proofErr w:type="spellEnd"/>
      <w:r>
        <w:rPr>
          <w:szCs w:val="22"/>
          <w:lang w:val="sk-SK"/>
        </w:rPr>
        <w:t xml:space="preserve"> vylučovanie </w:t>
      </w:r>
      <w:proofErr w:type="spellStart"/>
      <w:r>
        <w:rPr>
          <w:szCs w:val="22"/>
          <w:lang w:val="sk-SK"/>
        </w:rPr>
        <w:t>metabolitu</w:t>
      </w:r>
      <w:proofErr w:type="spellEnd"/>
      <w:r>
        <w:rPr>
          <w:szCs w:val="22"/>
          <w:lang w:val="sk-SK"/>
        </w:rPr>
        <w:t xml:space="preserve"> 7</w:t>
      </w:r>
      <w:r>
        <w:rPr>
          <w:szCs w:val="22"/>
          <w:lang w:val="sk-SK"/>
        </w:rPr>
        <w:noBreakHyphen/>
        <w:t xml:space="preserve">hydroxymetotrexátu obličkami s </w:t>
      </w:r>
      <w:proofErr w:type="spellStart"/>
      <w:r>
        <w:rPr>
          <w:szCs w:val="22"/>
          <w:lang w:val="sk-SK"/>
        </w:rPr>
        <w:t>myalgiou</w:t>
      </w:r>
      <w:proofErr w:type="spellEnd"/>
      <w:r>
        <w:rPr>
          <w:szCs w:val="22"/>
          <w:lang w:val="sk-SK"/>
        </w:rPr>
        <w:t xml:space="preserve"> a triaškou.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autoSpaceDE w:val="0"/>
        <w:autoSpaceDN w:val="0"/>
        <w:adjustRightInd w:val="0"/>
        <w:rPr>
          <w:snapToGrid w:val="0"/>
          <w:szCs w:val="22"/>
          <w:u w:val="single"/>
          <w:lang w:val="sk-SK" w:eastAsia="de-DE"/>
        </w:rPr>
      </w:pPr>
      <w:proofErr w:type="spellStart"/>
      <w:r>
        <w:rPr>
          <w:snapToGrid w:val="0"/>
          <w:szCs w:val="22"/>
          <w:u w:val="single"/>
          <w:lang w:val="sk-SK" w:eastAsia="de-DE"/>
        </w:rPr>
        <w:t>Teofylín</w:t>
      </w:r>
      <w:proofErr w:type="spellEnd"/>
    </w:p>
    <w:p w:rsidR="00D30A74" w:rsidRPr="007D180D" w:rsidRDefault="00D30A74" w:rsidP="0072168C">
      <w:pPr>
        <w:autoSpaceDE w:val="0"/>
        <w:autoSpaceDN w:val="0"/>
        <w:adjustRightInd w:val="0"/>
        <w:rPr>
          <w:snapToGrid w:val="0"/>
          <w:szCs w:val="22"/>
          <w:u w:val="single"/>
          <w:lang w:val="sk-SK" w:eastAsia="de-DE"/>
        </w:rPr>
      </w:pPr>
    </w:p>
    <w:p w:rsidR="00784A7D" w:rsidRPr="007D180D" w:rsidRDefault="00D56571" w:rsidP="0072168C">
      <w:pPr>
        <w:autoSpaceDE w:val="0"/>
        <w:autoSpaceDN w:val="0"/>
        <w:adjustRightInd w:val="0"/>
        <w:rPr>
          <w:snapToGrid w:val="0"/>
          <w:szCs w:val="22"/>
          <w:lang w:val="sk-SK" w:eastAsia="de-DE"/>
        </w:rPr>
      </w:pPr>
      <w:proofErr w:type="spellStart"/>
      <w:r>
        <w:rPr>
          <w:snapToGrid w:val="0"/>
          <w:szCs w:val="22"/>
          <w:lang w:val="sk-SK" w:eastAsia="de-DE"/>
        </w:rPr>
        <w:t>Metotrexát</w:t>
      </w:r>
      <w:proofErr w:type="spellEnd"/>
      <w:r>
        <w:rPr>
          <w:snapToGrid w:val="0"/>
          <w:szCs w:val="22"/>
          <w:lang w:val="sk-SK" w:eastAsia="de-DE"/>
        </w:rPr>
        <w:t xml:space="preserve"> môže znížiť </w:t>
      </w:r>
      <w:proofErr w:type="spellStart"/>
      <w:r>
        <w:rPr>
          <w:snapToGrid w:val="0"/>
          <w:szCs w:val="22"/>
          <w:lang w:val="sk-SK" w:eastAsia="de-DE"/>
        </w:rPr>
        <w:t>klírens</w:t>
      </w:r>
      <w:proofErr w:type="spellEnd"/>
      <w:r>
        <w:rPr>
          <w:snapToGrid w:val="0"/>
          <w:szCs w:val="22"/>
          <w:lang w:val="sk-SK" w:eastAsia="de-DE"/>
        </w:rPr>
        <w:t xml:space="preserve"> </w:t>
      </w:r>
      <w:proofErr w:type="spellStart"/>
      <w:r>
        <w:rPr>
          <w:snapToGrid w:val="0"/>
          <w:szCs w:val="22"/>
          <w:lang w:val="sk-SK" w:eastAsia="de-DE"/>
        </w:rPr>
        <w:t>teofylínu</w:t>
      </w:r>
      <w:proofErr w:type="spellEnd"/>
      <w:r>
        <w:rPr>
          <w:snapToGrid w:val="0"/>
          <w:szCs w:val="22"/>
          <w:lang w:val="sk-SK" w:eastAsia="de-DE"/>
        </w:rPr>
        <w:t xml:space="preserve">. Hladiny </w:t>
      </w:r>
      <w:proofErr w:type="spellStart"/>
      <w:r>
        <w:rPr>
          <w:snapToGrid w:val="0"/>
          <w:szCs w:val="22"/>
          <w:lang w:val="sk-SK" w:eastAsia="de-DE"/>
        </w:rPr>
        <w:t>teofylínu</w:t>
      </w:r>
      <w:proofErr w:type="spellEnd"/>
      <w:r>
        <w:rPr>
          <w:snapToGrid w:val="0"/>
          <w:szCs w:val="22"/>
          <w:lang w:val="sk-SK" w:eastAsia="de-DE"/>
        </w:rPr>
        <w:t xml:space="preserve"> majú byť sledované, ak sa užíva súbežne s </w:t>
      </w:r>
      <w:proofErr w:type="spellStart"/>
      <w:r>
        <w:rPr>
          <w:snapToGrid w:val="0"/>
          <w:szCs w:val="22"/>
          <w:lang w:val="sk-SK" w:eastAsia="de-DE"/>
        </w:rPr>
        <w:t>metotrexátom</w:t>
      </w:r>
      <w:proofErr w:type="spellEnd"/>
      <w:r>
        <w:rPr>
          <w:snapToGrid w:val="0"/>
          <w:szCs w:val="22"/>
          <w:lang w:val="sk-SK" w:eastAsia="de-DE"/>
        </w:rPr>
        <w:t>.</w:t>
      </w:r>
    </w:p>
    <w:p w:rsidR="00784A7D" w:rsidRPr="007D180D" w:rsidRDefault="00784A7D" w:rsidP="0072168C">
      <w:pPr>
        <w:pStyle w:val="Nadpis3"/>
        <w:rPr>
          <w:szCs w:val="22"/>
          <w:lang w:val="sk-SK"/>
        </w:rPr>
      </w:pPr>
    </w:p>
    <w:p w:rsidR="00784A7D" w:rsidRPr="007D180D" w:rsidRDefault="00D56571" w:rsidP="0072168C">
      <w:pPr>
        <w:pStyle w:val="Nadpis3"/>
        <w:rPr>
          <w:szCs w:val="22"/>
          <w:lang w:val="sk-SK"/>
        </w:rPr>
      </w:pPr>
      <w:r>
        <w:rPr>
          <w:szCs w:val="22"/>
          <w:lang w:val="sk-SK"/>
        </w:rPr>
        <w:t xml:space="preserve">Nápoje s obsahom kofeínu alebo </w:t>
      </w:r>
      <w:proofErr w:type="spellStart"/>
      <w:r>
        <w:rPr>
          <w:szCs w:val="22"/>
          <w:lang w:val="sk-SK"/>
        </w:rPr>
        <w:t>teofylínu</w:t>
      </w:r>
      <w:proofErr w:type="spellEnd"/>
    </w:p>
    <w:p w:rsidR="00D30A74" w:rsidRPr="007D180D" w:rsidRDefault="00D30A74" w:rsidP="00D30A74">
      <w:pPr>
        <w:rPr>
          <w:lang w:val="sk-SK"/>
        </w:rPr>
      </w:pPr>
    </w:p>
    <w:p w:rsidR="00784A7D" w:rsidRPr="007D180D" w:rsidRDefault="00D56571" w:rsidP="0072168C">
      <w:pPr>
        <w:autoSpaceDE w:val="0"/>
        <w:autoSpaceDN w:val="0"/>
        <w:adjustRightInd w:val="0"/>
        <w:rPr>
          <w:snapToGrid w:val="0"/>
          <w:szCs w:val="22"/>
          <w:lang w:val="sk-SK" w:eastAsia="de-DE"/>
        </w:rPr>
      </w:pPr>
      <w:r>
        <w:rPr>
          <w:snapToGrid w:val="0"/>
          <w:szCs w:val="22"/>
          <w:lang w:val="sk-SK" w:eastAsia="de-DE"/>
        </w:rPr>
        <w:t xml:space="preserve">Počas liečby </w:t>
      </w:r>
      <w:proofErr w:type="spellStart"/>
      <w:r>
        <w:rPr>
          <w:snapToGrid w:val="0"/>
          <w:szCs w:val="22"/>
          <w:lang w:val="sk-SK" w:eastAsia="de-DE"/>
        </w:rPr>
        <w:t>metotrexátom</w:t>
      </w:r>
      <w:proofErr w:type="spellEnd"/>
      <w:r>
        <w:rPr>
          <w:snapToGrid w:val="0"/>
          <w:szCs w:val="22"/>
          <w:lang w:val="sk-SK" w:eastAsia="de-DE"/>
        </w:rPr>
        <w:t xml:space="preserve"> je potrebné sa vyhýbať nadmernej konzumácii nápojov s obsahom kofeínu alebo </w:t>
      </w:r>
      <w:proofErr w:type="spellStart"/>
      <w:r>
        <w:rPr>
          <w:snapToGrid w:val="0"/>
          <w:szCs w:val="22"/>
          <w:lang w:val="sk-SK" w:eastAsia="de-DE"/>
        </w:rPr>
        <w:t>teofylínu</w:t>
      </w:r>
      <w:proofErr w:type="spellEnd"/>
      <w:r>
        <w:rPr>
          <w:snapToGrid w:val="0"/>
          <w:szCs w:val="22"/>
          <w:lang w:val="sk-SK" w:eastAsia="de-DE"/>
        </w:rPr>
        <w:t xml:space="preserve"> (káva, nealkoholické nápoje s obsahom kofeínu, čierny čaj).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2"/>
        <w:rPr>
          <w:szCs w:val="22"/>
          <w:lang w:val="sk-SK"/>
        </w:rPr>
      </w:pPr>
      <w:proofErr w:type="spellStart"/>
      <w:r>
        <w:rPr>
          <w:lang w:val="sk-SK"/>
        </w:rPr>
        <w:t>Fertilita</w:t>
      </w:r>
      <w:proofErr w:type="spellEnd"/>
      <w:r>
        <w:rPr>
          <w:lang w:val="sk-SK"/>
        </w:rPr>
        <w:t xml:space="preserve">, </w:t>
      </w:r>
      <w:r>
        <w:rPr>
          <w:szCs w:val="22"/>
          <w:lang w:val="sk-SK"/>
        </w:rPr>
        <w:t>gravidita a laktácia</w:t>
      </w:r>
    </w:p>
    <w:p w:rsidR="00784A7D" w:rsidRPr="007D180D" w:rsidRDefault="00784A7D" w:rsidP="0072168C">
      <w:pPr>
        <w:rPr>
          <w:szCs w:val="22"/>
          <w:u w:val="single"/>
          <w:lang w:val="sk-SK"/>
        </w:rPr>
      </w:pPr>
    </w:p>
    <w:p w:rsidR="009D37A4" w:rsidRPr="007D180D" w:rsidRDefault="00D56571">
      <w:pPr>
        <w:rPr>
          <w:u w:val="single"/>
          <w:lang w:val="sk-SK"/>
        </w:rPr>
      </w:pPr>
      <w:r>
        <w:rPr>
          <w:u w:val="single"/>
          <w:lang w:val="sk-SK"/>
        </w:rPr>
        <w:t>Gravidita</w:t>
      </w:r>
    </w:p>
    <w:p w:rsidR="00D30A74" w:rsidRPr="007D180D" w:rsidRDefault="00D30A74">
      <w:pPr>
        <w:rPr>
          <w:szCs w:val="22"/>
          <w:u w:val="single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proofErr w:type="spellStart"/>
      <w:r>
        <w:rPr>
          <w:szCs w:val="22"/>
          <w:lang w:val="sk-SK"/>
        </w:rPr>
        <w:t>Injexate</w:t>
      </w:r>
      <w:proofErr w:type="spellEnd"/>
      <w:r>
        <w:rPr>
          <w:szCs w:val="22"/>
          <w:lang w:val="sk-SK"/>
        </w:rPr>
        <w:t xml:space="preserve"> je kontraindikovaný počas gravidity (pozri časť 4.3). Štúdie na zvieratách preukázali reprodukčnú toxicitu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 (pozri časť 5.3). </w:t>
      </w:r>
      <w:proofErr w:type="spellStart"/>
      <w:r>
        <w:rPr>
          <w:szCs w:val="22"/>
          <w:lang w:val="sk-SK"/>
        </w:rPr>
        <w:t>Metotrexát</w:t>
      </w:r>
      <w:proofErr w:type="spellEnd"/>
      <w:r>
        <w:rPr>
          <w:szCs w:val="22"/>
          <w:lang w:val="sk-SK"/>
        </w:rPr>
        <w:t xml:space="preserve"> sa ukázal ako </w:t>
      </w:r>
      <w:proofErr w:type="spellStart"/>
      <w:r>
        <w:rPr>
          <w:szCs w:val="22"/>
          <w:lang w:val="sk-SK"/>
        </w:rPr>
        <w:t>teratogénny</w:t>
      </w:r>
      <w:proofErr w:type="spellEnd"/>
      <w:r>
        <w:rPr>
          <w:szCs w:val="22"/>
          <w:lang w:val="sk-SK"/>
        </w:rPr>
        <w:t xml:space="preserve"> u ľudí; boli hlásené prípady úmrtia plodu a/alebo </w:t>
      </w:r>
      <w:proofErr w:type="spellStart"/>
      <w:r>
        <w:rPr>
          <w:szCs w:val="22"/>
          <w:lang w:val="sk-SK"/>
        </w:rPr>
        <w:t>kongenitálnych</w:t>
      </w:r>
      <w:proofErr w:type="spellEnd"/>
      <w:r>
        <w:rPr>
          <w:szCs w:val="22"/>
          <w:lang w:val="sk-SK"/>
        </w:rPr>
        <w:t xml:space="preserve"> abnormalít. Expozícia limitovaného počtu gravidných žien (42) viedla k zvýšenému výskytu (1:14) </w:t>
      </w:r>
      <w:proofErr w:type="spellStart"/>
      <w:r>
        <w:rPr>
          <w:szCs w:val="22"/>
          <w:lang w:val="sk-SK"/>
        </w:rPr>
        <w:t>malformácií</w:t>
      </w:r>
      <w:proofErr w:type="spellEnd"/>
      <w:r>
        <w:rPr>
          <w:szCs w:val="22"/>
          <w:lang w:val="sk-SK"/>
        </w:rPr>
        <w:t xml:space="preserve"> (</w:t>
      </w:r>
      <w:proofErr w:type="spellStart"/>
      <w:r>
        <w:rPr>
          <w:szCs w:val="22"/>
          <w:lang w:val="sk-SK"/>
        </w:rPr>
        <w:t>kraniálnych</w:t>
      </w:r>
      <w:proofErr w:type="spellEnd"/>
      <w:r>
        <w:rPr>
          <w:szCs w:val="22"/>
          <w:lang w:val="sk-SK"/>
        </w:rPr>
        <w:t xml:space="preserve">, kardiovaskulárnych a </w:t>
      </w:r>
      <w:proofErr w:type="spellStart"/>
      <w:r>
        <w:rPr>
          <w:szCs w:val="22"/>
          <w:lang w:val="sk-SK"/>
        </w:rPr>
        <w:t>malformácií</w:t>
      </w:r>
      <w:proofErr w:type="spellEnd"/>
      <w:r>
        <w:rPr>
          <w:szCs w:val="22"/>
          <w:lang w:val="sk-SK"/>
        </w:rPr>
        <w:t xml:space="preserve"> končatín). Ak bola liečba </w:t>
      </w:r>
      <w:proofErr w:type="spellStart"/>
      <w:r>
        <w:rPr>
          <w:szCs w:val="22"/>
          <w:lang w:val="sk-SK"/>
        </w:rPr>
        <w:t>metotrexátom</w:t>
      </w:r>
      <w:proofErr w:type="spellEnd"/>
      <w:r>
        <w:rPr>
          <w:szCs w:val="22"/>
          <w:lang w:val="sk-SK"/>
        </w:rPr>
        <w:t xml:space="preserve"> ukončená pred počatím, boli hlásené normálne gravidity. Ženy nesmú otehotnieť počas liečby </w:t>
      </w:r>
      <w:proofErr w:type="spellStart"/>
      <w:r>
        <w:rPr>
          <w:szCs w:val="22"/>
          <w:lang w:val="sk-SK"/>
        </w:rPr>
        <w:t>metotrexátom</w:t>
      </w:r>
      <w:proofErr w:type="spellEnd"/>
      <w:r>
        <w:rPr>
          <w:szCs w:val="22"/>
          <w:lang w:val="sk-SK"/>
        </w:rPr>
        <w:t xml:space="preserve">. V prípade, že ženy otehotnejú počas liečby, vyžaduje sa zdravotnícke poradenstvo o riziku nežiaducich reakcií pre dieťa, ktoré súvisí s liečbou </w:t>
      </w:r>
      <w:proofErr w:type="spellStart"/>
      <w:r>
        <w:rPr>
          <w:szCs w:val="22"/>
          <w:lang w:val="sk-SK"/>
        </w:rPr>
        <w:t>metotrexátom</w:t>
      </w:r>
      <w:proofErr w:type="spellEnd"/>
      <w:r>
        <w:rPr>
          <w:szCs w:val="22"/>
          <w:lang w:val="sk-SK"/>
        </w:rPr>
        <w:t xml:space="preserve">. Preto pacienti v sexuálne zrelom veku (ženy a muži) musia používať účinnú antikoncepciu počas liečby liekom </w:t>
      </w:r>
      <w:proofErr w:type="spellStart"/>
      <w:r>
        <w:rPr>
          <w:szCs w:val="22"/>
          <w:lang w:val="sk-SK"/>
        </w:rPr>
        <w:t>Injexate</w:t>
      </w:r>
      <w:proofErr w:type="spellEnd"/>
      <w:r>
        <w:rPr>
          <w:szCs w:val="22"/>
          <w:lang w:val="sk-SK"/>
        </w:rPr>
        <w:t xml:space="preserve"> a najmenej 6 mesiacov po jej ukončení (pozri časť 4.4). 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>U žien vo fertilnom veku musí byť tehotenstvo pomocou zaručených metód s určitosťou vylúčené, napr. tehotenským testom pred začatím liečby.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9D37A4" w:rsidRPr="007D180D" w:rsidRDefault="00D56571">
      <w:pPr>
        <w:rPr>
          <w:u w:val="single"/>
          <w:lang w:val="sk-SK"/>
        </w:rPr>
      </w:pPr>
      <w:r>
        <w:rPr>
          <w:u w:val="single"/>
          <w:lang w:val="sk-SK"/>
        </w:rPr>
        <w:t>Dojčenie</w:t>
      </w:r>
    </w:p>
    <w:p w:rsidR="00F64096" w:rsidRPr="007D180D" w:rsidRDefault="00F64096">
      <w:pPr>
        <w:rPr>
          <w:szCs w:val="22"/>
          <w:u w:val="single"/>
          <w:lang w:val="sk-SK"/>
        </w:rPr>
      </w:pPr>
    </w:p>
    <w:p w:rsidR="009D37A4" w:rsidRPr="007D180D" w:rsidRDefault="00D56571" w:rsidP="0072168C">
      <w:pPr>
        <w:rPr>
          <w:szCs w:val="22"/>
          <w:lang w:val="sk-SK"/>
        </w:rPr>
      </w:pPr>
      <w:proofErr w:type="spellStart"/>
      <w:r>
        <w:rPr>
          <w:szCs w:val="22"/>
          <w:lang w:val="sk-SK"/>
        </w:rPr>
        <w:t>Metotrexát</w:t>
      </w:r>
      <w:proofErr w:type="spellEnd"/>
      <w:r>
        <w:rPr>
          <w:szCs w:val="22"/>
          <w:lang w:val="sk-SK"/>
        </w:rPr>
        <w:t xml:space="preserve"> sa vylučuje do materského mlieka v koncentráciách, ktoré sú rizikové pre dojča, a preto sa má dojčenie pred podávaním a počas podávania prerušiť.</w:t>
      </w:r>
    </w:p>
    <w:p w:rsidR="009D37A4" w:rsidRPr="007D180D" w:rsidRDefault="009D37A4" w:rsidP="0072168C">
      <w:pPr>
        <w:rPr>
          <w:szCs w:val="22"/>
          <w:lang w:val="sk-SK"/>
        </w:rPr>
      </w:pPr>
    </w:p>
    <w:p w:rsidR="009D37A4" w:rsidRPr="007D180D" w:rsidRDefault="00D56571">
      <w:pPr>
        <w:rPr>
          <w:szCs w:val="22"/>
          <w:u w:val="single"/>
          <w:lang w:val="sk-SK"/>
        </w:rPr>
      </w:pPr>
      <w:proofErr w:type="spellStart"/>
      <w:r>
        <w:rPr>
          <w:u w:val="single"/>
          <w:lang w:val="sk-SK"/>
        </w:rPr>
        <w:t>Fertilita</w:t>
      </w:r>
      <w:proofErr w:type="spellEnd"/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lastRenderedPageBreak/>
        <w:t xml:space="preserve">Keďže </w:t>
      </w:r>
      <w:proofErr w:type="spellStart"/>
      <w:r>
        <w:rPr>
          <w:szCs w:val="22"/>
          <w:lang w:val="sk-SK"/>
        </w:rPr>
        <w:t>metotrexát</w:t>
      </w:r>
      <w:proofErr w:type="spellEnd"/>
      <w:r>
        <w:rPr>
          <w:szCs w:val="22"/>
          <w:lang w:val="sk-SK"/>
        </w:rPr>
        <w:t xml:space="preserve"> môže byť </w:t>
      </w:r>
      <w:proofErr w:type="spellStart"/>
      <w:r>
        <w:rPr>
          <w:szCs w:val="22"/>
          <w:lang w:val="sk-SK"/>
        </w:rPr>
        <w:t>genotoxický</w:t>
      </w:r>
      <w:proofErr w:type="spellEnd"/>
      <w:r>
        <w:rPr>
          <w:szCs w:val="22"/>
          <w:lang w:val="sk-SK"/>
        </w:rPr>
        <w:t>, odporúča sa všetkým ženám, ktoré chcú otehotnieť, ak je to možné už pred začatím liečby konzultácia s genetickým poradenským centrom a mužom, aby sa pred začatím liečby poradili o možnosti uchovania spermií.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2"/>
        <w:rPr>
          <w:szCs w:val="22"/>
          <w:lang w:val="sk-SK"/>
        </w:rPr>
      </w:pPr>
      <w:r>
        <w:rPr>
          <w:szCs w:val="22"/>
          <w:lang w:val="sk-SK"/>
        </w:rPr>
        <w:t>Ovplyvnenie schopnosti viesť vozidlá a obsluhovať stroje</w:t>
      </w:r>
    </w:p>
    <w:p w:rsidR="00784A7D" w:rsidRPr="007D180D" w:rsidRDefault="00784A7D" w:rsidP="0072168C">
      <w:pPr>
        <w:keepNext/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Počas liečby sa môžu objaviť centrálne nervové príznaky, ako je únava a závrat. </w:t>
      </w:r>
      <w:proofErr w:type="spellStart"/>
      <w:r>
        <w:rPr>
          <w:szCs w:val="22"/>
          <w:lang w:val="sk-SK"/>
        </w:rPr>
        <w:t>Injexate</w:t>
      </w:r>
      <w:proofErr w:type="spellEnd"/>
      <w:r>
        <w:rPr>
          <w:szCs w:val="22"/>
          <w:lang w:val="sk-SK"/>
        </w:rPr>
        <w:t xml:space="preserve"> má malý alebo mierny vplyv na schopnosť viesť vozidlá a obsluhovať stroje.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9E21B7">
      <w:pPr>
        <w:pStyle w:val="Nadpis2"/>
        <w:keepLines/>
        <w:rPr>
          <w:szCs w:val="22"/>
          <w:lang w:val="sk-SK"/>
        </w:rPr>
      </w:pPr>
      <w:r>
        <w:rPr>
          <w:szCs w:val="22"/>
          <w:lang w:val="sk-SK"/>
        </w:rPr>
        <w:t>Nežiaduce účinky</w:t>
      </w:r>
    </w:p>
    <w:p w:rsidR="00784A7D" w:rsidRPr="007D180D" w:rsidRDefault="00784A7D" w:rsidP="009E21B7">
      <w:pPr>
        <w:keepNext/>
        <w:keepLines/>
        <w:rPr>
          <w:szCs w:val="22"/>
          <w:lang w:val="sk-SK"/>
        </w:rPr>
      </w:pPr>
    </w:p>
    <w:p w:rsidR="00784A7D" w:rsidRPr="007D180D" w:rsidRDefault="00D56571" w:rsidP="009E21B7">
      <w:pPr>
        <w:keepNext/>
        <w:keepLines/>
        <w:rPr>
          <w:szCs w:val="22"/>
          <w:lang w:val="sk-SK"/>
        </w:rPr>
      </w:pPr>
      <w:r>
        <w:rPr>
          <w:szCs w:val="22"/>
          <w:lang w:val="sk-SK"/>
        </w:rPr>
        <w:t xml:space="preserve">Najvýznamnejšie nežiaduce účinky sú </w:t>
      </w:r>
      <w:proofErr w:type="spellStart"/>
      <w:r>
        <w:rPr>
          <w:szCs w:val="22"/>
          <w:lang w:val="sk-SK"/>
        </w:rPr>
        <w:t>supresia</w:t>
      </w:r>
      <w:proofErr w:type="spellEnd"/>
      <w:r>
        <w:rPr>
          <w:szCs w:val="22"/>
          <w:lang w:val="sk-SK"/>
        </w:rPr>
        <w:t xml:space="preserve"> krvotvorného systému a </w:t>
      </w:r>
      <w:proofErr w:type="spellStart"/>
      <w:r>
        <w:rPr>
          <w:szCs w:val="22"/>
          <w:lang w:val="sk-SK"/>
        </w:rPr>
        <w:t>gastrointestinálne</w:t>
      </w:r>
      <w:proofErr w:type="spellEnd"/>
      <w:r>
        <w:rPr>
          <w:szCs w:val="22"/>
          <w:lang w:val="sk-SK"/>
        </w:rPr>
        <w:t xml:space="preserve"> poruchy.</w:t>
      </w:r>
    </w:p>
    <w:p w:rsidR="00784A7D" w:rsidRPr="007D180D" w:rsidRDefault="00784A7D" w:rsidP="009E21B7">
      <w:pPr>
        <w:keepNext/>
        <w:keepLines/>
        <w:rPr>
          <w:szCs w:val="22"/>
          <w:lang w:val="sk-SK"/>
        </w:rPr>
      </w:pPr>
    </w:p>
    <w:p w:rsidR="00784A7D" w:rsidRPr="007D180D" w:rsidRDefault="00D56571" w:rsidP="009E21B7">
      <w:pPr>
        <w:keepNext/>
        <w:keepLines/>
        <w:rPr>
          <w:szCs w:val="22"/>
          <w:lang w:val="sk-SK"/>
        </w:rPr>
      </w:pPr>
      <w:r>
        <w:rPr>
          <w:szCs w:val="22"/>
          <w:lang w:val="sk-SK"/>
        </w:rPr>
        <w:t>Nasledovné názvy sa používajú na zoradenie nežiaducich účinkov podľa frekvencie:</w:t>
      </w:r>
    </w:p>
    <w:p w:rsidR="00F64096" w:rsidRPr="007D180D" w:rsidRDefault="00F64096" w:rsidP="009E21B7">
      <w:pPr>
        <w:keepNext/>
        <w:keepLines/>
        <w:rPr>
          <w:szCs w:val="22"/>
          <w:lang w:val="sk-SK"/>
        </w:rPr>
      </w:pPr>
    </w:p>
    <w:p w:rsidR="00784A7D" w:rsidRPr="007D180D" w:rsidRDefault="00D56571" w:rsidP="009E21B7">
      <w:pPr>
        <w:keepNext/>
        <w:keepLines/>
        <w:rPr>
          <w:szCs w:val="22"/>
          <w:lang w:val="sk-SK"/>
        </w:rPr>
      </w:pPr>
      <w:r>
        <w:rPr>
          <w:szCs w:val="22"/>
          <w:lang w:val="sk-SK"/>
        </w:rPr>
        <w:t>Veľmi časté (</w:t>
      </w:r>
      <w:r>
        <w:rPr>
          <w:szCs w:val="22"/>
          <w:lang w:val="sk-SK"/>
        </w:rPr>
        <w:sym w:font="Symbol" w:char="F0B3"/>
      </w:r>
      <w:r>
        <w:rPr>
          <w:szCs w:val="22"/>
          <w:lang w:val="sk-SK"/>
        </w:rPr>
        <w:t> 1/10), časté (</w:t>
      </w:r>
      <w:r>
        <w:rPr>
          <w:szCs w:val="22"/>
          <w:lang w:val="sk-SK"/>
        </w:rPr>
        <w:sym w:font="Symbol" w:char="F0B3"/>
      </w:r>
      <w:r>
        <w:rPr>
          <w:szCs w:val="22"/>
          <w:lang w:val="sk-SK"/>
        </w:rPr>
        <w:t> 1/100 až &lt; 1/10), menej časté (</w:t>
      </w:r>
      <w:r>
        <w:rPr>
          <w:szCs w:val="22"/>
          <w:lang w:val="sk-SK"/>
        </w:rPr>
        <w:sym w:font="Symbol" w:char="F0B3"/>
      </w:r>
      <w:r>
        <w:rPr>
          <w:szCs w:val="22"/>
          <w:lang w:val="sk-SK"/>
        </w:rPr>
        <w:t> 1/1000 až &lt; 1/100), zriedkavé (</w:t>
      </w:r>
      <w:r>
        <w:rPr>
          <w:szCs w:val="22"/>
          <w:lang w:val="sk-SK"/>
        </w:rPr>
        <w:sym w:font="Symbol" w:char="F0B3"/>
      </w:r>
      <w:r>
        <w:rPr>
          <w:szCs w:val="22"/>
          <w:lang w:val="sk-SK"/>
        </w:rPr>
        <w:t> 1/10 000 až &lt; 1/1000), veľmi zriedkavé (&lt; 1/10 000), neznáme (z dostupných údajov)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9D37A4" w:rsidRPr="007D180D" w:rsidRDefault="00D56571" w:rsidP="009D37A4">
      <w:pPr>
        <w:pStyle w:val="Nadpis3"/>
        <w:rPr>
          <w:szCs w:val="22"/>
          <w:lang w:val="sk-SK"/>
        </w:rPr>
      </w:pPr>
      <w:r>
        <w:rPr>
          <w:szCs w:val="22"/>
          <w:lang w:val="sk-SK"/>
        </w:rPr>
        <w:t>Benígne a malígne nádory, vrátane nešpecifikovaných novotvarov (cysty a polypy)</w:t>
      </w:r>
    </w:p>
    <w:p w:rsidR="00F64096" w:rsidRPr="007D180D" w:rsidRDefault="00F64096" w:rsidP="009D37A4">
      <w:pPr>
        <w:rPr>
          <w:szCs w:val="22"/>
          <w:lang w:val="sk-SK"/>
        </w:rPr>
      </w:pPr>
    </w:p>
    <w:p w:rsidR="009D37A4" w:rsidRPr="007D180D" w:rsidRDefault="00D56571" w:rsidP="009D37A4">
      <w:pPr>
        <w:rPr>
          <w:szCs w:val="22"/>
          <w:lang w:val="sk-SK"/>
        </w:rPr>
      </w:pPr>
      <w:r>
        <w:rPr>
          <w:szCs w:val="22"/>
          <w:lang w:val="sk-SK"/>
        </w:rPr>
        <w:t xml:space="preserve">Veľmi zriedkavé: Boli hlásené jednotlivé prípady </w:t>
      </w:r>
      <w:proofErr w:type="spellStart"/>
      <w:r>
        <w:rPr>
          <w:szCs w:val="22"/>
          <w:lang w:val="sk-SK"/>
        </w:rPr>
        <w:t>lymfómu</w:t>
      </w:r>
      <w:proofErr w:type="spellEnd"/>
      <w:r>
        <w:rPr>
          <w:szCs w:val="22"/>
          <w:lang w:val="sk-SK"/>
        </w:rPr>
        <w:t xml:space="preserve">, ktorý v mnohých prípadoch ustúpil po tom, čo bola liečba </w:t>
      </w:r>
      <w:proofErr w:type="spellStart"/>
      <w:r>
        <w:rPr>
          <w:szCs w:val="22"/>
          <w:lang w:val="sk-SK"/>
        </w:rPr>
        <w:t>metotrexátom</w:t>
      </w:r>
      <w:proofErr w:type="spellEnd"/>
      <w:r>
        <w:rPr>
          <w:szCs w:val="22"/>
          <w:lang w:val="sk-SK"/>
        </w:rPr>
        <w:t xml:space="preserve"> prerušená. V nedávnej štúdii sa nepotvrdilo, že liečba </w:t>
      </w:r>
      <w:proofErr w:type="spellStart"/>
      <w:r>
        <w:rPr>
          <w:szCs w:val="22"/>
          <w:lang w:val="sk-SK"/>
        </w:rPr>
        <w:t>metotrexátom</w:t>
      </w:r>
      <w:proofErr w:type="spellEnd"/>
      <w:r>
        <w:rPr>
          <w:szCs w:val="22"/>
          <w:lang w:val="sk-SK"/>
        </w:rPr>
        <w:t xml:space="preserve"> zvyšuje výskyt </w:t>
      </w:r>
      <w:proofErr w:type="spellStart"/>
      <w:r>
        <w:rPr>
          <w:szCs w:val="22"/>
          <w:lang w:val="sk-SK"/>
        </w:rPr>
        <w:t>lymfómov</w:t>
      </w:r>
      <w:proofErr w:type="spellEnd"/>
      <w:r>
        <w:rPr>
          <w:szCs w:val="22"/>
          <w:lang w:val="sk-SK"/>
        </w:rPr>
        <w:t>.</w:t>
      </w:r>
    </w:p>
    <w:p w:rsidR="009D37A4" w:rsidRPr="007D180D" w:rsidRDefault="009D37A4" w:rsidP="0072168C">
      <w:pPr>
        <w:pStyle w:val="Nadpis3"/>
        <w:rPr>
          <w:szCs w:val="22"/>
          <w:lang w:val="sk-SK"/>
        </w:rPr>
      </w:pPr>
    </w:p>
    <w:p w:rsidR="009D37A4" w:rsidRPr="007D180D" w:rsidRDefault="00D56571" w:rsidP="009D37A4">
      <w:pPr>
        <w:pStyle w:val="Nadpis3"/>
        <w:rPr>
          <w:szCs w:val="22"/>
          <w:lang w:val="sk-SK"/>
        </w:rPr>
      </w:pPr>
      <w:r>
        <w:rPr>
          <w:szCs w:val="22"/>
          <w:lang w:val="sk-SK"/>
        </w:rPr>
        <w:t>Poruchy krvi a lymfatického systému</w:t>
      </w:r>
    </w:p>
    <w:p w:rsidR="00F64096" w:rsidRPr="007D180D" w:rsidRDefault="00F64096" w:rsidP="009D37A4">
      <w:pPr>
        <w:rPr>
          <w:szCs w:val="22"/>
          <w:lang w:val="sk-SK"/>
        </w:rPr>
      </w:pPr>
    </w:p>
    <w:p w:rsidR="009D37A4" w:rsidRPr="007D180D" w:rsidRDefault="00D56571" w:rsidP="009D37A4">
      <w:pPr>
        <w:rPr>
          <w:szCs w:val="22"/>
          <w:lang w:val="sk-SK"/>
        </w:rPr>
      </w:pPr>
      <w:r>
        <w:rPr>
          <w:szCs w:val="22"/>
          <w:lang w:val="sk-SK"/>
        </w:rPr>
        <w:t xml:space="preserve">Časté: </w:t>
      </w:r>
      <w:proofErr w:type="spellStart"/>
      <w:r>
        <w:rPr>
          <w:szCs w:val="22"/>
          <w:lang w:val="sk-SK"/>
        </w:rPr>
        <w:t>leukopénia</w:t>
      </w:r>
      <w:proofErr w:type="spellEnd"/>
      <w:r>
        <w:rPr>
          <w:szCs w:val="22"/>
          <w:lang w:val="sk-SK"/>
        </w:rPr>
        <w:t xml:space="preserve">, anémia, </w:t>
      </w:r>
      <w:proofErr w:type="spellStart"/>
      <w:r>
        <w:rPr>
          <w:szCs w:val="22"/>
          <w:lang w:val="sk-SK"/>
        </w:rPr>
        <w:t>trombopénia</w:t>
      </w:r>
      <w:proofErr w:type="spellEnd"/>
      <w:r>
        <w:rPr>
          <w:szCs w:val="22"/>
          <w:lang w:val="sk-SK"/>
        </w:rPr>
        <w:t>.</w:t>
      </w:r>
    </w:p>
    <w:p w:rsidR="009D37A4" w:rsidRPr="007D180D" w:rsidRDefault="00D56571" w:rsidP="009D37A4">
      <w:pPr>
        <w:rPr>
          <w:szCs w:val="22"/>
          <w:lang w:val="sk-SK"/>
        </w:rPr>
      </w:pPr>
      <w:r>
        <w:rPr>
          <w:szCs w:val="22"/>
          <w:lang w:val="sk-SK"/>
        </w:rPr>
        <w:t xml:space="preserve">Menej časté: </w:t>
      </w:r>
      <w:proofErr w:type="spellStart"/>
      <w:r>
        <w:rPr>
          <w:szCs w:val="22"/>
          <w:lang w:val="sk-SK"/>
        </w:rPr>
        <w:t>pancytopénia</w:t>
      </w:r>
      <w:proofErr w:type="spellEnd"/>
      <w:r>
        <w:rPr>
          <w:szCs w:val="22"/>
          <w:lang w:val="sk-SK"/>
        </w:rPr>
        <w:t>.</w:t>
      </w:r>
    </w:p>
    <w:p w:rsidR="009D37A4" w:rsidRPr="007D180D" w:rsidRDefault="00D56571" w:rsidP="009D37A4">
      <w:pPr>
        <w:rPr>
          <w:szCs w:val="22"/>
          <w:lang w:val="sk-SK"/>
        </w:rPr>
      </w:pPr>
      <w:r>
        <w:rPr>
          <w:szCs w:val="22"/>
          <w:lang w:val="sk-SK"/>
        </w:rPr>
        <w:t xml:space="preserve">Veľmi zriedkavé: </w:t>
      </w:r>
      <w:proofErr w:type="spellStart"/>
      <w:r>
        <w:rPr>
          <w:szCs w:val="22"/>
          <w:lang w:val="sk-SK"/>
        </w:rPr>
        <w:t>agranulocytóza</w:t>
      </w:r>
      <w:proofErr w:type="spellEnd"/>
      <w:r>
        <w:rPr>
          <w:szCs w:val="22"/>
          <w:lang w:val="sk-SK"/>
        </w:rPr>
        <w:t>, závažné stavy depresie kostnej drene.</w:t>
      </w:r>
    </w:p>
    <w:p w:rsidR="009D37A4" w:rsidRPr="007D180D" w:rsidRDefault="009D37A4" w:rsidP="009D37A4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3"/>
        <w:rPr>
          <w:szCs w:val="22"/>
          <w:lang w:val="sk-SK"/>
        </w:rPr>
      </w:pPr>
      <w:r>
        <w:rPr>
          <w:szCs w:val="22"/>
          <w:lang w:val="sk-SK"/>
        </w:rPr>
        <w:t xml:space="preserve">Poruchy metabolizmu a výživy </w:t>
      </w:r>
    </w:p>
    <w:p w:rsidR="00F64096" w:rsidRPr="007D180D" w:rsidRDefault="00F64096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Menej časté: </w:t>
      </w:r>
      <w:proofErr w:type="spellStart"/>
      <w:r>
        <w:rPr>
          <w:szCs w:val="22"/>
          <w:lang w:val="sk-SK"/>
        </w:rPr>
        <w:t>precipitácia</w:t>
      </w:r>
      <w:proofErr w:type="spellEnd"/>
      <w:r>
        <w:rPr>
          <w:szCs w:val="22"/>
          <w:lang w:val="sk-SK"/>
        </w:rPr>
        <w:t xml:space="preserve"> diabetu. 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3"/>
        <w:rPr>
          <w:szCs w:val="22"/>
          <w:lang w:val="sk-SK"/>
        </w:rPr>
      </w:pPr>
      <w:r>
        <w:rPr>
          <w:szCs w:val="22"/>
          <w:lang w:val="sk-SK"/>
        </w:rPr>
        <w:t>Poruchy nervového systému</w:t>
      </w:r>
    </w:p>
    <w:p w:rsidR="00F64096" w:rsidRPr="007D180D" w:rsidRDefault="00F64096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>Časté: bolesť hlavy, únava, ospalosť.</w:t>
      </w: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>Menej časté: závrat, zmätenosť, depresia.</w:t>
      </w: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Veľmi zriedkavé: poškodenie zraku, bolesť, </w:t>
      </w:r>
      <w:proofErr w:type="spellStart"/>
      <w:r>
        <w:rPr>
          <w:szCs w:val="22"/>
          <w:lang w:val="sk-SK"/>
        </w:rPr>
        <w:t>muskulárna</w:t>
      </w:r>
      <w:proofErr w:type="spellEnd"/>
      <w:r>
        <w:rPr>
          <w:szCs w:val="22"/>
          <w:lang w:val="sk-SK"/>
        </w:rPr>
        <w:t xml:space="preserve"> asténia alebo </w:t>
      </w:r>
      <w:proofErr w:type="spellStart"/>
      <w:r>
        <w:rPr>
          <w:szCs w:val="22"/>
          <w:lang w:val="sk-SK"/>
        </w:rPr>
        <w:t>parestézia</w:t>
      </w:r>
      <w:proofErr w:type="spellEnd"/>
      <w:r>
        <w:rPr>
          <w:szCs w:val="22"/>
          <w:lang w:val="sk-SK"/>
        </w:rPr>
        <w:t xml:space="preserve"> v končatinách, zmeny vo vnímaní chuti (kovová pachuť), kŕče, </w:t>
      </w:r>
      <w:proofErr w:type="spellStart"/>
      <w:r>
        <w:rPr>
          <w:szCs w:val="22"/>
          <w:lang w:val="sk-SK"/>
        </w:rPr>
        <w:t>meningitída</w:t>
      </w:r>
      <w:proofErr w:type="spellEnd"/>
      <w:r>
        <w:rPr>
          <w:szCs w:val="22"/>
          <w:lang w:val="sk-SK"/>
        </w:rPr>
        <w:t>, paralýza.</w:t>
      </w:r>
    </w:p>
    <w:p w:rsidR="00F64096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Neznáme: </w:t>
      </w:r>
      <w:proofErr w:type="spellStart"/>
      <w:r>
        <w:rPr>
          <w:szCs w:val="22"/>
          <w:lang w:val="sk-SK"/>
        </w:rPr>
        <w:t>leukoencefalopatia</w:t>
      </w:r>
      <w:proofErr w:type="spellEnd"/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3"/>
        <w:rPr>
          <w:szCs w:val="22"/>
          <w:lang w:val="sk-SK"/>
        </w:rPr>
      </w:pPr>
      <w:r>
        <w:rPr>
          <w:szCs w:val="22"/>
          <w:lang w:val="sk-SK"/>
        </w:rPr>
        <w:t>Poruchy oka</w:t>
      </w:r>
    </w:p>
    <w:p w:rsidR="00F64096" w:rsidRPr="007D180D" w:rsidRDefault="00F64096" w:rsidP="00F64096">
      <w:pPr>
        <w:rPr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Zriedkavé: zrakové poruchy. </w:t>
      </w: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Veľmi zriedkavé: </w:t>
      </w:r>
      <w:proofErr w:type="spellStart"/>
      <w:r>
        <w:rPr>
          <w:szCs w:val="22"/>
          <w:lang w:val="sk-SK"/>
        </w:rPr>
        <w:t>retinopatia</w:t>
      </w:r>
      <w:proofErr w:type="spellEnd"/>
      <w:r>
        <w:rPr>
          <w:szCs w:val="22"/>
          <w:lang w:val="sk-SK"/>
        </w:rPr>
        <w:t xml:space="preserve">. 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3"/>
        <w:rPr>
          <w:szCs w:val="22"/>
          <w:lang w:val="sk-SK"/>
        </w:rPr>
      </w:pPr>
      <w:r>
        <w:rPr>
          <w:szCs w:val="22"/>
          <w:lang w:val="sk-SK"/>
        </w:rPr>
        <w:t xml:space="preserve">Poruchy srdca a </w:t>
      </w:r>
      <w:r>
        <w:rPr>
          <w:bCs/>
          <w:szCs w:val="22"/>
          <w:lang w:val="sk-SK"/>
        </w:rPr>
        <w:t>srdcovej činnosti</w:t>
      </w:r>
    </w:p>
    <w:p w:rsidR="00F64096" w:rsidRPr="007D180D" w:rsidRDefault="00F64096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Zriedkavé: </w:t>
      </w:r>
      <w:proofErr w:type="spellStart"/>
      <w:r>
        <w:rPr>
          <w:szCs w:val="22"/>
          <w:lang w:val="sk-SK"/>
        </w:rPr>
        <w:t>perikarditída</w:t>
      </w:r>
      <w:proofErr w:type="spellEnd"/>
      <w:r>
        <w:rPr>
          <w:szCs w:val="22"/>
          <w:lang w:val="sk-SK"/>
        </w:rPr>
        <w:t xml:space="preserve">, </w:t>
      </w:r>
      <w:proofErr w:type="spellStart"/>
      <w:r>
        <w:rPr>
          <w:szCs w:val="22"/>
          <w:lang w:val="sk-SK"/>
        </w:rPr>
        <w:t>perikardiálny</w:t>
      </w:r>
      <w:proofErr w:type="spellEnd"/>
      <w:r>
        <w:rPr>
          <w:szCs w:val="22"/>
          <w:lang w:val="sk-SK"/>
        </w:rPr>
        <w:t xml:space="preserve"> výpotok, </w:t>
      </w:r>
      <w:proofErr w:type="spellStart"/>
      <w:r>
        <w:rPr>
          <w:szCs w:val="22"/>
          <w:lang w:val="sk-SK"/>
        </w:rPr>
        <w:t>perikardiálna</w:t>
      </w:r>
      <w:proofErr w:type="spellEnd"/>
      <w:r>
        <w:rPr>
          <w:szCs w:val="22"/>
          <w:lang w:val="sk-SK"/>
        </w:rPr>
        <w:t xml:space="preserve"> </w:t>
      </w:r>
      <w:proofErr w:type="spellStart"/>
      <w:r>
        <w:rPr>
          <w:szCs w:val="22"/>
          <w:lang w:val="sk-SK"/>
        </w:rPr>
        <w:t>tamponáda</w:t>
      </w:r>
      <w:proofErr w:type="spellEnd"/>
      <w:r>
        <w:rPr>
          <w:szCs w:val="22"/>
          <w:lang w:val="sk-SK"/>
        </w:rPr>
        <w:t>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3"/>
        <w:rPr>
          <w:szCs w:val="22"/>
          <w:lang w:val="sk-SK"/>
        </w:rPr>
      </w:pPr>
      <w:r>
        <w:rPr>
          <w:bCs/>
          <w:szCs w:val="22"/>
          <w:lang w:val="sk-SK"/>
        </w:rPr>
        <w:t>Poruchy ciev</w:t>
      </w: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Zriedkavé: hypotenzia, </w:t>
      </w:r>
      <w:proofErr w:type="spellStart"/>
      <w:r>
        <w:rPr>
          <w:szCs w:val="22"/>
          <w:lang w:val="sk-SK"/>
        </w:rPr>
        <w:t>tromboembolické</w:t>
      </w:r>
      <w:proofErr w:type="spellEnd"/>
      <w:r>
        <w:rPr>
          <w:szCs w:val="22"/>
          <w:lang w:val="sk-SK"/>
        </w:rPr>
        <w:t xml:space="preserve"> príhody.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3"/>
        <w:rPr>
          <w:szCs w:val="22"/>
          <w:lang w:val="sk-SK"/>
        </w:rPr>
      </w:pPr>
      <w:r>
        <w:rPr>
          <w:szCs w:val="22"/>
          <w:lang w:val="sk-SK"/>
        </w:rPr>
        <w:t xml:space="preserve">Poruchy dýchacej sústavy, hrudníka a </w:t>
      </w:r>
      <w:proofErr w:type="spellStart"/>
      <w:r>
        <w:rPr>
          <w:szCs w:val="22"/>
          <w:lang w:val="sk-SK"/>
        </w:rPr>
        <w:t>mediastína</w:t>
      </w:r>
      <w:proofErr w:type="spellEnd"/>
    </w:p>
    <w:p w:rsidR="00F64096" w:rsidRPr="007D180D" w:rsidRDefault="00F64096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lastRenderedPageBreak/>
        <w:t xml:space="preserve">Časté: pneumónia, </w:t>
      </w:r>
      <w:proofErr w:type="spellStart"/>
      <w:r>
        <w:rPr>
          <w:szCs w:val="22"/>
          <w:lang w:val="sk-SK"/>
        </w:rPr>
        <w:t>intersticiálna</w:t>
      </w:r>
      <w:proofErr w:type="spellEnd"/>
      <w:r>
        <w:rPr>
          <w:szCs w:val="22"/>
          <w:lang w:val="sk-SK"/>
        </w:rPr>
        <w:t xml:space="preserve"> </w:t>
      </w:r>
      <w:proofErr w:type="spellStart"/>
      <w:r>
        <w:rPr>
          <w:szCs w:val="22"/>
          <w:lang w:val="sk-SK"/>
        </w:rPr>
        <w:t>alveolitída</w:t>
      </w:r>
      <w:proofErr w:type="spellEnd"/>
      <w:r>
        <w:rPr>
          <w:szCs w:val="22"/>
          <w:lang w:val="sk-SK"/>
        </w:rPr>
        <w:t>/</w:t>
      </w:r>
      <w:proofErr w:type="spellStart"/>
      <w:r>
        <w:rPr>
          <w:szCs w:val="22"/>
          <w:lang w:val="sk-SK"/>
        </w:rPr>
        <w:t>pneumonitída</w:t>
      </w:r>
      <w:proofErr w:type="spellEnd"/>
      <w:r>
        <w:rPr>
          <w:szCs w:val="22"/>
          <w:lang w:val="sk-SK"/>
        </w:rPr>
        <w:t xml:space="preserve"> často spojená s </w:t>
      </w:r>
      <w:proofErr w:type="spellStart"/>
      <w:r>
        <w:rPr>
          <w:szCs w:val="22"/>
          <w:lang w:val="sk-SK"/>
        </w:rPr>
        <w:t>eozinofíliou</w:t>
      </w:r>
      <w:proofErr w:type="spellEnd"/>
      <w:r>
        <w:rPr>
          <w:szCs w:val="22"/>
          <w:lang w:val="sk-SK"/>
        </w:rPr>
        <w:t>. Príznaky poukazujúce na možné závažné poškodenie pľúc (</w:t>
      </w:r>
      <w:proofErr w:type="spellStart"/>
      <w:r>
        <w:rPr>
          <w:szCs w:val="22"/>
          <w:lang w:val="sk-SK"/>
        </w:rPr>
        <w:t>intersticiálna</w:t>
      </w:r>
      <w:proofErr w:type="spellEnd"/>
      <w:r>
        <w:rPr>
          <w:szCs w:val="22"/>
          <w:lang w:val="sk-SK"/>
        </w:rPr>
        <w:t xml:space="preserve"> </w:t>
      </w:r>
      <w:proofErr w:type="spellStart"/>
      <w:r>
        <w:rPr>
          <w:szCs w:val="22"/>
          <w:lang w:val="sk-SK"/>
        </w:rPr>
        <w:t>pneumonitída</w:t>
      </w:r>
      <w:proofErr w:type="spellEnd"/>
      <w:r>
        <w:rPr>
          <w:szCs w:val="22"/>
          <w:lang w:val="sk-SK"/>
        </w:rPr>
        <w:t xml:space="preserve">) sú: suchý, neproduktívny kašeľ, </w:t>
      </w:r>
      <w:proofErr w:type="spellStart"/>
      <w:r>
        <w:rPr>
          <w:szCs w:val="22"/>
          <w:lang w:val="sk-SK"/>
        </w:rPr>
        <w:t>dyspnoe</w:t>
      </w:r>
      <w:proofErr w:type="spellEnd"/>
      <w:r>
        <w:rPr>
          <w:szCs w:val="22"/>
          <w:lang w:val="sk-SK"/>
        </w:rPr>
        <w:t xml:space="preserve"> a horúčka.</w:t>
      </w: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Zriedkavé: </w:t>
      </w:r>
      <w:proofErr w:type="spellStart"/>
      <w:r>
        <w:rPr>
          <w:szCs w:val="22"/>
          <w:lang w:val="sk-SK"/>
        </w:rPr>
        <w:t>fibróza</w:t>
      </w:r>
      <w:proofErr w:type="spellEnd"/>
      <w:r>
        <w:rPr>
          <w:szCs w:val="22"/>
          <w:lang w:val="sk-SK"/>
        </w:rPr>
        <w:t xml:space="preserve"> pľúc, pneumónia spôsobená </w:t>
      </w:r>
      <w:proofErr w:type="spellStart"/>
      <w:r>
        <w:rPr>
          <w:i/>
          <w:szCs w:val="22"/>
          <w:lang w:val="sk-SK"/>
        </w:rPr>
        <w:t>Pneumocystis</w:t>
      </w:r>
      <w:proofErr w:type="spellEnd"/>
      <w:r>
        <w:rPr>
          <w:i/>
          <w:szCs w:val="22"/>
          <w:lang w:val="sk-SK"/>
        </w:rPr>
        <w:t xml:space="preserve"> </w:t>
      </w:r>
      <w:proofErr w:type="spellStart"/>
      <w:r>
        <w:rPr>
          <w:i/>
          <w:szCs w:val="22"/>
          <w:lang w:val="sk-SK"/>
        </w:rPr>
        <w:t>carinii</w:t>
      </w:r>
      <w:proofErr w:type="spellEnd"/>
      <w:r>
        <w:rPr>
          <w:szCs w:val="22"/>
          <w:lang w:val="sk-SK"/>
        </w:rPr>
        <w:t xml:space="preserve">, </w:t>
      </w:r>
      <w:proofErr w:type="spellStart"/>
      <w:r>
        <w:rPr>
          <w:szCs w:val="22"/>
          <w:lang w:val="sk-SK"/>
        </w:rPr>
        <w:t>dyspnoe</w:t>
      </w:r>
      <w:proofErr w:type="spellEnd"/>
      <w:r>
        <w:rPr>
          <w:szCs w:val="22"/>
          <w:lang w:val="sk-SK"/>
        </w:rPr>
        <w:t xml:space="preserve"> a bronchiálna astma, </w:t>
      </w:r>
      <w:proofErr w:type="spellStart"/>
      <w:r>
        <w:rPr>
          <w:szCs w:val="22"/>
          <w:lang w:val="sk-SK"/>
        </w:rPr>
        <w:t>pleurálny</w:t>
      </w:r>
      <w:proofErr w:type="spellEnd"/>
      <w:r>
        <w:rPr>
          <w:szCs w:val="22"/>
          <w:lang w:val="sk-SK"/>
        </w:rPr>
        <w:t xml:space="preserve"> výpotok.</w:t>
      </w:r>
    </w:p>
    <w:p w:rsidR="00784A7D" w:rsidRPr="007D180D" w:rsidRDefault="00784A7D" w:rsidP="0072168C">
      <w:pPr>
        <w:rPr>
          <w:b/>
          <w:bCs/>
          <w:szCs w:val="22"/>
          <w:lang w:val="sk-SK"/>
        </w:rPr>
      </w:pPr>
    </w:p>
    <w:p w:rsidR="009D37A4" w:rsidRPr="007D180D" w:rsidRDefault="00D56571" w:rsidP="009D37A4">
      <w:pPr>
        <w:pStyle w:val="Nadpis3"/>
        <w:rPr>
          <w:szCs w:val="22"/>
          <w:lang w:val="sk-SK"/>
        </w:rPr>
      </w:pPr>
      <w:r>
        <w:rPr>
          <w:szCs w:val="22"/>
          <w:lang w:val="sk-SK"/>
        </w:rPr>
        <w:t xml:space="preserve">Poruchy </w:t>
      </w:r>
      <w:proofErr w:type="spellStart"/>
      <w:r>
        <w:rPr>
          <w:szCs w:val="22"/>
          <w:lang w:val="sk-SK"/>
        </w:rPr>
        <w:t>gastrointestinálneho</w:t>
      </w:r>
      <w:proofErr w:type="spellEnd"/>
      <w:r>
        <w:rPr>
          <w:szCs w:val="22"/>
          <w:lang w:val="sk-SK"/>
        </w:rPr>
        <w:t xml:space="preserve"> traktu</w:t>
      </w:r>
    </w:p>
    <w:p w:rsidR="00F64096" w:rsidRPr="007D180D" w:rsidRDefault="00F64096" w:rsidP="009D37A4">
      <w:pPr>
        <w:keepNext/>
        <w:rPr>
          <w:szCs w:val="22"/>
          <w:lang w:val="sk-SK"/>
        </w:rPr>
      </w:pPr>
    </w:p>
    <w:p w:rsidR="009D37A4" w:rsidRPr="007D180D" w:rsidRDefault="00D56571" w:rsidP="009D37A4">
      <w:pPr>
        <w:keepNext/>
        <w:rPr>
          <w:szCs w:val="22"/>
          <w:lang w:val="sk-SK"/>
        </w:rPr>
      </w:pPr>
      <w:r>
        <w:rPr>
          <w:szCs w:val="22"/>
          <w:lang w:val="sk-SK"/>
        </w:rPr>
        <w:t xml:space="preserve">Veľmi časté: </w:t>
      </w:r>
      <w:proofErr w:type="spellStart"/>
      <w:r>
        <w:rPr>
          <w:szCs w:val="22"/>
          <w:lang w:val="sk-SK"/>
        </w:rPr>
        <w:t>stomatitída</w:t>
      </w:r>
      <w:proofErr w:type="spellEnd"/>
      <w:r>
        <w:rPr>
          <w:szCs w:val="22"/>
          <w:lang w:val="sk-SK"/>
        </w:rPr>
        <w:t xml:space="preserve">, </w:t>
      </w:r>
      <w:proofErr w:type="spellStart"/>
      <w:r>
        <w:rPr>
          <w:szCs w:val="22"/>
          <w:lang w:val="sk-SK"/>
        </w:rPr>
        <w:t>dyspepsia</w:t>
      </w:r>
      <w:proofErr w:type="spellEnd"/>
      <w:r>
        <w:rPr>
          <w:szCs w:val="22"/>
          <w:lang w:val="sk-SK"/>
        </w:rPr>
        <w:t xml:space="preserve">, </w:t>
      </w:r>
      <w:proofErr w:type="spellStart"/>
      <w:r>
        <w:rPr>
          <w:szCs w:val="22"/>
          <w:lang w:val="sk-SK"/>
        </w:rPr>
        <w:t>nauzea</w:t>
      </w:r>
      <w:proofErr w:type="spellEnd"/>
      <w:r>
        <w:rPr>
          <w:szCs w:val="22"/>
          <w:lang w:val="sk-SK"/>
        </w:rPr>
        <w:t>, strata chuti do jedla.</w:t>
      </w:r>
    </w:p>
    <w:p w:rsidR="009D37A4" w:rsidRPr="007D180D" w:rsidRDefault="00D56571" w:rsidP="009D37A4">
      <w:pPr>
        <w:keepNext/>
        <w:rPr>
          <w:szCs w:val="22"/>
          <w:lang w:val="sk-SK"/>
        </w:rPr>
      </w:pPr>
      <w:r>
        <w:rPr>
          <w:szCs w:val="22"/>
          <w:lang w:val="sk-SK"/>
        </w:rPr>
        <w:t>Časté: orálne vredy, hnačka.</w:t>
      </w:r>
    </w:p>
    <w:p w:rsidR="009D37A4" w:rsidRPr="007D180D" w:rsidRDefault="00D56571" w:rsidP="009D37A4">
      <w:pPr>
        <w:keepNext/>
        <w:rPr>
          <w:szCs w:val="22"/>
          <w:lang w:val="sk-SK"/>
        </w:rPr>
      </w:pPr>
      <w:r>
        <w:rPr>
          <w:szCs w:val="22"/>
          <w:lang w:val="sk-SK"/>
        </w:rPr>
        <w:t xml:space="preserve">Menej časté: </w:t>
      </w:r>
      <w:proofErr w:type="spellStart"/>
      <w:r>
        <w:rPr>
          <w:szCs w:val="22"/>
          <w:lang w:val="sk-SK"/>
        </w:rPr>
        <w:t>faryngitída</w:t>
      </w:r>
      <w:proofErr w:type="spellEnd"/>
      <w:r>
        <w:rPr>
          <w:szCs w:val="22"/>
          <w:lang w:val="sk-SK"/>
        </w:rPr>
        <w:t xml:space="preserve">, </w:t>
      </w:r>
      <w:proofErr w:type="spellStart"/>
      <w:r>
        <w:rPr>
          <w:szCs w:val="22"/>
          <w:lang w:val="sk-SK"/>
        </w:rPr>
        <w:t>enteritída</w:t>
      </w:r>
      <w:proofErr w:type="spellEnd"/>
      <w:r>
        <w:rPr>
          <w:szCs w:val="22"/>
          <w:lang w:val="sk-SK"/>
        </w:rPr>
        <w:t>, vracanie.</w:t>
      </w:r>
    </w:p>
    <w:p w:rsidR="009D37A4" w:rsidRPr="007D180D" w:rsidRDefault="00D56571" w:rsidP="009D37A4">
      <w:pPr>
        <w:keepNext/>
        <w:rPr>
          <w:szCs w:val="22"/>
          <w:lang w:val="sk-SK"/>
        </w:rPr>
      </w:pPr>
      <w:r>
        <w:rPr>
          <w:szCs w:val="22"/>
          <w:lang w:val="sk-SK"/>
        </w:rPr>
        <w:t xml:space="preserve">Zriedkavé: </w:t>
      </w:r>
      <w:proofErr w:type="spellStart"/>
      <w:r>
        <w:rPr>
          <w:szCs w:val="22"/>
          <w:lang w:val="sk-SK"/>
        </w:rPr>
        <w:t>gastrointestinálne</w:t>
      </w:r>
      <w:proofErr w:type="spellEnd"/>
      <w:r>
        <w:rPr>
          <w:szCs w:val="22"/>
          <w:lang w:val="sk-SK"/>
        </w:rPr>
        <w:t xml:space="preserve"> vredy.</w:t>
      </w:r>
    </w:p>
    <w:p w:rsidR="009D37A4" w:rsidRPr="007D180D" w:rsidRDefault="00D56571" w:rsidP="009D37A4">
      <w:pPr>
        <w:keepNext/>
        <w:rPr>
          <w:szCs w:val="22"/>
          <w:lang w:val="sk-SK"/>
        </w:rPr>
      </w:pPr>
      <w:r>
        <w:rPr>
          <w:szCs w:val="22"/>
          <w:lang w:val="sk-SK"/>
        </w:rPr>
        <w:t xml:space="preserve">Veľmi zriedkavé: </w:t>
      </w:r>
      <w:proofErr w:type="spellStart"/>
      <w:r>
        <w:rPr>
          <w:szCs w:val="22"/>
          <w:lang w:val="sk-SK"/>
        </w:rPr>
        <w:t>hemateméza</w:t>
      </w:r>
      <w:proofErr w:type="spellEnd"/>
      <w:r>
        <w:rPr>
          <w:szCs w:val="22"/>
          <w:lang w:val="sk-SK"/>
        </w:rPr>
        <w:t xml:space="preserve">, </w:t>
      </w:r>
      <w:proofErr w:type="spellStart"/>
      <w:r>
        <w:rPr>
          <w:szCs w:val="22"/>
          <w:lang w:val="sk-SK"/>
        </w:rPr>
        <w:t>hematorea</w:t>
      </w:r>
      <w:proofErr w:type="spellEnd"/>
      <w:r>
        <w:rPr>
          <w:szCs w:val="22"/>
          <w:lang w:val="sk-SK"/>
        </w:rPr>
        <w:t xml:space="preserve">, toxický </w:t>
      </w:r>
      <w:proofErr w:type="spellStart"/>
      <w:r>
        <w:rPr>
          <w:szCs w:val="22"/>
          <w:lang w:val="sk-SK"/>
        </w:rPr>
        <w:t>megakolón</w:t>
      </w:r>
      <w:proofErr w:type="spellEnd"/>
      <w:r>
        <w:rPr>
          <w:szCs w:val="22"/>
          <w:lang w:val="sk-SK"/>
        </w:rPr>
        <w:t>.</w:t>
      </w:r>
    </w:p>
    <w:p w:rsidR="009D37A4" w:rsidRPr="007D180D" w:rsidRDefault="009D37A4" w:rsidP="009D37A4">
      <w:pPr>
        <w:rPr>
          <w:szCs w:val="22"/>
          <w:lang w:val="sk-SK"/>
        </w:rPr>
      </w:pPr>
    </w:p>
    <w:p w:rsidR="009D37A4" w:rsidRPr="007D180D" w:rsidRDefault="00D56571" w:rsidP="009D37A4">
      <w:pPr>
        <w:rPr>
          <w:szCs w:val="22"/>
          <w:u w:val="single"/>
          <w:lang w:val="sk-SK"/>
        </w:rPr>
      </w:pPr>
      <w:r>
        <w:rPr>
          <w:szCs w:val="22"/>
          <w:u w:val="single"/>
          <w:lang w:val="sk-SK"/>
        </w:rPr>
        <w:t>Poruchy pečene a žlčových ciest (pozri časť 4.4)</w:t>
      </w:r>
    </w:p>
    <w:p w:rsidR="00F64096" w:rsidRPr="007D180D" w:rsidRDefault="00F64096" w:rsidP="009D37A4">
      <w:pPr>
        <w:rPr>
          <w:szCs w:val="22"/>
          <w:lang w:val="sk-SK"/>
        </w:rPr>
      </w:pPr>
    </w:p>
    <w:p w:rsidR="009D37A4" w:rsidRPr="007D180D" w:rsidRDefault="00D56571" w:rsidP="009D37A4">
      <w:pPr>
        <w:rPr>
          <w:szCs w:val="22"/>
          <w:lang w:val="sk-SK"/>
        </w:rPr>
      </w:pPr>
      <w:r>
        <w:rPr>
          <w:szCs w:val="22"/>
          <w:lang w:val="sk-SK"/>
        </w:rPr>
        <w:t xml:space="preserve">Veľmi časté: zvýšené hladiny </w:t>
      </w:r>
      <w:proofErr w:type="spellStart"/>
      <w:r>
        <w:rPr>
          <w:szCs w:val="22"/>
          <w:lang w:val="sk-SK"/>
        </w:rPr>
        <w:t>transaminázy</w:t>
      </w:r>
      <w:proofErr w:type="spellEnd"/>
      <w:r>
        <w:rPr>
          <w:szCs w:val="22"/>
          <w:lang w:val="sk-SK"/>
        </w:rPr>
        <w:t>.</w:t>
      </w:r>
    </w:p>
    <w:p w:rsidR="009D37A4" w:rsidRPr="007D180D" w:rsidRDefault="00D56571" w:rsidP="009D37A4">
      <w:pPr>
        <w:rPr>
          <w:szCs w:val="22"/>
          <w:lang w:val="sk-SK"/>
        </w:rPr>
      </w:pPr>
      <w:r>
        <w:rPr>
          <w:szCs w:val="22"/>
          <w:lang w:val="sk-SK"/>
        </w:rPr>
        <w:t xml:space="preserve">Menej časté: cirhóza, </w:t>
      </w:r>
      <w:proofErr w:type="spellStart"/>
      <w:r>
        <w:rPr>
          <w:szCs w:val="22"/>
          <w:lang w:val="sk-SK"/>
        </w:rPr>
        <w:t>fibróza</w:t>
      </w:r>
      <w:proofErr w:type="spellEnd"/>
      <w:r>
        <w:rPr>
          <w:szCs w:val="22"/>
          <w:lang w:val="sk-SK"/>
        </w:rPr>
        <w:t xml:space="preserve"> a </w:t>
      </w:r>
      <w:proofErr w:type="spellStart"/>
      <w:r>
        <w:rPr>
          <w:szCs w:val="22"/>
          <w:lang w:val="sk-SK"/>
        </w:rPr>
        <w:t>steatóza</w:t>
      </w:r>
      <w:proofErr w:type="spellEnd"/>
      <w:r>
        <w:rPr>
          <w:szCs w:val="22"/>
          <w:lang w:val="sk-SK"/>
        </w:rPr>
        <w:t>, zníženie hladín sérového albumínu.</w:t>
      </w:r>
    </w:p>
    <w:p w:rsidR="009D37A4" w:rsidRPr="007D180D" w:rsidRDefault="00D56571" w:rsidP="009D37A4">
      <w:pPr>
        <w:rPr>
          <w:szCs w:val="22"/>
          <w:lang w:val="sk-SK"/>
        </w:rPr>
      </w:pPr>
      <w:r>
        <w:rPr>
          <w:szCs w:val="22"/>
          <w:lang w:val="sk-SK"/>
        </w:rPr>
        <w:t>Zriedkavé: akútna hepatitída.</w:t>
      </w:r>
    </w:p>
    <w:p w:rsidR="009D37A4" w:rsidRPr="007D180D" w:rsidRDefault="00D56571" w:rsidP="009D37A4">
      <w:pPr>
        <w:rPr>
          <w:szCs w:val="22"/>
          <w:lang w:val="sk-SK"/>
        </w:rPr>
      </w:pPr>
      <w:r>
        <w:rPr>
          <w:szCs w:val="22"/>
          <w:lang w:val="sk-SK"/>
        </w:rPr>
        <w:t>Veľmi zriedkavé: zlyhanie pečene.</w:t>
      </w:r>
    </w:p>
    <w:p w:rsidR="009D37A4" w:rsidRPr="007D180D" w:rsidRDefault="009D37A4" w:rsidP="009D37A4">
      <w:pPr>
        <w:rPr>
          <w:szCs w:val="22"/>
          <w:lang w:val="sk-SK"/>
        </w:rPr>
      </w:pPr>
    </w:p>
    <w:p w:rsidR="009D37A4" w:rsidRPr="007D180D" w:rsidRDefault="00D56571" w:rsidP="009D37A4">
      <w:pPr>
        <w:pStyle w:val="Nadpis3"/>
        <w:rPr>
          <w:szCs w:val="22"/>
          <w:lang w:val="sk-SK"/>
        </w:rPr>
      </w:pPr>
      <w:r>
        <w:rPr>
          <w:szCs w:val="22"/>
          <w:lang w:val="sk-SK"/>
        </w:rPr>
        <w:t>Poruchy kože a podkožného tkaniva</w:t>
      </w:r>
    </w:p>
    <w:p w:rsidR="00F64096" w:rsidRPr="007D180D" w:rsidRDefault="00F64096" w:rsidP="009D37A4">
      <w:pPr>
        <w:keepNext/>
        <w:rPr>
          <w:szCs w:val="22"/>
          <w:lang w:val="sk-SK"/>
        </w:rPr>
      </w:pPr>
    </w:p>
    <w:p w:rsidR="009D37A4" w:rsidRPr="007D180D" w:rsidRDefault="00D56571" w:rsidP="009D37A4">
      <w:pPr>
        <w:keepNext/>
        <w:rPr>
          <w:szCs w:val="22"/>
          <w:lang w:val="sk-SK"/>
        </w:rPr>
      </w:pPr>
      <w:r>
        <w:rPr>
          <w:szCs w:val="22"/>
          <w:lang w:val="sk-SK"/>
        </w:rPr>
        <w:t xml:space="preserve">Časté: exantém, </w:t>
      </w:r>
      <w:proofErr w:type="spellStart"/>
      <w:r>
        <w:rPr>
          <w:szCs w:val="22"/>
          <w:lang w:val="sk-SK"/>
        </w:rPr>
        <w:t>erytém</w:t>
      </w:r>
      <w:proofErr w:type="spellEnd"/>
      <w:r>
        <w:rPr>
          <w:szCs w:val="22"/>
          <w:lang w:val="sk-SK"/>
        </w:rPr>
        <w:t xml:space="preserve">, </w:t>
      </w:r>
      <w:proofErr w:type="spellStart"/>
      <w:r>
        <w:rPr>
          <w:szCs w:val="22"/>
          <w:lang w:val="sk-SK"/>
        </w:rPr>
        <w:t>pruritus</w:t>
      </w:r>
      <w:proofErr w:type="spellEnd"/>
      <w:r>
        <w:rPr>
          <w:szCs w:val="22"/>
          <w:lang w:val="sk-SK"/>
        </w:rPr>
        <w:t>.</w:t>
      </w:r>
    </w:p>
    <w:p w:rsidR="009D37A4" w:rsidRPr="007D180D" w:rsidRDefault="00D56571" w:rsidP="009D37A4">
      <w:pPr>
        <w:keepNext/>
        <w:rPr>
          <w:szCs w:val="22"/>
          <w:lang w:val="sk-SK"/>
        </w:rPr>
      </w:pPr>
      <w:r>
        <w:rPr>
          <w:szCs w:val="22"/>
          <w:lang w:val="sk-SK"/>
        </w:rPr>
        <w:t xml:space="preserve">Menej časté: </w:t>
      </w:r>
      <w:proofErr w:type="spellStart"/>
      <w:r>
        <w:rPr>
          <w:szCs w:val="22"/>
          <w:lang w:val="sk-SK"/>
        </w:rPr>
        <w:t>fotosenzibilizácia</w:t>
      </w:r>
      <w:proofErr w:type="spellEnd"/>
      <w:r>
        <w:rPr>
          <w:szCs w:val="22"/>
          <w:lang w:val="sk-SK"/>
        </w:rPr>
        <w:t xml:space="preserve">, vypadávanie vlasov, zvýšenie počtu reumatických uzlíkov, herpes </w:t>
      </w:r>
      <w:proofErr w:type="spellStart"/>
      <w:r>
        <w:rPr>
          <w:szCs w:val="22"/>
          <w:lang w:val="sk-SK"/>
        </w:rPr>
        <w:t>zoster</w:t>
      </w:r>
      <w:proofErr w:type="spellEnd"/>
      <w:r>
        <w:rPr>
          <w:szCs w:val="22"/>
          <w:lang w:val="sk-SK"/>
        </w:rPr>
        <w:t xml:space="preserve">, </w:t>
      </w:r>
      <w:proofErr w:type="spellStart"/>
      <w:r>
        <w:rPr>
          <w:szCs w:val="22"/>
          <w:lang w:val="sk-SK"/>
        </w:rPr>
        <w:t>vasculitída</w:t>
      </w:r>
      <w:proofErr w:type="spellEnd"/>
      <w:r>
        <w:rPr>
          <w:szCs w:val="22"/>
          <w:lang w:val="sk-SK"/>
        </w:rPr>
        <w:t xml:space="preserve">, </w:t>
      </w:r>
      <w:proofErr w:type="spellStart"/>
      <w:r>
        <w:rPr>
          <w:szCs w:val="22"/>
          <w:lang w:val="sk-SK"/>
        </w:rPr>
        <w:t>herpetiformné</w:t>
      </w:r>
      <w:proofErr w:type="spellEnd"/>
      <w:r>
        <w:rPr>
          <w:szCs w:val="22"/>
          <w:lang w:val="sk-SK"/>
        </w:rPr>
        <w:t xml:space="preserve"> výsevy na koži, </w:t>
      </w:r>
      <w:proofErr w:type="spellStart"/>
      <w:r>
        <w:rPr>
          <w:szCs w:val="22"/>
          <w:lang w:val="sk-SK"/>
        </w:rPr>
        <w:t>urtikária</w:t>
      </w:r>
      <w:proofErr w:type="spellEnd"/>
      <w:r>
        <w:rPr>
          <w:szCs w:val="22"/>
          <w:lang w:val="sk-SK"/>
        </w:rPr>
        <w:t>.</w:t>
      </w:r>
    </w:p>
    <w:p w:rsidR="009D37A4" w:rsidRPr="007D180D" w:rsidRDefault="00D56571" w:rsidP="009D37A4">
      <w:pPr>
        <w:keepNext/>
        <w:rPr>
          <w:szCs w:val="22"/>
          <w:lang w:val="sk-SK"/>
        </w:rPr>
      </w:pPr>
      <w:r>
        <w:rPr>
          <w:szCs w:val="22"/>
          <w:lang w:val="sk-SK"/>
        </w:rPr>
        <w:t xml:space="preserve">Zriedkavé: zvýšená pigmentácia, akné, </w:t>
      </w:r>
      <w:proofErr w:type="spellStart"/>
      <w:r>
        <w:rPr>
          <w:szCs w:val="22"/>
          <w:lang w:val="sk-SK"/>
        </w:rPr>
        <w:t>ekchymóza</w:t>
      </w:r>
      <w:proofErr w:type="spellEnd"/>
      <w:r>
        <w:rPr>
          <w:szCs w:val="22"/>
          <w:lang w:val="sk-SK"/>
        </w:rPr>
        <w:t>.</w:t>
      </w:r>
    </w:p>
    <w:p w:rsidR="009D37A4" w:rsidRPr="007D180D" w:rsidRDefault="00D56571" w:rsidP="009D37A4">
      <w:pPr>
        <w:rPr>
          <w:szCs w:val="22"/>
          <w:lang w:val="sk-SK" w:eastAsia="de-DE"/>
        </w:rPr>
      </w:pPr>
      <w:r>
        <w:rPr>
          <w:szCs w:val="22"/>
          <w:lang w:val="sk-SK"/>
        </w:rPr>
        <w:t xml:space="preserve">Veľmi zriedkavé: </w:t>
      </w:r>
      <w:proofErr w:type="spellStart"/>
      <w:r>
        <w:rPr>
          <w:szCs w:val="22"/>
          <w:lang w:val="sk-SK"/>
        </w:rPr>
        <w:t>Stevensov-Johnsonov</w:t>
      </w:r>
      <w:proofErr w:type="spellEnd"/>
      <w:r>
        <w:rPr>
          <w:szCs w:val="22"/>
          <w:lang w:val="sk-SK"/>
        </w:rPr>
        <w:t xml:space="preserve"> syndróm, toxická </w:t>
      </w:r>
      <w:proofErr w:type="spellStart"/>
      <w:r>
        <w:rPr>
          <w:szCs w:val="22"/>
          <w:lang w:val="sk-SK"/>
        </w:rPr>
        <w:t>epidermálna</w:t>
      </w:r>
      <w:proofErr w:type="spellEnd"/>
      <w:r>
        <w:rPr>
          <w:szCs w:val="22"/>
          <w:lang w:val="sk-SK"/>
        </w:rPr>
        <w:t xml:space="preserve"> </w:t>
      </w:r>
      <w:proofErr w:type="spellStart"/>
      <w:r>
        <w:rPr>
          <w:szCs w:val="22"/>
          <w:lang w:val="sk-SK"/>
        </w:rPr>
        <w:t>nekrolýza</w:t>
      </w:r>
      <w:proofErr w:type="spellEnd"/>
      <w:r>
        <w:rPr>
          <w:szCs w:val="22"/>
          <w:lang w:val="sk-SK"/>
        </w:rPr>
        <w:t xml:space="preserve"> (</w:t>
      </w:r>
      <w:proofErr w:type="spellStart"/>
      <w:r>
        <w:rPr>
          <w:szCs w:val="22"/>
          <w:lang w:val="sk-SK"/>
        </w:rPr>
        <w:t>Lyellov</w:t>
      </w:r>
      <w:proofErr w:type="spellEnd"/>
      <w:r>
        <w:rPr>
          <w:szCs w:val="22"/>
          <w:lang w:val="sk-SK"/>
        </w:rPr>
        <w:t xml:space="preserve"> syndróm), zvýšené </w:t>
      </w:r>
      <w:proofErr w:type="spellStart"/>
      <w:r>
        <w:rPr>
          <w:szCs w:val="22"/>
          <w:lang w:val="sk-SK"/>
        </w:rPr>
        <w:t>pigmentačné</w:t>
      </w:r>
      <w:proofErr w:type="spellEnd"/>
      <w:r>
        <w:rPr>
          <w:szCs w:val="22"/>
          <w:lang w:val="sk-SK"/>
        </w:rPr>
        <w:t xml:space="preserve"> zmeny na nechtoch, akútna </w:t>
      </w:r>
      <w:proofErr w:type="spellStart"/>
      <w:r>
        <w:rPr>
          <w:szCs w:val="22"/>
          <w:lang w:val="sk-SK"/>
        </w:rPr>
        <w:t>paronychia</w:t>
      </w:r>
      <w:proofErr w:type="spellEnd"/>
      <w:r>
        <w:rPr>
          <w:szCs w:val="22"/>
          <w:lang w:val="sk-SK"/>
        </w:rPr>
        <w:t xml:space="preserve">, </w:t>
      </w:r>
      <w:proofErr w:type="spellStart"/>
      <w:r>
        <w:rPr>
          <w:szCs w:val="22"/>
          <w:lang w:val="sk-SK" w:eastAsia="de-DE"/>
        </w:rPr>
        <w:t>furunkulóza</w:t>
      </w:r>
      <w:proofErr w:type="spellEnd"/>
      <w:r>
        <w:rPr>
          <w:szCs w:val="22"/>
          <w:lang w:val="sk-SK" w:eastAsia="de-DE"/>
        </w:rPr>
        <w:t xml:space="preserve">, </w:t>
      </w:r>
      <w:proofErr w:type="spellStart"/>
      <w:r>
        <w:rPr>
          <w:szCs w:val="22"/>
          <w:lang w:val="sk-SK" w:eastAsia="de-DE"/>
        </w:rPr>
        <w:t>teleangiektázia</w:t>
      </w:r>
      <w:proofErr w:type="spellEnd"/>
      <w:r>
        <w:rPr>
          <w:szCs w:val="22"/>
          <w:lang w:val="sk-SK" w:eastAsia="de-DE"/>
        </w:rPr>
        <w:t>.</w:t>
      </w:r>
    </w:p>
    <w:p w:rsidR="009D37A4" w:rsidRPr="007D180D" w:rsidRDefault="009D37A4" w:rsidP="009D37A4">
      <w:pPr>
        <w:rPr>
          <w:szCs w:val="22"/>
          <w:lang w:val="sk-SK"/>
        </w:rPr>
      </w:pPr>
    </w:p>
    <w:p w:rsidR="009D37A4" w:rsidRPr="007D180D" w:rsidRDefault="00D56571" w:rsidP="009D37A4">
      <w:pPr>
        <w:pStyle w:val="Nadpis3"/>
        <w:rPr>
          <w:szCs w:val="22"/>
          <w:lang w:val="sk-SK"/>
        </w:rPr>
      </w:pPr>
      <w:r>
        <w:rPr>
          <w:szCs w:val="22"/>
          <w:lang w:val="sk-SK"/>
        </w:rPr>
        <w:t>Poruchy kostrovej a svalovej sústavy a spojivového tkaniva</w:t>
      </w:r>
    </w:p>
    <w:p w:rsidR="00F64096" w:rsidRPr="007D180D" w:rsidRDefault="00F64096" w:rsidP="009D37A4">
      <w:pPr>
        <w:rPr>
          <w:szCs w:val="22"/>
          <w:lang w:val="sk-SK"/>
        </w:rPr>
      </w:pPr>
    </w:p>
    <w:p w:rsidR="009D37A4" w:rsidRPr="007D180D" w:rsidRDefault="00D56571" w:rsidP="009D37A4">
      <w:pPr>
        <w:rPr>
          <w:szCs w:val="22"/>
          <w:lang w:val="sk-SK"/>
        </w:rPr>
      </w:pPr>
      <w:r>
        <w:rPr>
          <w:szCs w:val="22"/>
          <w:lang w:val="sk-SK"/>
        </w:rPr>
        <w:t xml:space="preserve">Menej časté: </w:t>
      </w:r>
      <w:proofErr w:type="spellStart"/>
      <w:r>
        <w:rPr>
          <w:szCs w:val="22"/>
          <w:lang w:val="sk-SK"/>
        </w:rPr>
        <w:t>artralgia</w:t>
      </w:r>
      <w:proofErr w:type="spellEnd"/>
      <w:r>
        <w:rPr>
          <w:szCs w:val="22"/>
          <w:lang w:val="sk-SK"/>
        </w:rPr>
        <w:t xml:space="preserve">, </w:t>
      </w:r>
      <w:proofErr w:type="spellStart"/>
      <w:r>
        <w:rPr>
          <w:szCs w:val="22"/>
          <w:lang w:val="sk-SK"/>
        </w:rPr>
        <w:t>myalgia</w:t>
      </w:r>
      <w:proofErr w:type="spellEnd"/>
      <w:r>
        <w:rPr>
          <w:szCs w:val="22"/>
          <w:lang w:val="sk-SK"/>
        </w:rPr>
        <w:t xml:space="preserve">, </w:t>
      </w:r>
      <w:proofErr w:type="spellStart"/>
      <w:r>
        <w:rPr>
          <w:szCs w:val="22"/>
          <w:lang w:val="sk-SK"/>
        </w:rPr>
        <w:t>osteoporóza</w:t>
      </w:r>
      <w:proofErr w:type="spellEnd"/>
      <w:r>
        <w:rPr>
          <w:szCs w:val="22"/>
          <w:lang w:val="sk-SK"/>
        </w:rPr>
        <w:t>.</w:t>
      </w:r>
    </w:p>
    <w:p w:rsidR="009D37A4" w:rsidRPr="007D180D" w:rsidRDefault="009D37A4" w:rsidP="009D37A4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3"/>
        <w:rPr>
          <w:szCs w:val="22"/>
          <w:lang w:val="sk-SK"/>
        </w:rPr>
      </w:pPr>
      <w:r>
        <w:rPr>
          <w:szCs w:val="22"/>
          <w:lang w:val="sk-SK"/>
        </w:rPr>
        <w:t>Poruchy obličiek a močovej ciest</w:t>
      </w:r>
    </w:p>
    <w:p w:rsidR="00F64096" w:rsidRPr="007D180D" w:rsidRDefault="00F64096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Menej časté: zápal a </w:t>
      </w:r>
      <w:proofErr w:type="spellStart"/>
      <w:r>
        <w:rPr>
          <w:szCs w:val="22"/>
          <w:lang w:val="sk-SK"/>
        </w:rPr>
        <w:t>ulcerácia</w:t>
      </w:r>
      <w:proofErr w:type="spellEnd"/>
      <w:r>
        <w:rPr>
          <w:szCs w:val="22"/>
          <w:lang w:val="sk-SK"/>
        </w:rPr>
        <w:t xml:space="preserve"> močového mechúra, poškodenie obličiek, poruchy močenia. </w:t>
      </w: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Zriedkavé: zlyhanie obličiek, </w:t>
      </w:r>
      <w:proofErr w:type="spellStart"/>
      <w:r>
        <w:rPr>
          <w:szCs w:val="22"/>
          <w:lang w:val="sk-SK"/>
        </w:rPr>
        <w:t>oligúria</w:t>
      </w:r>
      <w:proofErr w:type="spellEnd"/>
      <w:r>
        <w:rPr>
          <w:szCs w:val="22"/>
          <w:lang w:val="sk-SK"/>
        </w:rPr>
        <w:t xml:space="preserve">, </w:t>
      </w:r>
      <w:proofErr w:type="spellStart"/>
      <w:r>
        <w:rPr>
          <w:szCs w:val="22"/>
          <w:lang w:val="sk-SK"/>
        </w:rPr>
        <w:t>anúria</w:t>
      </w:r>
      <w:proofErr w:type="spellEnd"/>
      <w:r>
        <w:rPr>
          <w:szCs w:val="22"/>
          <w:lang w:val="sk-SK"/>
        </w:rPr>
        <w:t>, poruchy rovnováhy elektrolytov.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3"/>
        <w:rPr>
          <w:szCs w:val="22"/>
          <w:lang w:val="sk-SK"/>
        </w:rPr>
      </w:pPr>
      <w:r>
        <w:rPr>
          <w:szCs w:val="22"/>
          <w:lang w:val="sk-SK"/>
        </w:rPr>
        <w:t>Poruchy reprodukčného systému a prsníkov</w:t>
      </w:r>
    </w:p>
    <w:p w:rsidR="00F64096" w:rsidRPr="007D180D" w:rsidRDefault="00F64096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Menej časté: zápal a </w:t>
      </w:r>
      <w:proofErr w:type="spellStart"/>
      <w:r>
        <w:rPr>
          <w:szCs w:val="22"/>
          <w:lang w:val="sk-SK"/>
        </w:rPr>
        <w:t>ulcerácia</w:t>
      </w:r>
      <w:proofErr w:type="spellEnd"/>
      <w:r>
        <w:rPr>
          <w:szCs w:val="22"/>
          <w:lang w:val="sk-SK"/>
        </w:rPr>
        <w:t xml:space="preserve"> vagíny.</w:t>
      </w: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Veľmi zriedkavé: strata libida, impotencia, </w:t>
      </w:r>
      <w:proofErr w:type="spellStart"/>
      <w:r>
        <w:rPr>
          <w:szCs w:val="22"/>
          <w:lang w:val="sk-SK"/>
        </w:rPr>
        <w:t>gynekomastia</w:t>
      </w:r>
      <w:proofErr w:type="spellEnd"/>
      <w:r>
        <w:rPr>
          <w:szCs w:val="22"/>
          <w:lang w:val="sk-SK"/>
        </w:rPr>
        <w:t xml:space="preserve">, </w:t>
      </w:r>
      <w:proofErr w:type="spellStart"/>
      <w:r>
        <w:rPr>
          <w:szCs w:val="22"/>
          <w:lang w:val="sk-SK"/>
        </w:rPr>
        <w:t>oligospermia</w:t>
      </w:r>
      <w:proofErr w:type="spellEnd"/>
      <w:r>
        <w:rPr>
          <w:szCs w:val="22"/>
          <w:lang w:val="sk-SK"/>
        </w:rPr>
        <w:t>, menštruačné poruchy, vaginálny výtok.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9D37A4" w:rsidRPr="007D180D" w:rsidRDefault="00D56571" w:rsidP="009D37A4">
      <w:pPr>
        <w:pStyle w:val="Nadpis3"/>
        <w:rPr>
          <w:szCs w:val="22"/>
          <w:lang w:val="sk-SK"/>
        </w:rPr>
      </w:pPr>
      <w:r>
        <w:rPr>
          <w:szCs w:val="22"/>
          <w:lang w:val="sk-SK"/>
        </w:rPr>
        <w:t>Celkové poruchy a reakcie v mieste podania</w:t>
      </w:r>
    </w:p>
    <w:p w:rsidR="00073471" w:rsidRPr="007D180D" w:rsidRDefault="00073471" w:rsidP="009D37A4">
      <w:pPr>
        <w:rPr>
          <w:szCs w:val="22"/>
          <w:lang w:val="sk-SK"/>
        </w:rPr>
      </w:pPr>
    </w:p>
    <w:p w:rsidR="009D37A4" w:rsidRPr="007D180D" w:rsidRDefault="00D56571" w:rsidP="009D37A4">
      <w:pPr>
        <w:rPr>
          <w:szCs w:val="22"/>
          <w:lang w:val="sk-SK"/>
        </w:rPr>
      </w:pPr>
      <w:r>
        <w:rPr>
          <w:szCs w:val="22"/>
          <w:lang w:val="sk-SK"/>
        </w:rPr>
        <w:t xml:space="preserve">Zriedkavé: alergické reakcie, </w:t>
      </w:r>
      <w:proofErr w:type="spellStart"/>
      <w:r>
        <w:rPr>
          <w:szCs w:val="22"/>
          <w:lang w:val="sk-SK"/>
        </w:rPr>
        <w:t>anafylaktický</w:t>
      </w:r>
      <w:proofErr w:type="spellEnd"/>
      <w:r>
        <w:rPr>
          <w:szCs w:val="22"/>
          <w:lang w:val="sk-SK"/>
        </w:rPr>
        <w:t xml:space="preserve"> šok, alergická </w:t>
      </w:r>
      <w:proofErr w:type="spellStart"/>
      <w:r>
        <w:rPr>
          <w:szCs w:val="22"/>
          <w:lang w:val="sk-SK"/>
        </w:rPr>
        <w:t>vaskulitída</w:t>
      </w:r>
      <w:proofErr w:type="spellEnd"/>
      <w:r>
        <w:rPr>
          <w:szCs w:val="22"/>
          <w:lang w:val="sk-SK"/>
        </w:rPr>
        <w:t xml:space="preserve">, horúčka, </w:t>
      </w:r>
      <w:proofErr w:type="spellStart"/>
      <w:r>
        <w:rPr>
          <w:szCs w:val="22"/>
          <w:lang w:val="sk-SK"/>
        </w:rPr>
        <w:t>konjunktivitída</w:t>
      </w:r>
      <w:proofErr w:type="spellEnd"/>
      <w:r>
        <w:rPr>
          <w:szCs w:val="22"/>
          <w:lang w:val="sk-SK"/>
        </w:rPr>
        <w:t xml:space="preserve">, infekcia, sepsa, zhoršenie hojenia rán, </w:t>
      </w:r>
      <w:proofErr w:type="spellStart"/>
      <w:r>
        <w:rPr>
          <w:szCs w:val="22"/>
          <w:lang w:val="sk-SK"/>
        </w:rPr>
        <w:t>hypogamaglobulinémia</w:t>
      </w:r>
      <w:proofErr w:type="spellEnd"/>
      <w:r>
        <w:rPr>
          <w:szCs w:val="22"/>
          <w:lang w:val="sk-SK"/>
        </w:rPr>
        <w:t>.</w:t>
      </w:r>
    </w:p>
    <w:p w:rsidR="00073471" w:rsidRPr="007D180D" w:rsidRDefault="00073471" w:rsidP="00073471">
      <w:pPr>
        <w:rPr>
          <w:szCs w:val="22"/>
          <w:lang w:val="sk-SK"/>
        </w:rPr>
      </w:pPr>
    </w:p>
    <w:p w:rsidR="00073471" w:rsidRPr="007D180D" w:rsidRDefault="00D56571" w:rsidP="00073471">
      <w:pPr>
        <w:rPr>
          <w:szCs w:val="22"/>
          <w:lang w:val="sk-SK"/>
        </w:rPr>
      </w:pPr>
      <w:r>
        <w:rPr>
          <w:szCs w:val="22"/>
          <w:lang w:val="sk-SK"/>
        </w:rPr>
        <w:t>Výskyt a stupeň závažnosti nežiaducich účinkov závisia od dávkovania a frekvencie podávania. Keďže sa však závažné nežiaduce účinky môžu objaviť aj pri nižších dávkach, je potrebné, aby lekár sledoval pacientov pravidelne v krátkych intervaloch.</w:t>
      </w:r>
    </w:p>
    <w:p w:rsidR="00073471" w:rsidRPr="007D180D" w:rsidRDefault="00073471" w:rsidP="00073471">
      <w:pPr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proofErr w:type="spellStart"/>
      <w:r>
        <w:rPr>
          <w:szCs w:val="22"/>
          <w:lang w:val="sk-SK"/>
        </w:rPr>
        <w:t>Subkutánna</w:t>
      </w:r>
      <w:proofErr w:type="spellEnd"/>
      <w:r>
        <w:rPr>
          <w:szCs w:val="22"/>
          <w:lang w:val="sk-SK"/>
        </w:rPr>
        <w:t xml:space="preserve"> aplikácia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 je lokálne dobre tolerovaná. Boli pozorované iba mierne miestne kožné reakcie (ako je pocit pálenia, </w:t>
      </w:r>
      <w:proofErr w:type="spellStart"/>
      <w:r>
        <w:rPr>
          <w:szCs w:val="22"/>
          <w:lang w:val="sk-SK"/>
        </w:rPr>
        <w:t>erytém</w:t>
      </w:r>
      <w:proofErr w:type="spellEnd"/>
      <w:r>
        <w:rPr>
          <w:szCs w:val="22"/>
          <w:lang w:val="sk-SK"/>
        </w:rPr>
        <w:t xml:space="preserve">, opuch, zmena zafarbenia kože, </w:t>
      </w:r>
      <w:proofErr w:type="spellStart"/>
      <w:r>
        <w:rPr>
          <w:szCs w:val="22"/>
          <w:lang w:val="sk-SK"/>
        </w:rPr>
        <w:t>pruritus</w:t>
      </w:r>
      <w:proofErr w:type="spellEnd"/>
      <w:r>
        <w:rPr>
          <w:szCs w:val="22"/>
          <w:lang w:val="sk-SK"/>
        </w:rPr>
        <w:t xml:space="preserve">, silnejšie svrbenie, bolesť), ktoré počas liečby ustúpili. 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073471" w:rsidRPr="007D180D" w:rsidRDefault="00073471" w:rsidP="00073471">
      <w:pPr>
        <w:rPr>
          <w:szCs w:val="22"/>
          <w:lang w:val="sk-SK"/>
        </w:rPr>
      </w:pPr>
    </w:p>
    <w:p w:rsidR="00073471" w:rsidRPr="007D180D" w:rsidRDefault="00D56571" w:rsidP="00073471">
      <w:pPr>
        <w:keepNext/>
        <w:tabs>
          <w:tab w:val="left" w:pos="567"/>
        </w:tabs>
        <w:autoSpaceDE w:val="0"/>
        <w:autoSpaceDN w:val="0"/>
        <w:adjustRightInd w:val="0"/>
        <w:rPr>
          <w:snapToGrid w:val="0"/>
          <w:szCs w:val="22"/>
          <w:u w:val="single"/>
          <w:lang w:val="sk-SK" w:eastAsia="en-US"/>
        </w:rPr>
      </w:pPr>
      <w:r>
        <w:rPr>
          <w:noProof/>
          <w:snapToGrid w:val="0"/>
          <w:szCs w:val="22"/>
          <w:u w:val="single"/>
          <w:lang w:val="sk-SK" w:eastAsia="en-US"/>
        </w:rPr>
        <w:t>Hlásenie podozrení na nežiaduce reakcie</w:t>
      </w:r>
    </w:p>
    <w:p w:rsidR="00633627" w:rsidRPr="007D180D" w:rsidRDefault="00D56571" w:rsidP="005D2898">
      <w:pPr>
        <w:rPr>
          <w:noProof/>
          <w:snapToGrid w:val="0"/>
          <w:szCs w:val="22"/>
          <w:lang w:val="fr-FR" w:eastAsia="en-US"/>
        </w:rPr>
      </w:pPr>
      <w:r>
        <w:rPr>
          <w:noProof/>
          <w:snapToGrid w:val="0"/>
          <w:szCs w:val="22"/>
          <w:lang w:val="sk-SK" w:eastAsia="en-US"/>
        </w:rPr>
        <w:t>Hlásenie podozrení na nežiaduce reakcie po registrácii lieku je dôležité.</w:t>
      </w:r>
      <w:r>
        <w:rPr>
          <w:snapToGrid w:val="0"/>
          <w:szCs w:val="22"/>
          <w:lang w:val="sk-SK" w:eastAsia="en-US"/>
        </w:rPr>
        <w:t xml:space="preserve"> </w:t>
      </w:r>
      <w:r>
        <w:rPr>
          <w:noProof/>
          <w:snapToGrid w:val="0"/>
          <w:szCs w:val="22"/>
          <w:lang w:val="sk-SK" w:eastAsia="en-US"/>
        </w:rPr>
        <w:t>Umožňuje priebežné monitorovanie pomeru prínosu</w:t>
      </w:r>
      <w:r>
        <w:rPr>
          <w:snapToGrid w:val="0"/>
          <w:szCs w:val="22"/>
          <w:lang w:val="sk-SK" w:eastAsia="en-US"/>
        </w:rPr>
        <w:t xml:space="preserve"> a</w:t>
      </w:r>
      <w:r>
        <w:rPr>
          <w:noProof/>
          <w:snapToGrid w:val="0"/>
          <w:szCs w:val="22"/>
          <w:lang w:val="sk-SK" w:eastAsia="en-US"/>
        </w:rPr>
        <w:t> rizika lieku.</w:t>
      </w:r>
      <w:r>
        <w:rPr>
          <w:snapToGrid w:val="0"/>
          <w:szCs w:val="22"/>
          <w:lang w:val="sk-SK" w:eastAsia="en-US"/>
        </w:rPr>
        <w:t xml:space="preserve"> Od </w:t>
      </w:r>
      <w:r>
        <w:rPr>
          <w:noProof/>
          <w:snapToGrid w:val="0"/>
          <w:szCs w:val="22"/>
          <w:lang w:val="sk-SK" w:eastAsia="en-US"/>
        </w:rPr>
        <w:t xml:space="preserve">zdravotníckych pracovníkov sa vyžaduje, aby hlásili akékoľvek podozrenia na nežiaduce reakcie prostredníctvom </w:t>
      </w:r>
      <w:r>
        <w:rPr>
          <w:noProof/>
          <w:szCs w:val="22"/>
          <w:highlight w:val="lightGray"/>
        </w:rPr>
        <w:t>národného systému hlásenia uvedeného v </w:t>
      </w:r>
      <w:hyperlink r:id="rId7" w:history="1">
        <w:r w:rsidR="005D2898" w:rsidRPr="007D180D">
          <w:rPr>
            <w:rStyle w:val="Hypertextovprepojenie"/>
            <w:noProof/>
            <w:szCs w:val="22"/>
            <w:highlight w:val="lightGray"/>
          </w:rPr>
          <w:t>Prílohe V</w:t>
        </w:r>
      </w:hyperlink>
      <w:r w:rsidR="005D2898" w:rsidRPr="007D180D">
        <w:rPr>
          <w:noProof/>
          <w:szCs w:val="22"/>
        </w:rPr>
        <w:t>.</w:t>
      </w:r>
    </w:p>
    <w:p w:rsidR="00073471" w:rsidRPr="007D180D" w:rsidRDefault="00073471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2"/>
        <w:rPr>
          <w:szCs w:val="22"/>
          <w:lang w:val="sk-SK"/>
        </w:rPr>
      </w:pPr>
      <w:r>
        <w:rPr>
          <w:szCs w:val="22"/>
          <w:lang w:val="sk-SK"/>
        </w:rPr>
        <w:t>Predávkovanie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335C58" w:rsidRDefault="00D56571">
      <w:pPr>
        <w:numPr>
          <w:ilvl w:val="0"/>
          <w:numId w:val="36"/>
        </w:numPr>
        <w:tabs>
          <w:tab w:val="left" w:pos="426"/>
        </w:tabs>
        <w:ind w:left="420"/>
        <w:rPr>
          <w:szCs w:val="22"/>
          <w:lang w:val="sk-SK"/>
        </w:rPr>
      </w:pPr>
      <w:r>
        <w:rPr>
          <w:szCs w:val="22"/>
          <w:lang w:val="sk-SK"/>
        </w:rPr>
        <w:t>Príznaky predávkovania</w:t>
      </w:r>
    </w:p>
    <w:p w:rsidR="00073471" w:rsidRPr="007D180D" w:rsidRDefault="00073471" w:rsidP="00073471">
      <w:pPr>
        <w:tabs>
          <w:tab w:val="left" w:pos="426"/>
        </w:tabs>
        <w:ind w:left="780"/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Toxicita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 postihuje najmä krvotvorný systém. 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tabs>
          <w:tab w:val="left" w:pos="426"/>
        </w:tabs>
        <w:rPr>
          <w:szCs w:val="22"/>
          <w:lang w:val="sk-SK"/>
        </w:rPr>
      </w:pPr>
      <w:r>
        <w:rPr>
          <w:szCs w:val="22"/>
          <w:lang w:val="sk-SK"/>
        </w:rPr>
        <w:t>b)</w:t>
      </w:r>
      <w:r>
        <w:rPr>
          <w:szCs w:val="22"/>
          <w:lang w:val="sk-SK"/>
        </w:rPr>
        <w:tab/>
        <w:t>Liečebné opatrenia v prípade predávkovania</w:t>
      </w:r>
    </w:p>
    <w:p w:rsidR="00073471" w:rsidRPr="007D180D" w:rsidRDefault="00073471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proofErr w:type="spellStart"/>
      <w:r>
        <w:rPr>
          <w:szCs w:val="22"/>
          <w:lang w:val="sk-SK"/>
        </w:rPr>
        <w:t>Kalciumfolinát</w:t>
      </w:r>
      <w:proofErr w:type="spellEnd"/>
      <w:r>
        <w:rPr>
          <w:szCs w:val="22"/>
          <w:lang w:val="sk-SK"/>
        </w:rPr>
        <w:t xml:space="preserve"> je špecifické </w:t>
      </w:r>
      <w:proofErr w:type="spellStart"/>
      <w:r>
        <w:rPr>
          <w:szCs w:val="22"/>
          <w:lang w:val="sk-SK"/>
        </w:rPr>
        <w:t>antidotum</w:t>
      </w:r>
      <w:proofErr w:type="spellEnd"/>
      <w:r>
        <w:rPr>
          <w:szCs w:val="22"/>
          <w:lang w:val="sk-SK"/>
        </w:rPr>
        <w:t xml:space="preserve"> na neutralizáciu toxických nežiaducich účinkov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>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V prípade neúmyselného predávkovania je potrebné do jednej hodiny intravenózne alebo </w:t>
      </w:r>
      <w:proofErr w:type="spellStart"/>
      <w:r>
        <w:rPr>
          <w:szCs w:val="22"/>
          <w:lang w:val="sk-SK"/>
        </w:rPr>
        <w:t>intramuskulárne</w:t>
      </w:r>
      <w:proofErr w:type="spellEnd"/>
      <w:r>
        <w:rPr>
          <w:szCs w:val="22"/>
          <w:lang w:val="sk-SK"/>
        </w:rPr>
        <w:t xml:space="preserve"> podávať </w:t>
      </w:r>
      <w:proofErr w:type="spellStart"/>
      <w:r>
        <w:rPr>
          <w:szCs w:val="22"/>
          <w:lang w:val="sk-SK"/>
        </w:rPr>
        <w:t>kalciumfolinát</w:t>
      </w:r>
      <w:proofErr w:type="spellEnd"/>
      <w:r>
        <w:rPr>
          <w:szCs w:val="22"/>
          <w:lang w:val="sk-SK"/>
        </w:rPr>
        <w:t xml:space="preserve"> v rovnakom alebo vyššom množstve, ako bola toxická dávka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, a pokračovať v dávkovaní dovtedy, pokiaľ sérové hladiny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 poklesnú pod 10</w:t>
      </w:r>
      <w:r>
        <w:rPr>
          <w:szCs w:val="22"/>
          <w:vertAlign w:val="superscript"/>
          <w:lang w:val="sk-SK"/>
        </w:rPr>
        <w:noBreakHyphen/>
        <w:t>7</w:t>
      </w:r>
      <w:r>
        <w:rPr>
          <w:szCs w:val="22"/>
          <w:lang w:val="sk-SK"/>
        </w:rPr>
        <w:t> mol/l.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V prípade masívneho predávkovania môže byť nevyhnutná hydratácia a </w:t>
      </w:r>
      <w:proofErr w:type="spellStart"/>
      <w:r>
        <w:rPr>
          <w:szCs w:val="22"/>
          <w:lang w:val="sk-SK"/>
        </w:rPr>
        <w:t>alkalizácia</w:t>
      </w:r>
      <w:proofErr w:type="spellEnd"/>
      <w:r>
        <w:rPr>
          <w:szCs w:val="22"/>
          <w:lang w:val="sk-SK"/>
        </w:rPr>
        <w:t xml:space="preserve"> moču, aby sa zabránilo </w:t>
      </w:r>
      <w:proofErr w:type="spellStart"/>
      <w:r>
        <w:rPr>
          <w:szCs w:val="22"/>
          <w:lang w:val="sk-SK"/>
        </w:rPr>
        <w:t>precipitácii</w:t>
      </w:r>
      <w:proofErr w:type="spellEnd"/>
      <w:r>
        <w:rPr>
          <w:szCs w:val="22"/>
          <w:lang w:val="sk-SK"/>
        </w:rPr>
        <w:t xml:space="preserve">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 a/alebo jeho </w:t>
      </w:r>
      <w:proofErr w:type="spellStart"/>
      <w:r>
        <w:rPr>
          <w:szCs w:val="22"/>
          <w:lang w:val="sk-SK"/>
        </w:rPr>
        <w:t>metabolitov</w:t>
      </w:r>
      <w:proofErr w:type="spellEnd"/>
      <w:r>
        <w:rPr>
          <w:szCs w:val="22"/>
          <w:lang w:val="sk-SK"/>
        </w:rPr>
        <w:t xml:space="preserve"> v obličkových </w:t>
      </w:r>
      <w:proofErr w:type="spellStart"/>
      <w:r>
        <w:rPr>
          <w:szCs w:val="22"/>
          <w:lang w:val="sk-SK"/>
        </w:rPr>
        <w:t>tubuloch</w:t>
      </w:r>
      <w:proofErr w:type="spellEnd"/>
      <w:r>
        <w:rPr>
          <w:szCs w:val="22"/>
          <w:lang w:val="sk-SK"/>
        </w:rPr>
        <w:t xml:space="preserve">. Ani hemodialýza, ani </w:t>
      </w:r>
      <w:proofErr w:type="spellStart"/>
      <w:r>
        <w:rPr>
          <w:szCs w:val="22"/>
          <w:lang w:val="sk-SK"/>
        </w:rPr>
        <w:t>peritoneálna</w:t>
      </w:r>
      <w:proofErr w:type="spellEnd"/>
      <w:r>
        <w:rPr>
          <w:szCs w:val="22"/>
          <w:lang w:val="sk-SK"/>
        </w:rPr>
        <w:t xml:space="preserve"> dialýza nepreukázali zlepšenie vylučovania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. Efektívny </w:t>
      </w:r>
      <w:proofErr w:type="spellStart"/>
      <w:r>
        <w:rPr>
          <w:szCs w:val="22"/>
          <w:lang w:val="sk-SK"/>
        </w:rPr>
        <w:t>klírens</w:t>
      </w:r>
      <w:proofErr w:type="spellEnd"/>
      <w:r>
        <w:rPr>
          <w:szCs w:val="22"/>
          <w:lang w:val="sk-SK"/>
        </w:rPr>
        <w:t xml:space="preserve">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 bol hlásený pri akútnej, </w:t>
      </w:r>
      <w:proofErr w:type="spellStart"/>
      <w:r>
        <w:rPr>
          <w:szCs w:val="22"/>
          <w:lang w:val="sk-SK"/>
        </w:rPr>
        <w:t>intermitentnej</w:t>
      </w:r>
      <w:proofErr w:type="spellEnd"/>
      <w:r>
        <w:rPr>
          <w:szCs w:val="22"/>
          <w:lang w:val="sk-SK"/>
        </w:rPr>
        <w:t xml:space="preserve"> hemodialýze s použitím vysoko priepustných techník.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8E7559" w:rsidRPr="007D180D" w:rsidRDefault="008E7559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1"/>
        <w:rPr>
          <w:rFonts w:cs="Times New Roman"/>
          <w:szCs w:val="22"/>
          <w:lang w:val="sk-SK"/>
        </w:rPr>
      </w:pPr>
      <w:r>
        <w:rPr>
          <w:rFonts w:cs="Times New Roman"/>
          <w:szCs w:val="22"/>
          <w:lang w:val="sk-SK"/>
        </w:rPr>
        <w:t>FARMAKOLOGICKÉ VLASTNOSTI</w:t>
      </w:r>
    </w:p>
    <w:p w:rsidR="00784A7D" w:rsidRPr="007D180D" w:rsidRDefault="00784A7D" w:rsidP="0072168C">
      <w:pPr>
        <w:keepNext/>
        <w:rPr>
          <w:szCs w:val="22"/>
          <w:lang w:val="sk-SK"/>
        </w:rPr>
      </w:pPr>
    </w:p>
    <w:p w:rsidR="00784A7D" w:rsidRPr="007D180D" w:rsidRDefault="00D56571" w:rsidP="0072168C">
      <w:pPr>
        <w:pStyle w:val="Nadpis2"/>
        <w:rPr>
          <w:szCs w:val="22"/>
          <w:lang w:val="sk-SK"/>
        </w:rPr>
      </w:pPr>
      <w:proofErr w:type="spellStart"/>
      <w:r>
        <w:rPr>
          <w:szCs w:val="22"/>
          <w:lang w:val="sk-SK"/>
        </w:rPr>
        <w:t>Farmakodynamické</w:t>
      </w:r>
      <w:proofErr w:type="spellEnd"/>
      <w:r>
        <w:rPr>
          <w:szCs w:val="22"/>
          <w:lang w:val="sk-SK"/>
        </w:rPr>
        <w:t xml:space="preserve"> vlastnosti</w:t>
      </w:r>
    </w:p>
    <w:p w:rsidR="00784A7D" w:rsidRPr="007D180D" w:rsidRDefault="00784A7D" w:rsidP="0072168C">
      <w:pPr>
        <w:keepNext/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proofErr w:type="spellStart"/>
      <w:r>
        <w:rPr>
          <w:szCs w:val="22"/>
          <w:lang w:val="sk-SK"/>
        </w:rPr>
        <w:t>Farmakoterapeutická</w:t>
      </w:r>
      <w:proofErr w:type="spellEnd"/>
      <w:r>
        <w:rPr>
          <w:szCs w:val="22"/>
          <w:lang w:val="sk-SK"/>
        </w:rPr>
        <w:t xml:space="preserve"> skupina: </w:t>
      </w:r>
      <w:proofErr w:type="spellStart"/>
      <w:r>
        <w:rPr>
          <w:szCs w:val="22"/>
          <w:lang w:val="sk-SK"/>
        </w:rPr>
        <w:t>Analógy</w:t>
      </w:r>
      <w:proofErr w:type="spellEnd"/>
      <w:r>
        <w:rPr>
          <w:szCs w:val="22"/>
          <w:lang w:val="sk-SK"/>
        </w:rPr>
        <w:t xml:space="preserve"> kyseliny listovej, ATC kód: L01BA01</w:t>
      </w:r>
    </w:p>
    <w:p w:rsidR="004734CC" w:rsidRPr="007D180D" w:rsidRDefault="004734CC" w:rsidP="00DD0629">
      <w:pPr>
        <w:rPr>
          <w:szCs w:val="22"/>
          <w:lang w:val="sk-SK"/>
        </w:rPr>
      </w:pPr>
    </w:p>
    <w:p w:rsidR="00784A7D" w:rsidRPr="007D180D" w:rsidRDefault="00D56571" w:rsidP="00DD0629">
      <w:pPr>
        <w:rPr>
          <w:szCs w:val="22"/>
          <w:lang w:val="sk-SK"/>
        </w:rPr>
      </w:pPr>
      <w:proofErr w:type="spellStart"/>
      <w:r>
        <w:rPr>
          <w:szCs w:val="22"/>
          <w:lang w:val="sk-SK"/>
        </w:rPr>
        <w:t>Antireumatikum</w:t>
      </w:r>
      <w:proofErr w:type="spellEnd"/>
      <w:r>
        <w:rPr>
          <w:szCs w:val="22"/>
          <w:lang w:val="sk-SK"/>
        </w:rPr>
        <w:t xml:space="preserve"> na liečbu chronických, zápalových reumatických ochorení a </w:t>
      </w:r>
      <w:proofErr w:type="spellStart"/>
      <w:r>
        <w:rPr>
          <w:szCs w:val="22"/>
          <w:lang w:val="sk-SK"/>
        </w:rPr>
        <w:t>polyartritických</w:t>
      </w:r>
      <w:proofErr w:type="spellEnd"/>
      <w:r>
        <w:rPr>
          <w:szCs w:val="22"/>
          <w:lang w:val="sk-SK"/>
        </w:rPr>
        <w:t xml:space="preserve"> foriem juvenilnej </w:t>
      </w:r>
      <w:proofErr w:type="spellStart"/>
      <w:r>
        <w:rPr>
          <w:szCs w:val="22"/>
          <w:lang w:val="sk-SK"/>
        </w:rPr>
        <w:t>idiopatickej</w:t>
      </w:r>
      <w:proofErr w:type="spellEnd"/>
      <w:r>
        <w:rPr>
          <w:szCs w:val="22"/>
          <w:lang w:val="sk-SK"/>
        </w:rPr>
        <w:t xml:space="preserve"> artritídy. </w:t>
      </w:r>
      <w:proofErr w:type="spellStart"/>
      <w:r>
        <w:rPr>
          <w:szCs w:val="22"/>
          <w:lang w:val="sk-SK"/>
        </w:rPr>
        <w:t>Imunomodulačný</w:t>
      </w:r>
      <w:proofErr w:type="spellEnd"/>
      <w:r>
        <w:rPr>
          <w:szCs w:val="22"/>
          <w:lang w:val="sk-SK"/>
        </w:rPr>
        <w:t xml:space="preserve"> a protizápalový liek na liečbu </w:t>
      </w:r>
      <w:proofErr w:type="spellStart"/>
      <w:r>
        <w:rPr>
          <w:szCs w:val="22"/>
          <w:lang w:val="sk-SK"/>
        </w:rPr>
        <w:t>Crohnovej</w:t>
      </w:r>
      <w:proofErr w:type="spellEnd"/>
      <w:r>
        <w:rPr>
          <w:szCs w:val="22"/>
          <w:lang w:val="sk-SK"/>
        </w:rPr>
        <w:t xml:space="preserve"> choroby.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006E" w:rsidRPr="007D180D" w:rsidRDefault="00D56571">
      <w:pPr>
        <w:rPr>
          <w:szCs w:val="22"/>
          <w:lang w:val="sk-SK"/>
        </w:rPr>
      </w:pPr>
      <w:r>
        <w:rPr>
          <w:szCs w:val="22"/>
          <w:u w:val="single"/>
          <w:lang w:val="sk-SK"/>
        </w:rPr>
        <w:t>Mechanizmus účinku</w:t>
      </w:r>
    </w:p>
    <w:p w:rsidR="004734CC" w:rsidRPr="007D180D" w:rsidRDefault="004734CC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proofErr w:type="spellStart"/>
      <w:r>
        <w:rPr>
          <w:szCs w:val="22"/>
          <w:lang w:val="sk-SK"/>
        </w:rPr>
        <w:t>Metotrexát</w:t>
      </w:r>
      <w:proofErr w:type="spellEnd"/>
      <w:r>
        <w:rPr>
          <w:szCs w:val="22"/>
          <w:lang w:val="sk-SK"/>
        </w:rPr>
        <w:t xml:space="preserve"> je antagonistom kyseliny listovej, ktorý patrí do skupiny </w:t>
      </w:r>
      <w:proofErr w:type="spellStart"/>
      <w:r>
        <w:rPr>
          <w:szCs w:val="22"/>
          <w:lang w:val="sk-SK"/>
        </w:rPr>
        <w:t>cytostatík</w:t>
      </w:r>
      <w:proofErr w:type="spellEnd"/>
      <w:r>
        <w:rPr>
          <w:szCs w:val="22"/>
          <w:lang w:val="sk-SK"/>
        </w:rPr>
        <w:t xml:space="preserve"> známych ako </w:t>
      </w:r>
      <w:proofErr w:type="spellStart"/>
      <w:r>
        <w:rPr>
          <w:szCs w:val="22"/>
          <w:lang w:val="sk-SK"/>
        </w:rPr>
        <w:t>antimetabolity</w:t>
      </w:r>
      <w:proofErr w:type="spellEnd"/>
      <w:r>
        <w:rPr>
          <w:szCs w:val="22"/>
          <w:lang w:val="sk-SK"/>
        </w:rPr>
        <w:t xml:space="preserve">. Pôsobí </w:t>
      </w:r>
      <w:proofErr w:type="spellStart"/>
      <w:r>
        <w:rPr>
          <w:szCs w:val="22"/>
          <w:lang w:val="sk-SK"/>
        </w:rPr>
        <w:t>kompetitívnou</w:t>
      </w:r>
      <w:proofErr w:type="spellEnd"/>
      <w:r>
        <w:rPr>
          <w:szCs w:val="22"/>
          <w:lang w:val="sk-SK"/>
        </w:rPr>
        <w:t xml:space="preserve"> inhibíciou enzýmu </w:t>
      </w:r>
      <w:proofErr w:type="spellStart"/>
      <w:r>
        <w:rPr>
          <w:szCs w:val="22"/>
          <w:lang w:val="sk-SK"/>
        </w:rPr>
        <w:t>dihydrofolátreduktázy</w:t>
      </w:r>
      <w:proofErr w:type="spellEnd"/>
      <w:r>
        <w:rPr>
          <w:szCs w:val="22"/>
          <w:lang w:val="sk-SK"/>
        </w:rPr>
        <w:t xml:space="preserve">, a tak </w:t>
      </w:r>
      <w:proofErr w:type="spellStart"/>
      <w:r>
        <w:rPr>
          <w:szCs w:val="22"/>
          <w:lang w:val="sk-SK"/>
        </w:rPr>
        <w:t>inhibuje</w:t>
      </w:r>
      <w:proofErr w:type="spellEnd"/>
      <w:r>
        <w:rPr>
          <w:szCs w:val="22"/>
          <w:lang w:val="sk-SK"/>
        </w:rPr>
        <w:t xml:space="preserve"> syntézu </w:t>
      </w:r>
      <w:proofErr w:type="spellStart"/>
      <w:r>
        <w:rPr>
          <w:szCs w:val="22"/>
          <w:lang w:val="sk-SK"/>
        </w:rPr>
        <w:t>deoxyribonukleovej</w:t>
      </w:r>
      <w:proofErr w:type="spellEnd"/>
      <w:r>
        <w:rPr>
          <w:szCs w:val="22"/>
          <w:lang w:val="sk-SK"/>
        </w:rPr>
        <w:t xml:space="preserve"> kyseliny (DNK). Doteraz nebolo objasnené, či účinnosť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 v liečbe psoriázy, </w:t>
      </w:r>
      <w:proofErr w:type="spellStart"/>
      <w:r>
        <w:rPr>
          <w:szCs w:val="22"/>
          <w:lang w:val="sk-SK"/>
        </w:rPr>
        <w:t>psoriatickej</w:t>
      </w:r>
      <w:proofErr w:type="spellEnd"/>
      <w:r>
        <w:rPr>
          <w:szCs w:val="22"/>
          <w:lang w:val="sk-SK"/>
        </w:rPr>
        <w:t xml:space="preserve"> artritídy, chronickej </w:t>
      </w:r>
      <w:proofErr w:type="spellStart"/>
      <w:r>
        <w:rPr>
          <w:szCs w:val="22"/>
          <w:lang w:val="sk-SK"/>
        </w:rPr>
        <w:t>polyartritídy</w:t>
      </w:r>
      <w:proofErr w:type="spellEnd"/>
      <w:r>
        <w:rPr>
          <w:szCs w:val="22"/>
          <w:lang w:val="sk-SK"/>
        </w:rPr>
        <w:t xml:space="preserve"> a </w:t>
      </w:r>
      <w:proofErr w:type="spellStart"/>
      <w:r>
        <w:rPr>
          <w:lang w:val="sk-SK"/>
        </w:rPr>
        <w:t>Crohnovej</w:t>
      </w:r>
      <w:proofErr w:type="spellEnd"/>
      <w:r>
        <w:rPr>
          <w:lang w:val="sk-SK"/>
        </w:rPr>
        <w:t xml:space="preserve"> choroby</w:t>
      </w:r>
      <w:r>
        <w:rPr>
          <w:szCs w:val="22"/>
          <w:lang w:val="sk-SK"/>
        </w:rPr>
        <w:t xml:space="preserve"> je spôsobená protizápalovým alebo </w:t>
      </w:r>
      <w:proofErr w:type="spellStart"/>
      <w:r>
        <w:rPr>
          <w:szCs w:val="22"/>
          <w:lang w:val="sk-SK"/>
        </w:rPr>
        <w:t>imunosupresívnym</w:t>
      </w:r>
      <w:proofErr w:type="spellEnd"/>
      <w:r>
        <w:rPr>
          <w:szCs w:val="22"/>
          <w:lang w:val="sk-SK"/>
        </w:rPr>
        <w:t xml:space="preserve"> účinkom a v akom rozsahu prispieva k týmto účinkom </w:t>
      </w:r>
      <w:proofErr w:type="spellStart"/>
      <w:r>
        <w:rPr>
          <w:szCs w:val="22"/>
          <w:lang w:val="sk-SK"/>
        </w:rPr>
        <w:t>metotrexátom</w:t>
      </w:r>
      <w:proofErr w:type="spellEnd"/>
      <w:r>
        <w:rPr>
          <w:szCs w:val="22"/>
          <w:lang w:val="sk-SK"/>
        </w:rPr>
        <w:t xml:space="preserve"> vyvolané zvýšenie koncentrácie </w:t>
      </w:r>
      <w:proofErr w:type="spellStart"/>
      <w:r>
        <w:rPr>
          <w:szCs w:val="22"/>
          <w:lang w:val="sk-SK"/>
        </w:rPr>
        <w:t>extracelulárneho</w:t>
      </w:r>
      <w:proofErr w:type="spellEnd"/>
      <w:r>
        <w:rPr>
          <w:szCs w:val="22"/>
          <w:lang w:val="sk-SK"/>
        </w:rPr>
        <w:t xml:space="preserve"> </w:t>
      </w:r>
      <w:proofErr w:type="spellStart"/>
      <w:r>
        <w:rPr>
          <w:szCs w:val="22"/>
          <w:lang w:val="sk-SK"/>
        </w:rPr>
        <w:t>adenozínu</w:t>
      </w:r>
      <w:proofErr w:type="spellEnd"/>
      <w:r>
        <w:rPr>
          <w:szCs w:val="22"/>
          <w:lang w:val="sk-SK"/>
        </w:rPr>
        <w:t xml:space="preserve"> v miestach zápalu.</w:t>
      </w:r>
    </w:p>
    <w:p w:rsidR="004374BE" w:rsidRPr="007D180D" w:rsidRDefault="004374BE" w:rsidP="004374BE">
      <w:pPr>
        <w:rPr>
          <w:lang w:val="sk-SK"/>
        </w:rPr>
      </w:pPr>
    </w:p>
    <w:p w:rsidR="00DD0629" w:rsidRPr="007D180D" w:rsidRDefault="00D56571" w:rsidP="00DD0629">
      <w:pPr>
        <w:rPr>
          <w:szCs w:val="22"/>
          <w:lang w:val="sk-SK"/>
        </w:rPr>
      </w:pPr>
      <w:r>
        <w:rPr>
          <w:szCs w:val="22"/>
          <w:lang w:val="sk-SK"/>
        </w:rPr>
        <w:t xml:space="preserve">Medzinárodné klinické smernice popisujú používanie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 ako alternatívnej voľby pre pacientov s </w:t>
      </w:r>
      <w:proofErr w:type="spellStart"/>
      <w:r>
        <w:rPr>
          <w:szCs w:val="22"/>
          <w:lang w:val="sk-SK"/>
        </w:rPr>
        <w:t>Crohnovou</w:t>
      </w:r>
      <w:proofErr w:type="spellEnd"/>
      <w:r>
        <w:rPr>
          <w:szCs w:val="22"/>
          <w:lang w:val="sk-SK"/>
        </w:rPr>
        <w:t xml:space="preserve"> chorobou, ktorí neznášajú alebo nereagovali na </w:t>
      </w:r>
      <w:proofErr w:type="spellStart"/>
      <w:r>
        <w:rPr>
          <w:szCs w:val="22"/>
          <w:lang w:val="sk-SK"/>
        </w:rPr>
        <w:t>imunomodulačné</w:t>
      </w:r>
      <w:proofErr w:type="spellEnd"/>
      <w:r>
        <w:rPr>
          <w:szCs w:val="22"/>
          <w:lang w:val="sk-SK"/>
        </w:rPr>
        <w:t xml:space="preserve"> lieky prvej línie, ako napríklad </w:t>
      </w:r>
      <w:proofErr w:type="spellStart"/>
      <w:r>
        <w:rPr>
          <w:szCs w:val="22"/>
          <w:lang w:val="sk-SK"/>
        </w:rPr>
        <w:t>azatioprín</w:t>
      </w:r>
      <w:proofErr w:type="spellEnd"/>
      <w:r>
        <w:rPr>
          <w:szCs w:val="22"/>
          <w:lang w:val="sk-SK"/>
        </w:rPr>
        <w:t xml:space="preserve"> (AZA) alebo 6</w:t>
      </w:r>
      <w:r>
        <w:rPr>
          <w:szCs w:val="22"/>
          <w:lang w:val="sk-SK"/>
        </w:rPr>
        <w:noBreakHyphen/>
        <w:t>merkaptopurín (6</w:t>
      </w:r>
      <w:r>
        <w:rPr>
          <w:szCs w:val="22"/>
          <w:lang w:val="sk-SK"/>
        </w:rPr>
        <w:noBreakHyphen/>
        <w:t>MP).</w:t>
      </w:r>
    </w:p>
    <w:p w:rsidR="00DD0629" w:rsidRPr="007D180D" w:rsidRDefault="00DD0629" w:rsidP="00DD0629">
      <w:pPr>
        <w:rPr>
          <w:szCs w:val="22"/>
          <w:lang w:val="sk-SK"/>
        </w:rPr>
      </w:pPr>
    </w:p>
    <w:p w:rsidR="004374BE" w:rsidRPr="007D180D" w:rsidRDefault="00D56571" w:rsidP="00DD0629">
      <w:pPr>
        <w:rPr>
          <w:lang w:val="sk-SK"/>
        </w:rPr>
      </w:pPr>
      <w:r>
        <w:rPr>
          <w:szCs w:val="22"/>
          <w:lang w:val="sk-SK"/>
        </w:rPr>
        <w:t>Nežiaduce účinky pozorované v štúdiách vykonaných s </w:t>
      </w:r>
      <w:proofErr w:type="spellStart"/>
      <w:r>
        <w:rPr>
          <w:szCs w:val="22"/>
          <w:lang w:val="sk-SK"/>
        </w:rPr>
        <w:t>metotrexátom</w:t>
      </w:r>
      <w:proofErr w:type="spellEnd"/>
      <w:r>
        <w:rPr>
          <w:szCs w:val="22"/>
          <w:lang w:val="sk-SK"/>
        </w:rPr>
        <w:t xml:space="preserve"> pri liečbe </w:t>
      </w:r>
      <w:proofErr w:type="spellStart"/>
      <w:r>
        <w:rPr>
          <w:szCs w:val="22"/>
          <w:lang w:val="sk-SK"/>
        </w:rPr>
        <w:t>Crohnovej</w:t>
      </w:r>
      <w:proofErr w:type="spellEnd"/>
      <w:r>
        <w:rPr>
          <w:szCs w:val="22"/>
          <w:lang w:val="sk-SK"/>
        </w:rPr>
        <w:t xml:space="preserve"> choroby s kumulatívnymi dávkami nepreukázali odlišný bezpečnostný profil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 v porovnaní s profilom, ktorý je už známy. Preto sa musia pri používaní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 na liečbu </w:t>
      </w:r>
      <w:proofErr w:type="spellStart"/>
      <w:r>
        <w:rPr>
          <w:szCs w:val="22"/>
          <w:lang w:val="sk-SK"/>
        </w:rPr>
        <w:t>Crohnovej</w:t>
      </w:r>
      <w:proofErr w:type="spellEnd"/>
      <w:r>
        <w:rPr>
          <w:szCs w:val="22"/>
          <w:lang w:val="sk-SK"/>
        </w:rPr>
        <w:t xml:space="preserve"> choroby vykonať podobné opatrenia ako pri iných reumatických a nereumatických indikáciách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 (pozri časti 4.4 a 4.6).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2"/>
        <w:rPr>
          <w:szCs w:val="22"/>
          <w:lang w:val="sk-SK"/>
        </w:rPr>
      </w:pPr>
      <w:proofErr w:type="spellStart"/>
      <w:r>
        <w:rPr>
          <w:szCs w:val="22"/>
          <w:lang w:val="sk-SK"/>
        </w:rPr>
        <w:t>Farmakokinetické</w:t>
      </w:r>
      <w:proofErr w:type="spellEnd"/>
      <w:r>
        <w:rPr>
          <w:szCs w:val="22"/>
          <w:lang w:val="sk-SK"/>
        </w:rPr>
        <w:t xml:space="preserve"> vlastnosti</w:t>
      </w:r>
    </w:p>
    <w:p w:rsidR="00784A7D" w:rsidRPr="007D180D" w:rsidRDefault="00784A7D" w:rsidP="0072168C">
      <w:pPr>
        <w:keepNext/>
        <w:rPr>
          <w:szCs w:val="22"/>
          <w:lang w:val="sk-SK"/>
        </w:rPr>
      </w:pPr>
    </w:p>
    <w:p w:rsidR="004734CC" w:rsidRPr="007D180D" w:rsidRDefault="00D56571">
      <w:pPr>
        <w:rPr>
          <w:b/>
          <w:iCs/>
          <w:noProof/>
          <w:szCs w:val="22"/>
          <w:u w:val="single"/>
          <w:lang w:val="sk-SK"/>
        </w:rPr>
      </w:pPr>
      <w:r>
        <w:rPr>
          <w:b/>
          <w:iCs/>
          <w:noProof/>
          <w:szCs w:val="22"/>
          <w:u w:val="single"/>
          <w:lang w:val="sk-SK"/>
        </w:rPr>
        <w:t>Absorbcia</w:t>
      </w:r>
    </w:p>
    <w:p w:rsidR="004734CC" w:rsidRPr="007D180D" w:rsidRDefault="00D56571">
      <w:pPr>
        <w:rPr>
          <w:iCs/>
          <w:noProof/>
          <w:szCs w:val="22"/>
          <w:lang w:val="sk-SK"/>
        </w:rPr>
      </w:pPr>
      <w:r>
        <w:rPr>
          <w:iCs/>
          <w:noProof/>
          <w:szCs w:val="22"/>
          <w:lang w:val="sk-SK"/>
        </w:rPr>
        <w:t>Biologická dostupnosť po subkutánnej, intravenóznej a intramuskulárnej injekcií je porovnateľná a blíži sa k 100%.</w:t>
      </w:r>
    </w:p>
    <w:p w:rsidR="004734CC" w:rsidRPr="007D180D" w:rsidRDefault="004734CC">
      <w:pPr>
        <w:rPr>
          <w:iCs/>
          <w:noProof/>
          <w:szCs w:val="22"/>
          <w:u w:val="single"/>
          <w:lang w:val="sk-SK"/>
        </w:rPr>
      </w:pPr>
    </w:p>
    <w:p w:rsidR="004374BE" w:rsidRPr="007D180D" w:rsidRDefault="00D56571">
      <w:pPr>
        <w:rPr>
          <w:b/>
          <w:szCs w:val="22"/>
          <w:lang w:val="sk-SK"/>
        </w:rPr>
      </w:pPr>
      <w:r>
        <w:rPr>
          <w:b/>
          <w:iCs/>
          <w:noProof/>
          <w:szCs w:val="22"/>
          <w:u w:val="single"/>
          <w:lang w:val="sk-SK"/>
        </w:rPr>
        <w:t>Distribúcia</w:t>
      </w:r>
    </w:p>
    <w:p w:rsidR="004734CC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Približne 50%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 sa viaže na proteíny séra. Po distribúcii do telesných tkanív sa vysoké koncentrácie vo forme </w:t>
      </w:r>
      <w:proofErr w:type="spellStart"/>
      <w:r>
        <w:rPr>
          <w:szCs w:val="22"/>
          <w:lang w:val="sk-SK"/>
        </w:rPr>
        <w:t>polyglutamátov</w:t>
      </w:r>
      <w:proofErr w:type="spellEnd"/>
      <w:r>
        <w:rPr>
          <w:szCs w:val="22"/>
          <w:lang w:val="sk-SK"/>
        </w:rPr>
        <w:t xml:space="preserve"> nachádzajú najmä v pečeni, obličiek a v slezine, kde sa môžu udržiavať týždne alebo mesiace. Keď sa podáva v nízkych dávkach, </w:t>
      </w:r>
      <w:proofErr w:type="spellStart"/>
      <w:r>
        <w:rPr>
          <w:szCs w:val="22"/>
          <w:lang w:val="sk-SK"/>
        </w:rPr>
        <w:t>metotrexát</w:t>
      </w:r>
      <w:proofErr w:type="spellEnd"/>
      <w:r>
        <w:rPr>
          <w:szCs w:val="22"/>
          <w:lang w:val="sk-SK"/>
        </w:rPr>
        <w:t xml:space="preserve"> prechádza v malých množstvách do </w:t>
      </w:r>
      <w:proofErr w:type="spellStart"/>
      <w:r>
        <w:rPr>
          <w:szCs w:val="22"/>
          <w:lang w:val="sk-SK"/>
        </w:rPr>
        <w:t>likvoru</w:t>
      </w:r>
      <w:proofErr w:type="spellEnd"/>
      <w:r>
        <w:rPr>
          <w:szCs w:val="22"/>
          <w:lang w:val="sk-SK"/>
        </w:rPr>
        <w:t>.</w:t>
      </w:r>
    </w:p>
    <w:p w:rsidR="004734CC" w:rsidRPr="007D180D" w:rsidRDefault="004734CC" w:rsidP="0072168C">
      <w:pPr>
        <w:rPr>
          <w:szCs w:val="22"/>
          <w:lang w:val="sk-SK"/>
        </w:rPr>
      </w:pPr>
    </w:p>
    <w:p w:rsidR="004374BE" w:rsidRPr="007D180D" w:rsidRDefault="00D56571">
      <w:pPr>
        <w:rPr>
          <w:b/>
          <w:szCs w:val="22"/>
          <w:lang w:val="sk-SK"/>
        </w:rPr>
      </w:pPr>
      <w:r>
        <w:rPr>
          <w:b/>
          <w:iCs/>
          <w:noProof/>
          <w:szCs w:val="22"/>
          <w:u w:val="single"/>
          <w:lang w:val="sk-SK"/>
        </w:rPr>
        <w:t>Biotransformácia</w:t>
      </w:r>
    </w:p>
    <w:p w:rsidR="00302EA7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Približne 10% podávanej dávky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 sa metabolizuje </w:t>
      </w:r>
      <w:proofErr w:type="spellStart"/>
      <w:r>
        <w:rPr>
          <w:szCs w:val="22"/>
          <w:lang w:val="sk-SK"/>
        </w:rPr>
        <w:t>intrahepatálne</w:t>
      </w:r>
      <w:proofErr w:type="spellEnd"/>
      <w:r>
        <w:rPr>
          <w:szCs w:val="22"/>
          <w:lang w:val="sk-SK"/>
        </w:rPr>
        <w:t xml:space="preserve">. Hlavný </w:t>
      </w:r>
      <w:proofErr w:type="spellStart"/>
      <w:r>
        <w:rPr>
          <w:szCs w:val="22"/>
          <w:lang w:val="sk-SK"/>
        </w:rPr>
        <w:t>metabolit</w:t>
      </w:r>
      <w:proofErr w:type="spellEnd"/>
      <w:r>
        <w:rPr>
          <w:szCs w:val="22"/>
          <w:lang w:val="sk-SK"/>
        </w:rPr>
        <w:t xml:space="preserve"> je </w:t>
      </w:r>
    </w:p>
    <w:p w:rsidR="00302EA7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>7-hydroxymetotrexát.</w:t>
      </w:r>
    </w:p>
    <w:p w:rsidR="00302EA7" w:rsidRPr="007D180D" w:rsidRDefault="00302EA7" w:rsidP="0072168C">
      <w:pPr>
        <w:rPr>
          <w:szCs w:val="22"/>
          <w:lang w:val="sk-SK"/>
        </w:rPr>
      </w:pPr>
    </w:p>
    <w:p w:rsidR="00784A7D" w:rsidRPr="007D180D" w:rsidRDefault="00D56571" w:rsidP="004374BE">
      <w:pPr>
        <w:rPr>
          <w:b/>
          <w:szCs w:val="22"/>
          <w:lang w:val="sk-SK"/>
        </w:rPr>
      </w:pPr>
      <w:r>
        <w:rPr>
          <w:b/>
          <w:iCs/>
          <w:noProof/>
          <w:szCs w:val="22"/>
          <w:u w:val="single"/>
          <w:lang w:val="sk-SK"/>
        </w:rPr>
        <w:t>Eliminácia</w:t>
      </w:r>
    </w:p>
    <w:p w:rsidR="00784A7D" w:rsidRPr="007D180D" w:rsidRDefault="00D56571" w:rsidP="0072168C">
      <w:pPr>
        <w:rPr>
          <w:szCs w:val="22"/>
          <w:lang w:val="sk-SK"/>
        </w:rPr>
      </w:pPr>
      <w:proofErr w:type="spellStart"/>
      <w:r>
        <w:rPr>
          <w:szCs w:val="22"/>
          <w:lang w:val="sk-SK"/>
        </w:rPr>
        <w:t>Metotrexát</w:t>
      </w:r>
      <w:proofErr w:type="spellEnd"/>
      <w:r>
        <w:rPr>
          <w:szCs w:val="22"/>
          <w:lang w:val="sk-SK"/>
        </w:rPr>
        <w:t xml:space="preserve"> sa vylučuje hlavne v nezmenenej forme, prevažne obličkami, </w:t>
      </w:r>
      <w:proofErr w:type="spellStart"/>
      <w:r>
        <w:rPr>
          <w:szCs w:val="22"/>
          <w:lang w:val="sk-SK"/>
        </w:rPr>
        <w:t>glomerulárnou</w:t>
      </w:r>
      <w:proofErr w:type="spellEnd"/>
      <w:r>
        <w:rPr>
          <w:szCs w:val="22"/>
          <w:lang w:val="sk-SK"/>
        </w:rPr>
        <w:t xml:space="preserve"> filtráciou a aktívnou sekréciou v </w:t>
      </w:r>
      <w:proofErr w:type="spellStart"/>
      <w:r>
        <w:rPr>
          <w:szCs w:val="22"/>
          <w:lang w:val="sk-SK"/>
        </w:rPr>
        <w:t>proximálnych</w:t>
      </w:r>
      <w:proofErr w:type="spellEnd"/>
      <w:r>
        <w:rPr>
          <w:szCs w:val="22"/>
          <w:lang w:val="sk-SK"/>
        </w:rPr>
        <w:t xml:space="preserve"> </w:t>
      </w:r>
      <w:proofErr w:type="spellStart"/>
      <w:r>
        <w:rPr>
          <w:szCs w:val="22"/>
          <w:lang w:val="sk-SK"/>
        </w:rPr>
        <w:t>tubuloch</w:t>
      </w:r>
      <w:proofErr w:type="spellEnd"/>
      <w:r>
        <w:rPr>
          <w:szCs w:val="22"/>
          <w:lang w:val="sk-SK"/>
        </w:rPr>
        <w:t>.</w:t>
      </w: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Približne 5 – 20 % </w:t>
      </w:r>
      <w:proofErr w:type="spellStart"/>
      <w:r>
        <w:rPr>
          <w:szCs w:val="22"/>
          <w:lang w:val="sk-SK"/>
        </w:rPr>
        <w:t>metotrexátu</w:t>
      </w:r>
      <w:proofErr w:type="spellEnd"/>
      <w:r>
        <w:rPr>
          <w:szCs w:val="22"/>
          <w:lang w:val="sk-SK"/>
        </w:rPr>
        <w:t xml:space="preserve"> a 1 – 5 % 7</w:t>
      </w:r>
      <w:r>
        <w:rPr>
          <w:szCs w:val="22"/>
          <w:lang w:val="sk-SK"/>
        </w:rPr>
        <w:noBreakHyphen/>
        <w:t xml:space="preserve">hydroxymetotrexátu sa vylučuje žlčou. Existuje zreteľný </w:t>
      </w:r>
      <w:proofErr w:type="spellStart"/>
      <w:r>
        <w:rPr>
          <w:szCs w:val="22"/>
          <w:lang w:val="sk-SK"/>
        </w:rPr>
        <w:t>enterohepatálny</w:t>
      </w:r>
      <w:proofErr w:type="spellEnd"/>
      <w:r>
        <w:rPr>
          <w:szCs w:val="22"/>
          <w:lang w:val="sk-SK"/>
        </w:rPr>
        <w:t xml:space="preserve"> obeh.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30321E" w:rsidRPr="007D180D" w:rsidRDefault="00D56571" w:rsidP="00154D19">
      <w:pPr>
        <w:rPr>
          <w:szCs w:val="22"/>
          <w:lang w:val="sk-SK"/>
        </w:rPr>
      </w:pPr>
      <w:r>
        <w:rPr>
          <w:szCs w:val="22"/>
          <w:lang w:val="sk-SK"/>
        </w:rPr>
        <w:t>Terminálny polčas je v priemere 6-7 hodín a vyznačuje sa značnou variabilitou (3 – 17 hodín).</w:t>
      </w:r>
    </w:p>
    <w:p w:rsidR="00A878A5" w:rsidRPr="007D180D" w:rsidRDefault="00D56571" w:rsidP="00A878A5">
      <w:pPr>
        <w:rPr>
          <w:szCs w:val="22"/>
          <w:lang w:val="sk-SK"/>
        </w:rPr>
      </w:pPr>
      <w:r>
        <w:rPr>
          <w:szCs w:val="22"/>
          <w:lang w:val="sk-SK"/>
        </w:rPr>
        <w:t>Polčas sa môže predĺžiť na štvornásobok normálnej dĺžky u pacientov, ktorí majú tretí distribučný priestor (</w:t>
      </w:r>
      <w:proofErr w:type="spellStart"/>
      <w:r>
        <w:rPr>
          <w:szCs w:val="22"/>
          <w:lang w:val="sk-SK"/>
        </w:rPr>
        <w:t>pleurálny</w:t>
      </w:r>
      <w:proofErr w:type="spellEnd"/>
      <w:r>
        <w:rPr>
          <w:szCs w:val="22"/>
          <w:lang w:val="sk-SK"/>
        </w:rPr>
        <w:t xml:space="preserve"> výpotok, </w:t>
      </w:r>
      <w:proofErr w:type="spellStart"/>
      <w:r>
        <w:rPr>
          <w:szCs w:val="22"/>
          <w:lang w:val="sk-SK"/>
        </w:rPr>
        <w:t>ascites</w:t>
      </w:r>
      <w:proofErr w:type="spellEnd"/>
      <w:r>
        <w:rPr>
          <w:szCs w:val="22"/>
          <w:lang w:val="sk-SK"/>
        </w:rPr>
        <w:t>).</w:t>
      </w:r>
    </w:p>
    <w:p w:rsidR="00A878A5" w:rsidRPr="007D180D" w:rsidRDefault="00A878A5" w:rsidP="00A878A5">
      <w:pPr>
        <w:rPr>
          <w:szCs w:val="22"/>
          <w:lang w:val="sk-SK"/>
        </w:rPr>
      </w:pPr>
    </w:p>
    <w:p w:rsidR="00A878A5" w:rsidRPr="007D180D" w:rsidRDefault="00D56571" w:rsidP="00A878A5">
      <w:pPr>
        <w:rPr>
          <w:szCs w:val="22"/>
          <w:u w:val="single"/>
          <w:lang w:val="sk-SK"/>
        </w:rPr>
      </w:pPr>
      <w:r>
        <w:rPr>
          <w:szCs w:val="22"/>
          <w:u w:val="single"/>
          <w:lang w:val="sk-SK"/>
        </w:rPr>
        <w:t>Špeciálne populácie</w:t>
      </w:r>
    </w:p>
    <w:p w:rsidR="00A878A5" w:rsidRPr="007D180D" w:rsidRDefault="00D56571" w:rsidP="00154D19">
      <w:pPr>
        <w:rPr>
          <w:szCs w:val="22"/>
          <w:lang w:val="sk-SK"/>
        </w:rPr>
      </w:pPr>
      <w:r>
        <w:rPr>
          <w:szCs w:val="22"/>
          <w:lang w:val="sk-SK"/>
        </w:rPr>
        <w:t xml:space="preserve">V prípade </w:t>
      </w:r>
      <w:proofErr w:type="spellStart"/>
      <w:r>
        <w:rPr>
          <w:szCs w:val="22"/>
          <w:lang w:val="sk-SK"/>
        </w:rPr>
        <w:t>renálnej</w:t>
      </w:r>
      <w:proofErr w:type="spellEnd"/>
      <w:r>
        <w:rPr>
          <w:szCs w:val="22"/>
          <w:lang w:val="sk-SK"/>
        </w:rPr>
        <w:t xml:space="preserve"> </w:t>
      </w:r>
      <w:proofErr w:type="spellStart"/>
      <w:r>
        <w:rPr>
          <w:szCs w:val="22"/>
          <w:lang w:val="sk-SK"/>
        </w:rPr>
        <w:t>insuficiencie</w:t>
      </w:r>
      <w:proofErr w:type="spellEnd"/>
      <w:r>
        <w:rPr>
          <w:szCs w:val="22"/>
          <w:lang w:val="sk-SK"/>
        </w:rPr>
        <w:t xml:space="preserve"> je eliminácia </w:t>
      </w:r>
      <w:proofErr w:type="spellStart"/>
      <w:r>
        <w:rPr>
          <w:szCs w:val="22"/>
          <w:lang w:val="sk-SK"/>
        </w:rPr>
        <w:t>signifikantne</w:t>
      </w:r>
      <w:proofErr w:type="spellEnd"/>
      <w:r>
        <w:rPr>
          <w:szCs w:val="22"/>
          <w:lang w:val="sk-SK"/>
        </w:rPr>
        <w:t xml:space="preserve"> oneskorená. Porucha eliminácie s ohľadom na </w:t>
      </w:r>
      <w:proofErr w:type="spellStart"/>
      <w:r>
        <w:rPr>
          <w:szCs w:val="22"/>
          <w:lang w:val="sk-SK"/>
        </w:rPr>
        <w:t>hepatálnu</w:t>
      </w:r>
      <w:proofErr w:type="spellEnd"/>
      <w:r>
        <w:rPr>
          <w:szCs w:val="22"/>
          <w:lang w:val="sk-SK"/>
        </w:rPr>
        <w:t xml:space="preserve"> </w:t>
      </w:r>
      <w:proofErr w:type="spellStart"/>
      <w:r>
        <w:rPr>
          <w:szCs w:val="22"/>
          <w:lang w:val="sk-SK"/>
        </w:rPr>
        <w:t>insuficienciu</w:t>
      </w:r>
      <w:proofErr w:type="spellEnd"/>
      <w:r>
        <w:rPr>
          <w:szCs w:val="22"/>
          <w:lang w:val="sk-SK"/>
        </w:rPr>
        <w:t xml:space="preserve"> nie je známa.</w:t>
      </w:r>
    </w:p>
    <w:p w:rsidR="00A878A5" w:rsidRPr="007D180D" w:rsidRDefault="00A878A5" w:rsidP="00154D19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2"/>
        <w:rPr>
          <w:szCs w:val="22"/>
          <w:lang w:val="sk-SK"/>
        </w:rPr>
      </w:pPr>
      <w:r>
        <w:rPr>
          <w:szCs w:val="22"/>
          <w:lang w:val="sk-SK"/>
        </w:rPr>
        <w:t>Predklinické údaje o bezpečnosti</w:t>
      </w:r>
    </w:p>
    <w:p w:rsidR="00784A7D" w:rsidRPr="007D180D" w:rsidRDefault="00784A7D" w:rsidP="0072168C">
      <w:pPr>
        <w:keepNext/>
        <w:rPr>
          <w:szCs w:val="22"/>
          <w:lang w:val="sk-SK"/>
        </w:rPr>
      </w:pPr>
    </w:p>
    <w:p w:rsidR="00784A7D" w:rsidRPr="007D180D" w:rsidRDefault="00D56571" w:rsidP="0072168C">
      <w:pPr>
        <w:rPr>
          <w:iCs/>
          <w:szCs w:val="22"/>
          <w:lang w:val="sk-SK"/>
        </w:rPr>
      </w:pPr>
      <w:r>
        <w:rPr>
          <w:szCs w:val="22"/>
          <w:lang w:val="sk-SK"/>
        </w:rPr>
        <w:t xml:space="preserve">Štúdie na zvieratách ukázali, že </w:t>
      </w:r>
      <w:proofErr w:type="spellStart"/>
      <w:r>
        <w:rPr>
          <w:szCs w:val="22"/>
          <w:lang w:val="sk-SK"/>
        </w:rPr>
        <w:t>metotrexát</w:t>
      </w:r>
      <w:proofErr w:type="spellEnd"/>
      <w:r>
        <w:rPr>
          <w:szCs w:val="22"/>
          <w:lang w:val="sk-SK"/>
        </w:rPr>
        <w:t xml:space="preserve"> zhoršuje </w:t>
      </w:r>
      <w:proofErr w:type="spellStart"/>
      <w:r>
        <w:rPr>
          <w:szCs w:val="22"/>
          <w:lang w:val="sk-SK"/>
        </w:rPr>
        <w:t>fertilitu</w:t>
      </w:r>
      <w:proofErr w:type="spellEnd"/>
      <w:r>
        <w:rPr>
          <w:szCs w:val="22"/>
          <w:lang w:val="sk-SK"/>
        </w:rPr>
        <w:t xml:space="preserve">, je embryo- a </w:t>
      </w:r>
      <w:proofErr w:type="spellStart"/>
      <w:r>
        <w:rPr>
          <w:szCs w:val="22"/>
          <w:lang w:val="sk-SK"/>
        </w:rPr>
        <w:t>fetotoxický</w:t>
      </w:r>
      <w:proofErr w:type="spellEnd"/>
      <w:r>
        <w:rPr>
          <w:szCs w:val="22"/>
          <w:lang w:val="sk-SK"/>
        </w:rPr>
        <w:t xml:space="preserve"> a </w:t>
      </w:r>
      <w:proofErr w:type="spellStart"/>
      <w:r>
        <w:rPr>
          <w:szCs w:val="22"/>
          <w:lang w:val="sk-SK"/>
        </w:rPr>
        <w:t>teratogénny</w:t>
      </w:r>
      <w:proofErr w:type="spellEnd"/>
      <w:r>
        <w:rPr>
          <w:szCs w:val="22"/>
          <w:lang w:val="sk-SK"/>
        </w:rPr>
        <w:t xml:space="preserve">. </w:t>
      </w:r>
      <w:proofErr w:type="spellStart"/>
      <w:r>
        <w:rPr>
          <w:szCs w:val="22"/>
          <w:lang w:val="sk-SK"/>
        </w:rPr>
        <w:t>Metotrexát</w:t>
      </w:r>
      <w:proofErr w:type="spellEnd"/>
      <w:r>
        <w:rPr>
          <w:szCs w:val="22"/>
          <w:lang w:val="sk-SK"/>
        </w:rPr>
        <w:t xml:space="preserve"> je mutagénny </w:t>
      </w:r>
      <w:r>
        <w:rPr>
          <w:i/>
          <w:szCs w:val="22"/>
          <w:lang w:val="sk-SK"/>
        </w:rPr>
        <w:t xml:space="preserve">in </w:t>
      </w:r>
      <w:proofErr w:type="spellStart"/>
      <w:r>
        <w:rPr>
          <w:i/>
          <w:szCs w:val="22"/>
          <w:lang w:val="sk-SK"/>
        </w:rPr>
        <w:t>vivo</w:t>
      </w:r>
      <w:proofErr w:type="spellEnd"/>
      <w:r>
        <w:rPr>
          <w:szCs w:val="22"/>
          <w:lang w:val="sk-SK"/>
        </w:rPr>
        <w:t xml:space="preserve"> a </w:t>
      </w:r>
      <w:r>
        <w:rPr>
          <w:i/>
          <w:szCs w:val="22"/>
          <w:lang w:val="sk-SK"/>
        </w:rPr>
        <w:t xml:space="preserve">in </w:t>
      </w:r>
      <w:proofErr w:type="spellStart"/>
      <w:r>
        <w:rPr>
          <w:i/>
          <w:szCs w:val="22"/>
          <w:lang w:val="sk-SK"/>
        </w:rPr>
        <w:t>vitro</w:t>
      </w:r>
      <w:proofErr w:type="spellEnd"/>
      <w:r>
        <w:rPr>
          <w:i/>
          <w:szCs w:val="22"/>
          <w:lang w:val="sk-SK"/>
        </w:rPr>
        <w:t xml:space="preserve">. </w:t>
      </w:r>
      <w:r>
        <w:rPr>
          <w:iCs/>
          <w:szCs w:val="22"/>
          <w:lang w:val="sk-SK"/>
        </w:rPr>
        <w:t xml:space="preserve">Keďže sa nevykonali konvenčné štúdie karcinogenity a údaje zo štúdií chronickej toxicity u potkanov sú nekonzistentné, </w:t>
      </w:r>
      <w:proofErr w:type="spellStart"/>
      <w:r>
        <w:rPr>
          <w:iCs/>
          <w:szCs w:val="22"/>
          <w:lang w:val="sk-SK"/>
        </w:rPr>
        <w:t>metotrexát</w:t>
      </w:r>
      <w:proofErr w:type="spellEnd"/>
      <w:r>
        <w:rPr>
          <w:iCs/>
          <w:szCs w:val="22"/>
          <w:lang w:val="sk-SK"/>
        </w:rPr>
        <w:t xml:space="preserve"> </w:t>
      </w:r>
      <w:r>
        <w:rPr>
          <w:b/>
          <w:bCs/>
          <w:iCs/>
          <w:szCs w:val="22"/>
          <w:lang w:val="sk-SK"/>
        </w:rPr>
        <w:t xml:space="preserve">nie je </w:t>
      </w:r>
      <w:proofErr w:type="spellStart"/>
      <w:r>
        <w:rPr>
          <w:b/>
          <w:bCs/>
          <w:iCs/>
          <w:szCs w:val="22"/>
          <w:lang w:val="sk-SK"/>
        </w:rPr>
        <w:t>klasifikovateľný</w:t>
      </w:r>
      <w:proofErr w:type="spellEnd"/>
      <w:r>
        <w:rPr>
          <w:iCs/>
          <w:szCs w:val="22"/>
          <w:lang w:val="sk-SK"/>
        </w:rPr>
        <w:t xml:space="preserve"> v oblasti karcinogenity u ľudí.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3678D9" w:rsidRPr="007D180D" w:rsidRDefault="003678D9" w:rsidP="0072168C">
      <w:pPr>
        <w:rPr>
          <w:szCs w:val="22"/>
          <w:lang w:val="sk-SK"/>
        </w:rPr>
      </w:pPr>
    </w:p>
    <w:p w:rsidR="00784A7D" w:rsidRPr="007D180D" w:rsidRDefault="00D56571" w:rsidP="009E21B7">
      <w:pPr>
        <w:pStyle w:val="Nadpis1"/>
        <w:keepLines/>
        <w:rPr>
          <w:rFonts w:cs="Times New Roman"/>
          <w:szCs w:val="22"/>
          <w:lang w:val="sk-SK"/>
        </w:rPr>
      </w:pPr>
      <w:r>
        <w:rPr>
          <w:rFonts w:cs="Times New Roman"/>
          <w:szCs w:val="22"/>
          <w:lang w:val="sk-SK"/>
        </w:rPr>
        <w:t>FARMACEUTICKÉ INFORMÁCIE</w:t>
      </w:r>
    </w:p>
    <w:p w:rsidR="00784A7D" w:rsidRPr="007D180D" w:rsidRDefault="00784A7D" w:rsidP="009E21B7">
      <w:pPr>
        <w:keepNext/>
        <w:keepLines/>
        <w:rPr>
          <w:szCs w:val="22"/>
          <w:lang w:val="sk-SK"/>
        </w:rPr>
      </w:pPr>
    </w:p>
    <w:p w:rsidR="00784A7D" w:rsidRPr="007D180D" w:rsidRDefault="00D56571" w:rsidP="009E21B7">
      <w:pPr>
        <w:pStyle w:val="Nadpis2"/>
        <w:keepLines/>
        <w:rPr>
          <w:szCs w:val="22"/>
          <w:lang w:val="sk-SK"/>
        </w:rPr>
      </w:pPr>
      <w:r>
        <w:rPr>
          <w:szCs w:val="22"/>
          <w:lang w:val="sk-SK"/>
        </w:rPr>
        <w:t>Zoznam pomocných látok</w:t>
      </w:r>
    </w:p>
    <w:p w:rsidR="00784A7D" w:rsidRPr="007D180D" w:rsidRDefault="00784A7D" w:rsidP="009E21B7">
      <w:pPr>
        <w:keepNext/>
        <w:keepLines/>
        <w:rPr>
          <w:szCs w:val="22"/>
          <w:lang w:val="sk-SK"/>
        </w:rPr>
      </w:pPr>
    </w:p>
    <w:p w:rsidR="00784A7D" w:rsidRPr="007D180D" w:rsidRDefault="00D56571" w:rsidP="009E21B7">
      <w:pPr>
        <w:keepNext/>
        <w:keepLines/>
        <w:rPr>
          <w:szCs w:val="22"/>
          <w:lang w:val="sk-SK"/>
        </w:rPr>
      </w:pPr>
      <w:r>
        <w:rPr>
          <w:szCs w:val="22"/>
          <w:lang w:val="sk-SK"/>
        </w:rPr>
        <w:t>Chlorid sodný</w:t>
      </w:r>
    </w:p>
    <w:p w:rsidR="00784A7D" w:rsidRPr="007D180D" w:rsidRDefault="00D56571" w:rsidP="009E21B7">
      <w:pPr>
        <w:keepNext/>
        <w:keepLines/>
        <w:rPr>
          <w:szCs w:val="22"/>
          <w:lang w:val="sk-SK"/>
        </w:rPr>
      </w:pPr>
      <w:r>
        <w:rPr>
          <w:szCs w:val="22"/>
          <w:lang w:val="sk-SK"/>
        </w:rPr>
        <w:t>Hydroxid sodný (na úpravu pH)</w:t>
      </w:r>
    </w:p>
    <w:p w:rsidR="00784A7D" w:rsidRPr="007D180D" w:rsidRDefault="00D56571" w:rsidP="009E21B7">
      <w:pPr>
        <w:keepNext/>
        <w:keepLines/>
        <w:rPr>
          <w:szCs w:val="22"/>
          <w:lang w:val="sk-SK"/>
        </w:rPr>
      </w:pPr>
      <w:r>
        <w:rPr>
          <w:szCs w:val="22"/>
          <w:lang w:val="sk-SK"/>
        </w:rPr>
        <w:t>Voda na injekciu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2"/>
        <w:rPr>
          <w:szCs w:val="22"/>
          <w:lang w:val="sk-SK"/>
        </w:rPr>
      </w:pPr>
      <w:r>
        <w:rPr>
          <w:szCs w:val="22"/>
          <w:lang w:val="sk-SK"/>
        </w:rPr>
        <w:t>Inkompatibility</w:t>
      </w:r>
    </w:p>
    <w:p w:rsidR="00784A7D" w:rsidRPr="007D180D" w:rsidRDefault="00784A7D" w:rsidP="0072168C">
      <w:pPr>
        <w:keepNext/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Nevykonali sa štúdie kompatibility, preto sa tento liek nesmie miešať s inými liekmi. 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2"/>
        <w:ind w:left="0" w:firstLine="0"/>
        <w:rPr>
          <w:szCs w:val="22"/>
          <w:lang w:val="sk-SK"/>
        </w:rPr>
      </w:pPr>
      <w:r>
        <w:rPr>
          <w:szCs w:val="22"/>
          <w:lang w:val="sk-SK"/>
        </w:rPr>
        <w:t>Čas použiteľnosti</w:t>
      </w:r>
    </w:p>
    <w:p w:rsidR="00784A7D" w:rsidRPr="007D180D" w:rsidRDefault="00784A7D" w:rsidP="0072168C">
      <w:pPr>
        <w:keepNext/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>18 mesiacov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2"/>
        <w:rPr>
          <w:szCs w:val="22"/>
          <w:lang w:val="sk-SK"/>
        </w:rPr>
      </w:pPr>
      <w:r>
        <w:rPr>
          <w:szCs w:val="22"/>
          <w:lang w:val="sk-SK"/>
        </w:rPr>
        <w:lastRenderedPageBreak/>
        <w:t>Špeciálne upozornenia na uchovávanie</w:t>
      </w:r>
    </w:p>
    <w:p w:rsidR="00784A7D" w:rsidRPr="007D180D" w:rsidRDefault="00784A7D" w:rsidP="0072168C">
      <w:pPr>
        <w:keepNext/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>Uchovávajte pri teplote do 30°C. Uchovávajte naplnené injekčné striekačky vo vonkajšom obale na ochranu pred svetlom.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2"/>
        <w:rPr>
          <w:szCs w:val="22"/>
          <w:lang w:val="sk-SK"/>
        </w:rPr>
      </w:pPr>
      <w:r>
        <w:rPr>
          <w:szCs w:val="22"/>
          <w:lang w:val="sk-SK"/>
        </w:rPr>
        <w:t>Druh obalu a obsah balenia</w:t>
      </w:r>
    </w:p>
    <w:p w:rsidR="00784A7D" w:rsidRPr="007D180D" w:rsidRDefault="00784A7D" w:rsidP="0072168C">
      <w:pPr>
        <w:keepNext/>
        <w:rPr>
          <w:szCs w:val="22"/>
          <w:lang w:val="sk-SK"/>
        </w:rPr>
      </w:pPr>
    </w:p>
    <w:p w:rsidR="00784A7D" w:rsidRPr="007D180D" w:rsidRDefault="00D56571" w:rsidP="0072168C">
      <w:pPr>
        <w:pStyle w:val="Nadpis3"/>
        <w:rPr>
          <w:szCs w:val="22"/>
          <w:lang w:val="sk-SK"/>
        </w:rPr>
      </w:pPr>
      <w:r>
        <w:rPr>
          <w:szCs w:val="22"/>
          <w:lang w:val="sk-SK"/>
        </w:rPr>
        <w:t>Druh obalu:</w:t>
      </w: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Naplnené injekčné striekačky z číreho skla (typ I) s objemom 1 ml so vsadenou injekčnou ihlou pokrytou neohybným krytom. Gumové uzávery z </w:t>
      </w:r>
      <w:proofErr w:type="spellStart"/>
      <w:r>
        <w:rPr>
          <w:szCs w:val="22"/>
          <w:lang w:val="sk-SK"/>
        </w:rPr>
        <w:t>chlórbutylovej</w:t>
      </w:r>
      <w:proofErr w:type="spellEnd"/>
      <w:r>
        <w:rPr>
          <w:szCs w:val="22"/>
          <w:lang w:val="sk-SK"/>
        </w:rPr>
        <w:t xml:space="preserve"> gumy (typ I) a polypropylénové tyčinky vložené do uzáveru pre vytvorenie piestu injekčnej striekačky</w:t>
      </w:r>
      <w:r w:rsidR="00C85BEB">
        <w:rPr>
          <w:szCs w:val="22"/>
          <w:lang w:val="sk-SK"/>
        </w:rPr>
        <w:t>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B65708">
      <w:pPr>
        <w:pStyle w:val="Nadpis3"/>
        <w:ind w:left="0" w:firstLine="0"/>
        <w:rPr>
          <w:szCs w:val="22"/>
          <w:lang w:val="sk-SK"/>
        </w:rPr>
      </w:pPr>
      <w:r>
        <w:rPr>
          <w:szCs w:val="22"/>
          <w:lang w:val="sk-SK"/>
        </w:rPr>
        <w:t>Veľkosti balenia:</w:t>
      </w:r>
    </w:p>
    <w:p w:rsidR="00B65708" w:rsidRPr="007D180D" w:rsidRDefault="00B65708" w:rsidP="0072168C">
      <w:pPr>
        <w:keepNext/>
        <w:rPr>
          <w:szCs w:val="22"/>
          <w:lang w:val="sk-SK"/>
        </w:rPr>
      </w:pPr>
    </w:p>
    <w:p w:rsidR="00784A7D" w:rsidRPr="007D180D" w:rsidRDefault="00D56571" w:rsidP="0072168C">
      <w:pPr>
        <w:keepNext/>
        <w:rPr>
          <w:szCs w:val="22"/>
          <w:lang w:val="sk-SK"/>
        </w:rPr>
      </w:pPr>
      <w:r>
        <w:rPr>
          <w:szCs w:val="22"/>
          <w:lang w:val="sk-SK"/>
        </w:rPr>
        <w:t>Naplnené injekčné striekačky so vsadenou injekčnou ihlou pokrytou neohybným krytom s objemom 0,15 ml, 0,20 ml, 0,30 ml a 0,40 ml: balené po 1, 2, 4, 5, 6, 10, 12 a 24.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>Naplnené injekčné striekačky so vsadenou injekčnou ihlou pokrytou neohybným krytom s objemom</w:t>
      </w:r>
    </w:p>
    <w:p w:rsidR="00B65708" w:rsidRPr="007D180D" w:rsidRDefault="00D56571" w:rsidP="0072168C">
      <w:pPr>
        <w:rPr>
          <w:szCs w:val="22"/>
        </w:rPr>
      </w:pPr>
      <w:r>
        <w:rPr>
          <w:szCs w:val="22"/>
        </w:rPr>
        <w:t xml:space="preserve">0,25 ml, 0,35 ml, 0,45 ml, 0,55 ml and 0,60 ml: </w:t>
      </w:r>
      <w:proofErr w:type="spellStart"/>
      <w:r>
        <w:rPr>
          <w:szCs w:val="22"/>
        </w:rPr>
        <w:t>balené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po</w:t>
      </w:r>
      <w:proofErr w:type="spellEnd"/>
      <w:r>
        <w:rPr>
          <w:szCs w:val="22"/>
        </w:rPr>
        <w:t xml:space="preserve"> 1, 4, 5, 6 a 12.</w:t>
      </w:r>
    </w:p>
    <w:p w:rsidR="00B65708" w:rsidRPr="007D180D" w:rsidRDefault="00B65708" w:rsidP="0072168C">
      <w:pPr>
        <w:rPr>
          <w:szCs w:val="22"/>
        </w:rPr>
      </w:pPr>
    </w:p>
    <w:p w:rsidR="00B65708" w:rsidRPr="007D180D" w:rsidRDefault="00D56571" w:rsidP="00B65708">
      <w:pPr>
        <w:rPr>
          <w:szCs w:val="22"/>
          <w:lang w:val="sk-SK"/>
        </w:rPr>
      </w:pPr>
      <w:r>
        <w:rPr>
          <w:szCs w:val="22"/>
          <w:lang w:val="sk-SK"/>
        </w:rPr>
        <w:t>Naplnené injekčné striekačky so vsadenou injekčnou ihlou pokrytou neohybným krytom s objemom</w:t>
      </w:r>
    </w:p>
    <w:p w:rsidR="00B65708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 xml:space="preserve">0,50 ml: balené po 1, 2, 4, 5, 6, 10 a 12. </w:t>
      </w:r>
    </w:p>
    <w:p w:rsidR="00516219" w:rsidRPr="007D180D" w:rsidRDefault="00516219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autoSpaceDE w:val="0"/>
        <w:autoSpaceDN w:val="0"/>
        <w:adjustRightInd w:val="0"/>
        <w:rPr>
          <w:szCs w:val="22"/>
          <w:lang w:val="sk-SK" w:eastAsia="de-DE"/>
        </w:rPr>
      </w:pPr>
      <w:r>
        <w:rPr>
          <w:szCs w:val="22"/>
          <w:lang w:val="sk-SK" w:eastAsia="de-DE"/>
        </w:rPr>
        <w:t>Všetky veľkosti balenia sú dostupné s ciachovaním. Naplnené injekčné striekačky sú dostupné s </w:t>
      </w:r>
      <w:proofErr w:type="spellStart"/>
      <w:r>
        <w:rPr>
          <w:szCs w:val="22"/>
          <w:lang w:val="sk-SK" w:eastAsia="de-DE"/>
        </w:rPr>
        <w:t>blistrovým</w:t>
      </w:r>
      <w:proofErr w:type="spellEnd"/>
      <w:r>
        <w:rPr>
          <w:szCs w:val="22"/>
          <w:lang w:val="sk-SK" w:eastAsia="de-DE"/>
        </w:rPr>
        <w:t xml:space="preserve"> balením a bez neho.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>Nie všetky veľkosti balenia musia byť uvedené na trh.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2"/>
        <w:rPr>
          <w:szCs w:val="22"/>
          <w:lang w:val="sk-SK"/>
        </w:rPr>
      </w:pPr>
      <w:r>
        <w:rPr>
          <w:szCs w:val="22"/>
          <w:lang w:val="sk-SK"/>
        </w:rPr>
        <w:t>Špeciálne opatrenia na likvidáciu a iné zaobchádzanie s liekom</w:t>
      </w:r>
    </w:p>
    <w:p w:rsidR="00784A7D" w:rsidRPr="007D180D" w:rsidRDefault="00784A7D" w:rsidP="0072168C">
      <w:pPr>
        <w:keepNext/>
        <w:rPr>
          <w:szCs w:val="22"/>
          <w:lang w:val="sk-SK"/>
        </w:rPr>
      </w:pPr>
    </w:p>
    <w:p w:rsidR="00784A7D" w:rsidRPr="007D180D" w:rsidRDefault="00D56571" w:rsidP="0072168C">
      <w:pPr>
        <w:rPr>
          <w:snapToGrid w:val="0"/>
          <w:szCs w:val="22"/>
          <w:lang w:val="sk-SK" w:eastAsia="de-DE"/>
        </w:rPr>
      </w:pPr>
      <w:r>
        <w:rPr>
          <w:snapToGrid w:val="0"/>
          <w:szCs w:val="22"/>
          <w:lang w:val="sk-SK" w:eastAsia="de-DE"/>
        </w:rPr>
        <w:t xml:space="preserve">Zaobchádzanie s liekom a likvidácia musia byť v súlade s národnými požiadavkami pre </w:t>
      </w:r>
      <w:proofErr w:type="spellStart"/>
      <w:r>
        <w:rPr>
          <w:snapToGrid w:val="0"/>
          <w:szCs w:val="22"/>
          <w:lang w:val="sk-SK" w:eastAsia="de-DE"/>
        </w:rPr>
        <w:t>cytotoxické</w:t>
      </w:r>
      <w:proofErr w:type="spellEnd"/>
      <w:r>
        <w:rPr>
          <w:snapToGrid w:val="0"/>
          <w:szCs w:val="22"/>
          <w:lang w:val="sk-SK" w:eastAsia="de-DE"/>
        </w:rPr>
        <w:t xml:space="preserve"> lieky. Tehotné zdravotnícke pracovníčky nemajú s liekom </w:t>
      </w:r>
      <w:proofErr w:type="spellStart"/>
      <w:r>
        <w:rPr>
          <w:snapToGrid w:val="0"/>
          <w:szCs w:val="22"/>
          <w:lang w:val="sk-SK" w:eastAsia="de-DE"/>
        </w:rPr>
        <w:t>Injexate</w:t>
      </w:r>
      <w:proofErr w:type="spellEnd"/>
      <w:r>
        <w:rPr>
          <w:snapToGrid w:val="0"/>
          <w:szCs w:val="22"/>
          <w:lang w:val="sk-SK" w:eastAsia="de-DE"/>
        </w:rPr>
        <w:t xml:space="preserve"> manipulovať a/alebo ho podávať. 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proofErr w:type="spellStart"/>
      <w:r>
        <w:rPr>
          <w:szCs w:val="22"/>
          <w:lang w:val="sk-SK"/>
        </w:rPr>
        <w:t>Injexate</w:t>
      </w:r>
      <w:proofErr w:type="spellEnd"/>
      <w:r>
        <w:rPr>
          <w:szCs w:val="22"/>
          <w:lang w:val="sk-SK"/>
        </w:rPr>
        <w:t xml:space="preserve"> nesmie prísť do kontaktu s kožou alebo sliznicou. V prípade kontaminácie sa musí postihnuté miesto ihneď opláchnuť dostatočným množstvom vody. </w:t>
      </w:r>
    </w:p>
    <w:p w:rsidR="00784A7D" w:rsidRPr="007D180D" w:rsidRDefault="00784A7D" w:rsidP="0072168C">
      <w:pPr>
        <w:rPr>
          <w:snapToGrid w:val="0"/>
          <w:szCs w:val="22"/>
          <w:lang w:val="sk-SK" w:eastAsia="de-DE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napToGrid w:val="0"/>
          <w:szCs w:val="22"/>
          <w:lang w:val="sk-SK" w:eastAsia="de-DE"/>
        </w:rPr>
        <w:t>Len na jednorazové použitie, prosím použite celý obsah.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t>Všetok nepoužitý liek alebo odpad vzniknutý z lieku sa má zlikvidovať v súlade s národnými požiadavkami.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154D19" w:rsidRPr="007D180D" w:rsidRDefault="00D56571" w:rsidP="00154D19">
      <w:pPr>
        <w:rPr>
          <w:b/>
          <w:lang w:val="sk-SK"/>
        </w:rPr>
      </w:pPr>
      <w:r>
        <w:rPr>
          <w:b/>
          <w:lang w:val="sk-SK"/>
        </w:rPr>
        <w:t xml:space="preserve">Návod na </w:t>
      </w:r>
      <w:proofErr w:type="spellStart"/>
      <w:r>
        <w:rPr>
          <w:b/>
          <w:lang w:val="sk-SK"/>
        </w:rPr>
        <w:t>subkutánne</w:t>
      </w:r>
      <w:proofErr w:type="spellEnd"/>
      <w:r>
        <w:rPr>
          <w:b/>
          <w:lang w:val="sk-SK"/>
        </w:rPr>
        <w:t xml:space="preserve"> použitie</w:t>
      </w:r>
    </w:p>
    <w:p w:rsidR="00516219" w:rsidRPr="007D180D" w:rsidRDefault="00516219" w:rsidP="00154D19">
      <w:pPr>
        <w:rPr>
          <w:b/>
          <w:lang w:val="sk-SK"/>
        </w:rPr>
      </w:pPr>
    </w:p>
    <w:p w:rsidR="00154D19" w:rsidRPr="007D180D" w:rsidRDefault="00D56571" w:rsidP="00154D19">
      <w:pPr>
        <w:rPr>
          <w:szCs w:val="22"/>
          <w:lang w:val="sk-SK"/>
        </w:rPr>
      </w:pPr>
      <w:r>
        <w:rPr>
          <w:lang w:val="sk-SK"/>
        </w:rPr>
        <w:t>Najlepšie miesta vpichu injekcie sú:</w:t>
      </w:r>
    </w:p>
    <w:p w:rsidR="00154D19" w:rsidRPr="007D180D" w:rsidRDefault="00D56571" w:rsidP="00154D19">
      <w:pPr>
        <w:rPr>
          <w:szCs w:val="22"/>
          <w:lang w:val="sk-SK"/>
        </w:rPr>
      </w:pPr>
      <w:r>
        <w:rPr>
          <w:szCs w:val="22"/>
          <w:lang w:val="sk-SK"/>
        </w:rPr>
        <w:t>- horná časť stehna,</w:t>
      </w:r>
    </w:p>
    <w:p w:rsidR="00154D19" w:rsidRPr="007D180D" w:rsidRDefault="00D56571" w:rsidP="00154D19">
      <w:pPr>
        <w:rPr>
          <w:szCs w:val="22"/>
          <w:lang w:val="sk-SK"/>
        </w:rPr>
      </w:pPr>
      <w:r>
        <w:rPr>
          <w:szCs w:val="22"/>
          <w:lang w:val="sk-SK"/>
        </w:rPr>
        <w:t xml:space="preserve">- brucho, okrem oblasti v okolí pupka. </w:t>
      </w:r>
    </w:p>
    <w:p w:rsidR="00154D19" w:rsidRPr="007D180D" w:rsidRDefault="00154D19" w:rsidP="00154D19">
      <w:pPr>
        <w:rPr>
          <w:szCs w:val="22"/>
          <w:lang w:val="sk-SK"/>
        </w:rPr>
      </w:pPr>
    </w:p>
    <w:p w:rsidR="00154D19" w:rsidRPr="007D180D" w:rsidRDefault="00D56571" w:rsidP="00154D19">
      <w:pPr>
        <w:numPr>
          <w:ilvl w:val="0"/>
          <w:numId w:val="34"/>
        </w:numPr>
        <w:tabs>
          <w:tab w:val="clear" w:pos="720"/>
          <w:tab w:val="num" w:pos="360"/>
        </w:tabs>
        <w:ind w:left="360"/>
        <w:rPr>
          <w:szCs w:val="22"/>
          <w:lang w:val="sk-SK"/>
        </w:rPr>
      </w:pPr>
      <w:r>
        <w:rPr>
          <w:szCs w:val="22"/>
          <w:lang w:val="sk-SK"/>
        </w:rPr>
        <w:t>Vyčistite oblasť v okolí vybraného miesta vpichu injekcie (napr. pomocou priloženého alkoholového tampónu).</w:t>
      </w:r>
    </w:p>
    <w:p w:rsidR="00154D19" w:rsidRPr="007D180D" w:rsidRDefault="00D56571" w:rsidP="00154D19">
      <w:pPr>
        <w:numPr>
          <w:ilvl w:val="0"/>
          <w:numId w:val="34"/>
        </w:numPr>
        <w:tabs>
          <w:tab w:val="clear" w:pos="720"/>
          <w:tab w:val="num" w:pos="360"/>
        </w:tabs>
        <w:ind w:left="360"/>
        <w:rPr>
          <w:szCs w:val="22"/>
          <w:lang w:val="sk-SK"/>
        </w:rPr>
      </w:pPr>
      <w:r>
        <w:rPr>
          <w:szCs w:val="22"/>
          <w:lang w:val="sk-SK"/>
        </w:rPr>
        <w:t>Odstráňte ochranný kryt, čo najskôr.</w:t>
      </w:r>
    </w:p>
    <w:p w:rsidR="00154D19" w:rsidRPr="007D180D" w:rsidRDefault="00D56571" w:rsidP="00154D19">
      <w:pPr>
        <w:numPr>
          <w:ilvl w:val="0"/>
          <w:numId w:val="34"/>
        </w:numPr>
        <w:tabs>
          <w:tab w:val="clear" w:pos="720"/>
          <w:tab w:val="num" w:pos="360"/>
        </w:tabs>
        <w:ind w:left="360"/>
        <w:rPr>
          <w:szCs w:val="22"/>
          <w:lang w:val="sk-SK"/>
        </w:rPr>
      </w:pPr>
      <w:r>
        <w:rPr>
          <w:szCs w:val="22"/>
          <w:lang w:val="sk-SK"/>
        </w:rPr>
        <w:t>Jemným stlačením oblasti v mieste vpichu injekcie vytvorte kožnú riasu.</w:t>
      </w:r>
    </w:p>
    <w:p w:rsidR="00154D19" w:rsidRPr="007D180D" w:rsidRDefault="00D56571" w:rsidP="00154D19">
      <w:pPr>
        <w:numPr>
          <w:ilvl w:val="0"/>
          <w:numId w:val="34"/>
        </w:numPr>
        <w:tabs>
          <w:tab w:val="clear" w:pos="720"/>
          <w:tab w:val="num" w:pos="360"/>
        </w:tabs>
        <w:ind w:left="360"/>
        <w:rPr>
          <w:szCs w:val="22"/>
          <w:lang w:val="sk-SK"/>
        </w:rPr>
      </w:pPr>
      <w:r>
        <w:rPr>
          <w:szCs w:val="22"/>
          <w:lang w:val="sk-SK"/>
        </w:rPr>
        <w:t xml:space="preserve">Riasu držte stlačenú, až pokiaľ z pokožky neodstránite striekačku po podávaní injekcie. </w:t>
      </w:r>
    </w:p>
    <w:p w:rsidR="00154D19" w:rsidRPr="007D180D" w:rsidRDefault="00D56571" w:rsidP="00154D19">
      <w:pPr>
        <w:numPr>
          <w:ilvl w:val="0"/>
          <w:numId w:val="34"/>
        </w:numPr>
        <w:tabs>
          <w:tab w:val="clear" w:pos="720"/>
          <w:tab w:val="num" w:pos="360"/>
        </w:tabs>
        <w:ind w:left="360"/>
        <w:rPr>
          <w:szCs w:val="22"/>
          <w:lang w:val="sk-SK"/>
        </w:rPr>
      </w:pPr>
      <w:r>
        <w:rPr>
          <w:szCs w:val="22"/>
          <w:lang w:val="sk-SK"/>
        </w:rPr>
        <w:t>Ihlu úplne zatlačte do pokožky v 90-stupňovom uhle.</w:t>
      </w:r>
    </w:p>
    <w:p w:rsidR="00154D19" w:rsidRPr="007D180D" w:rsidRDefault="00D56571" w:rsidP="00154D19">
      <w:pPr>
        <w:numPr>
          <w:ilvl w:val="0"/>
          <w:numId w:val="34"/>
        </w:numPr>
        <w:tabs>
          <w:tab w:val="clear" w:pos="720"/>
          <w:tab w:val="num" w:pos="360"/>
        </w:tabs>
        <w:ind w:left="360"/>
        <w:rPr>
          <w:szCs w:val="22"/>
          <w:lang w:val="sk-SK"/>
        </w:rPr>
      </w:pPr>
      <w:r>
        <w:rPr>
          <w:szCs w:val="22"/>
          <w:lang w:val="sk-SK"/>
        </w:rPr>
        <w:t>Pomaly zatlačte piest a celý obsah vstreknite pod pokožku. Striekačku odstráňte z pokožky v rovnakom 90-stupňovom uhle.</w:t>
      </w:r>
    </w:p>
    <w:p w:rsidR="00516219" w:rsidRPr="007D180D" w:rsidRDefault="00516219" w:rsidP="0072168C">
      <w:pPr>
        <w:rPr>
          <w:szCs w:val="22"/>
          <w:lang w:val="sk-SK"/>
        </w:rPr>
      </w:pPr>
    </w:p>
    <w:p w:rsidR="00516219" w:rsidRPr="007D180D" w:rsidRDefault="00516219" w:rsidP="0072168C">
      <w:pPr>
        <w:rPr>
          <w:szCs w:val="22"/>
          <w:lang w:val="sk-SK"/>
        </w:rPr>
      </w:pPr>
    </w:p>
    <w:p w:rsidR="00516219" w:rsidRPr="007D180D" w:rsidRDefault="00D56571" w:rsidP="0072168C">
      <w:pPr>
        <w:rPr>
          <w:szCs w:val="22"/>
          <w:lang w:val="sk-SK"/>
        </w:rPr>
      </w:pPr>
      <w:r>
        <w:rPr>
          <w:szCs w:val="22"/>
          <w:lang w:val="sk-SK"/>
        </w:rPr>
        <w:lastRenderedPageBreak/>
        <w:t>Prosím dbajte na to, že treba použiť celý obsah striekačky, tento liek nie je určený na parciálne dávkovanie.</w:t>
      </w:r>
    </w:p>
    <w:p w:rsidR="00516219" w:rsidRPr="007D180D" w:rsidRDefault="00516219" w:rsidP="0072168C">
      <w:pPr>
        <w:rPr>
          <w:szCs w:val="22"/>
          <w:lang w:val="sk-SK"/>
        </w:rPr>
      </w:pPr>
    </w:p>
    <w:p w:rsidR="00516219" w:rsidRPr="007D180D" w:rsidRDefault="00516219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1"/>
        <w:rPr>
          <w:rFonts w:cs="Times New Roman"/>
          <w:szCs w:val="22"/>
          <w:lang w:val="sk-SK"/>
        </w:rPr>
      </w:pPr>
      <w:r>
        <w:rPr>
          <w:rFonts w:cs="Times New Roman"/>
          <w:szCs w:val="22"/>
          <w:lang w:val="sk-SK"/>
        </w:rPr>
        <w:t>DRŽITEĽ ROZHODNUTIA O REGISTRÁCII</w:t>
      </w:r>
    </w:p>
    <w:p w:rsidR="00784A7D" w:rsidRPr="007D180D" w:rsidRDefault="00784A7D" w:rsidP="0072168C">
      <w:pPr>
        <w:keepNext/>
        <w:rPr>
          <w:szCs w:val="22"/>
          <w:lang w:val="sk-SK"/>
        </w:rPr>
      </w:pPr>
    </w:p>
    <w:p w:rsidR="00516219" w:rsidRPr="007D180D" w:rsidRDefault="00D56571" w:rsidP="00516219">
      <w:pPr>
        <w:spacing w:line="273" w:lineRule="exact"/>
        <w:rPr>
          <w:szCs w:val="22"/>
        </w:rPr>
      </w:pPr>
      <w:r>
        <w:rPr>
          <w:szCs w:val="22"/>
        </w:rPr>
        <w:t>Accord Healthcare Limited</w:t>
      </w:r>
    </w:p>
    <w:p w:rsidR="00B44C0A" w:rsidRPr="007D180D" w:rsidRDefault="00D56571" w:rsidP="00516219">
      <w:pPr>
        <w:spacing w:line="273" w:lineRule="exact"/>
        <w:rPr>
          <w:szCs w:val="22"/>
        </w:rPr>
      </w:pPr>
      <w:r>
        <w:rPr>
          <w:szCs w:val="22"/>
        </w:rPr>
        <w:t>Sage House, 319 Pinner Road,</w:t>
      </w:r>
    </w:p>
    <w:p w:rsidR="00516219" w:rsidRPr="007D180D" w:rsidRDefault="00D56571" w:rsidP="00516219">
      <w:pPr>
        <w:spacing w:line="273" w:lineRule="exact"/>
        <w:rPr>
          <w:szCs w:val="22"/>
        </w:rPr>
      </w:pPr>
      <w:r>
        <w:rPr>
          <w:szCs w:val="22"/>
        </w:rPr>
        <w:t xml:space="preserve">North </w:t>
      </w:r>
      <w:proofErr w:type="spellStart"/>
      <w:r>
        <w:rPr>
          <w:szCs w:val="22"/>
        </w:rPr>
        <w:t>Harrow</w:t>
      </w:r>
      <w:proofErr w:type="gramStart"/>
      <w:r>
        <w:rPr>
          <w:szCs w:val="22"/>
        </w:rPr>
        <w:t>,Middlesex</w:t>
      </w:r>
      <w:proofErr w:type="spellEnd"/>
      <w:proofErr w:type="gramEnd"/>
      <w:r>
        <w:rPr>
          <w:szCs w:val="22"/>
        </w:rPr>
        <w:t>, HA1 4HF,,</w:t>
      </w:r>
    </w:p>
    <w:p w:rsidR="00516219" w:rsidRPr="007D180D" w:rsidRDefault="00D56571" w:rsidP="00516219">
      <w:pPr>
        <w:rPr>
          <w:b/>
          <w:bCs/>
          <w:szCs w:val="22"/>
        </w:rPr>
      </w:pPr>
      <w:r>
        <w:rPr>
          <w:szCs w:val="22"/>
          <w:lang w:val="nl-NL"/>
        </w:rPr>
        <w:t>Veľká Británia</w:t>
      </w:r>
    </w:p>
    <w:p w:rsidR="00516219" w:rsidRPr="007D180D" w:rsidRDefault="00516219" w:rsidP="00516219">
      <w:pPr>
        <w:rPr>
          <w:szCs w:val="22"/>
        </w:rPr>
      </w:pP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1"/>
        <w:rPr>
          <w:rFonts w:cs="Times New Roman"/>
          <w:szCs w:val="22"/>
          <w:lang w:val="sk-SK"/>
        </w:rPr>
      </w:pPr>
      <w:r>
        <w:rPr>
          <w:rFonts w:cs="Times New Roman"/>
          <w:szCs w:val="22"/>
          <w:lang w:val="sk-SK"/>
        </w:rPr>
        <w:t>REGISTRAČNÉ ČÍSLO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633627" w:rsidRPr="007D180D" w:rsidRDefault="00D56571" w:rsidP="00633627">
      <w:pPr>
        <w:rPr>
          <w:noProof/>
        </w:rPr>
      </w:pPr>
      <w:r>
        <w:rPr>
          <w:noProof/>
        </w:rPr>
        <w:t>Reg. číslo:</w:t>
      </w:r>
      <w:r>
        <w:t xml:space="preserve"> </w:t>
      </w:r>
      <w:r>
        <w:rPr>
          <w:noProof/>
        </w:rPr>
        <w:t>29/0462/15-S</w:t>
      </w:r>
    </w:p>
    <w:p w:rsidR="00C129A4" w:rsidRPr="007D180D" w:rsidRDefault="00C129A4" w:rsidP="0072168C">
      <w:pPr>
        <w:rPr>
          <w:szCs w:val="22"/>
          <w:lang w:val="sk-SK"/>
        </w:rPr>
      </w:pPr>
    </w:p>
    <w:p w:rsidR="00C129A4" w:rsidRPr="007D180D" w:rsidRDefault="00C129A4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1"/>
        <w:rPr>
          <w:rFonts w:cs="Times New Roman"/>
          <w:szCs w:val="22"/>
          <w:lang w:val="sk-SK"/>
        </w:rPr>
      </w:pPr>
      <w:r>
        <w:rPr>
          <w:rFonts w:cs="Times New Roman"/>
          <w:szCs w:val="22"/>
          <w:lang w:val="sk-SK"/>
        </w:rPr>
        <w:t>DÁTUM PRVEJ REGISTRÁCIE/ PREDĹŽENIA REGISTRÁCIE</w:t>
      </w:r>
    </w:p>
    <w:p w:rsidR="00784A7D" w:rsidRPr="007D180D" w:rsidRDefault="00784A7D" w:rsidP="0072168C">
      <w:pPr>
        <w:rPr>
          <w:szCs w:val="22"/>
          <w:lang w:val="sk-SK"/>
        </w:rPr>
      </w:pPr>
    </w:p>
    <w:p w:rsidR="0006643E" w:rsidRPr="007D180D" w:rsidRDefault="00D56571" w:rsidP="0072168C">
      <w:pPr>
        <w:rPr>
          <w:szCs w:val="22"/>
          <w:lang w:val="sk-SK"/>
        </w:rPr>
      </w:pPr>
      <w:r>
        <w:rPr>
          <w:noProof/>
          <w:szCs w:val="22"/>
          <w:lang w:val="sk-SK"/>
        </w:rPr>
        <w:t xml:space="preserve">Dátum prvej registrácie: </w:t>
      </w:r>
    </w:p>
    <w:p w:rsidR="0006643E" w:rsidRPr="007D180D" w:rsidRDefault="0006643E" w:rsidP="0072168C">
      <w:pPr>
        <w:rPr>
          <w:szCs w:val="22"/>
          <w:lang w:val="sk-SK"/>
        </w:rPr>
      </w:pPr>
    </w:p>
    <w:p w:rsidR="00784A7D" w:rsidRPr="007D180D" w:rsidRDefault="00784A7D" w:rsidP="0072168C">
      <w:pPr>
        <w:rPr>
          <w:szCs w:val="22"/>
          <w:lang w:val="sk-SK"/>
        </w:rPr>
      </w:pPr>
    </w:p>
    <w:p w:rsidR="00784A7D" w:rsidRPr="007D180D" w:rsidRDefault="00D56571" w:rsidP="0072168C">
      <w:pPr>
        <w:pStyle w:val="Nadpis1"/>
        <w:rPr>
          <w:rFonts w:cs="Times New Roman"/>
          <w:szCs w:val="22"/>
          <w:lang w:val="sk-SK"/>
        </w:rPr>
      </w:pPr>
      <w:r>
        <w:rPr>
          <w:rFonts w:cs="Times New Roman"/>
          <w:szCs w:val="22"/>
          <w:lang w:val="sk-SK"/>
        </w:rPr>
        <w:t>DÁTUM REVÍZIE TEXTU</w:t>
      </w:r>
    </w:p>
    <w:p w:rsidR="00784A7D" w:rsidRPr="007D180D" w:rsidRDefault="00784A7D" w:rsidP="0072168C">
      <w:pPr>
        <w:keepNext/>
        <w:rPr>
          <w:szCs w:val="22"/>
          <w:lang w:val="sk-SK"/>
        </w:rPr>
      </w:pPr>
    </w:p>
    <w:p w:rsidR="002D5874" w:rsidRPr="007D180D" w:rsidRDefault="00D56571" w:rsidP="0072168C">
      <w:pPr>
        <w:keepNext/>
        <w:rPr>
          <w:szCs w:val="22"/>
          <w:lang w:val="sk-SK"/>
        </w:rPr>
      </w:pPr>
      <w:r>
        <w:rPr>
          <w:szCs w:val="22"/>
          <w:lang w:val="sk-SK"/>
        </w:rPr>
        <w:t>11/2015</w:t>
      </w:r>
    </w:p>
    <w:sectPr w:rsidR="002D5874" w:rsidRPr="007D180D" w:rsidSect="0072168C">
      <w:headerReference w:type="default" r:id="rId8"/>
      <w:footerReference w:type="default" r:id="rId9"/>
      <w:pgSz w:w="11907" w:h="16840" w:code="9"/>
      <w:pgMar w:top="1134" w:right="1418" w:bottom="1134" w:left="1418" w:header="737" w:footer="737" w:gutter="0"/>
      <w:paperSrc w:first="15" w:other="15"/>
      <w:cols w:space="28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087" w:rsidRDefault="00677087">
      <w:r>
        <w:separator/>
      </w:r>
    </w:p>
    <w:p w:rsidR="00677087" w:rsidRDefault="00677087"/>
  </w:endnote>
  <w:endnote w:type="continuationSeparator" w:id="0">
    <w:p w:rsidR="00677087" w:rsidRDefault="00677087">
      <w:r>
        <w:continuationSeparator/>
      </w:r>
    </w:p>
    <w:p w:rsidR="00677087" w:rsidRDefault="0067708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Kursiv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95611"/>
      <w:docPartObj>
        <w:docPartGallery w:val="Page Numbers (Bottom of Page)"/>
        <w:docPartUnique/>
      </w:docPartObj>
    </w:sdtPr>
    <w:sdtContent>
      <w:p w:rsidR="00602A84" w:rsidRDefault="00FE7207">
        <w:pPr>
          <w:pStyle w:val="Pta"/>
          <w:jc w:val="center"/>
        </w:pPr>
        <w:r w:rsidRPr="00D56571">
          <w:rPr>
            <w:sz w:val="18"/>
            <w:szCs w:val="18"/>
          </w:rPr>
          <w:fldChar w:fldCharType="begin"/>
        </w:r>
        <w:r w:rsidR="00D56571" w:rsidRPr="00D56571">
          <w:rPr>
            <w:sz w:val="18"/>
            <w:szCs w:val="18"/>
          </w:rPr>
          <w:instrText xml:space="preserve"> PAGE   \* MERGEFORMAT </w:instrText>
        </w:r>
        <w:r w:rsidRPr="00D56571">
          <w:rPr>
            <w:sz w:val="18"/>
            <w:szCs w:val="18"/>
          </w:rPr>
          <w:fldChar w:fldCharType="separate"/>
        </w:r>
        <w:r w:rsidR="0043202E">
          <w:rPr>
            <w:noProof/>
            <w:sz w:val="18"/>
            <w:szCs w:val="18"/>
          </w:rPr>
          <w:t>2</w:t>
        </w:r>
        <w:r w:rsidRPr="00D56571">
          <w:rPr>
            <w:sz w:val="18"/>
            <w:szCs w:val="18"/>
          </w:rPr>
          <w:fldChar w:fldCharType="end"/>
        </w:r>
      </w:p>
    </w:sdtContent>
  </w:sdt>
  <w:p w:rsidR="00900E39" w:rsidRDefault="00900E3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087" w:rsidRDefault="00677087">
      <w:r>
        <w:separator/>
      </w:r>
    </w:p>
    <w:p w:rsidR="00677087" w:rsidRDefault="00677087"/>
  </w:footnote>
  <w:footnote w:type="continuationSeparator" w:id="0">
    <w:p w:rsidR="00677087" w:rsidRDefault="00677087">
      <w:r>
        <w:continuationSeparator/>
      </w:r>
    </w:p>
    <w:p w:rsidR="00677087" w:rsidRDefault="0067708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7A5" w:rsidRPr="00373CB5" w:rsidRDefault="001637A5" w:rsidP="00373CB5">
    <w:pPr>
      <w:pStyle w:val="Hlavika"/>
      <w:jc w:val="both"/>
      <w:rPr>
        <w:sz w:val="18"/>
        <w:szCs w:val="18"/>
        <w:lang w:val="sk-SK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1F9C92B"/>
    <w:multiLevelType w:val="hybridMultilevel"/>
    <w:tmpl w:val="DA9B9405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1C04823"/>
    <w:multiLevelType w:val="hybridMultilevel"/>
    <w:tmpl w:val="5F8298D6"/>
    <w:lvl w:ilvl="0" w:tplc="063211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1361C8"/>
    <w:multiLevelType w:val="multilevel"/>
    <w:tmpl w:val="5F8298D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161840"/>
    <w:multiLevelType w:val="singleLevel"/>
    <w:tmpl w:val="5666FD46"/>
    <w:lvl w:ilvl="0">
      <w:start w:val="5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ascii="Times New Roman Kursiv" w:hAnsi="Times New Roman Kursiv" w:hint="default"/>
        <w:sz w:val="20"/>
      </w:rPr>
    </w:lvl>
  </w:abstractNum>
  <w:abstractNum w:abstractNumId="4">
    <w:nsid w:val="0A5637CB"/>
    <w:multiLevelType w:val="multilevel"/>
    <w:tmpl w:val="73B09CA6"/>
    <w:lvl w:ilvl="0">
      <w:start w:val="1"/>
      <w:numFmt w:val="bullet"/>
      <w:lvlText w:val="-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5698E"/>
    <w:multiLevelType w:val="multilevel"/>
    <w:tmpl w:val="28328464"/>
    <w:lvl w:ilvl="0">
      <w:start w:val="1"/>
      <w:numFmt w:val="decimal"/>
      <w:lvlText w:val="%1. "/>
      <w:lvlJc w:val="left"/>
      <w:pPr>
        <w:tabs>
          <w:tab w:val="num" w:pos="425"/>
        </w:tabs>
        <w:ind w:left="425" w:hanging="425"/>
      </w:pPr>
      <w:rPr>
        <w:rFonts w:cs="Times New Roman" w:hint="default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6">
    <w:nsid w:val="113D72D4"/>
    <w:multiLevelType w:val="singleLevel"/>
    <w:tmpl w:val="5666FD46"/>
    <w:lvl w:ilvl="0">
      <w:start w:val="5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ascii="Times New Roman Kursiv" w:hAnsi="Times New Roman Kursiv" w:hint="default"/>
        <w:sz w:val="20"/>
      </w:rPr>
    </w:lvl>
  </w:abstractNum>
  <w:abstractNum w:abstractNumId="7">
    <w:nsid w:val="12003F74"/>
    <w:multiLevelType w:val="hybridMultilevel"/>
    <w:tmpl w:val="416AF432"/>
    <w:lvl w:ilvl="0" w:tplc="FFB0CB8C">
      <w:start w:val="1"/>
      <w:numFmt w:val="lowerLetter"/>
      <w:lvlText w:val="%1)"/>
      <w:lvlJc w:val="left"/>
      <w:pPr>
        <w:ind w:left="780" w:hanging="42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3677E12"/>
    <w:multiLevelType w:val="hybridMultilevel"/>
    <w:tmpl w:val="A594BB2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36E1995"/>
    <w:multiLevelType w:val="multilevel"/>
    <w:tmpl w:val="51F4776E"/>
    <w:lvl w:ilvl="0">
      <w:start w:val="5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>
    <w:nsid w:val="14400508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1">
    <w:nsid w:val="1657324C"/>
    <w:multiLevelType w:val="multilevel"/>
    <w:tmpl w:val="5F8298D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6B9746F"/>
    <w:multiLevelType w:val="multilevel"/>
    <w:tmpl w:val="37924BD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3">
    <w:nsid w:val="1D7A148D"/>
    <w:multiLevelType w:val="hybridMultilevel"/>
    <w:tmpl w:val="297E2B3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E3A5967"/>
    <w:multiLevelType w:val="multilevel"/>
    <w:tmpl w:val="4C9449FE"/>
    <w:lvl w:ilvl="0">
      <w:start w:val="1"/>
      <w:numFmt w:val="decimal"/>
      <w:lvlText w:val="%1. "/>
      <w:lvlJc w:val="left"/>
      <w:pPr>
        <w:tabs>
          <w:tab w:val="num" w:pos="425"/>
        </w:tabs>
        <w:ind w:left="425" w:hanging="425"/>
      </w:pPr>
      <w:rPr>
        <w:rFonts w:cs="Times New Roman"/>
        <w:bCs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15">
    <w:nsid w:val="1EE61F8A"/>
    <w:multiLevelType w:val="multilevel"/>
    <w:tmpl w:val="73B09CA6"/>
    <w:lvl w:ilvl="0">
      <w:start w:val="1"/>
      <w:numFmt w:val="bullet"/>
      <w:lvlText w:val="-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7A51F87"/>
    <w:multiLevelType w:val="multilevel"/>
    <w:tmpl w:val="73B09CA6"/>
    <w:lvl w:ilvl="0">
      <w:start w:val="1"/>
      <w:numFmt w:val="bullet"/>
      <w:lvlText w:val="-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AC21BCB"/>
    <w:multiLevelType w:val="multilevel"/>
    <w:tmpl w:val="DA5464D8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8">
    <w:nsid w:val="2FEC3C23"/>
    <w:multiLevelType w:val="hybridMultilevel"/>
    <w:tmpl w:val="9976CF7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0D76664"/>
    <w:multiLevelType w:val="multilevel"/>
    <w:tmpl w:val="4C9449FE"/>
    <w:lvl w:ilvl="0">
      <w:start w:val="1"/>
      <w:numFmt w:val="decimal"/>
      <w:lvlText w:val="%1. "/>
      <w:lvlJc w:val="left"/>
      <w:pPr>
        <w:tabs>
          <w:tab w:val="num" w:pos="425"/>
        </w:tabs>
        <w:ind w:left="425" w:hanging="425"/>
      </w:pPr>
      <w:rPr>
        <w:rFonts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0">
    <w:nsid w:val="315A02FF"/>
    <w:multiLevelType w:val="multilevel"/>
    <w:tmpl w:val="20469ADE"/>
    <w:lvl w:ilvl="0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D53804"/>
    <w:multiLevelType w:val="multilevel"/>
    <w:tmpl w:val="CA48DA50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cs="Times New Roman" w:hint="default"/>
      </w:rPr>
    </w:lvl>
  </w:abstractNum>
  <w:abstractNum w:abstractNumId="22">
    <w:nsid w:val="39EF4EEA"/>
    <w:multiLevelType w:val="multilevel"/>
    <w:tmpl w:val="4C9449FE"/>
    <w:lvl w:ilvl="0">
      <w:start w:val="1"/>
      <w:numFmt w:val="decimal"/>
      <w:lvlText w:val="%1. "/>
      <w:lvlJc w:val="left"/>
      <w:pPr>
        <w:tabs>
          <w:tab w:val="num" w:pos="425"/>
        </w:tabs>
        <w:ind w:left="425" w:hanging="425"/>
      </w:pPr>
      <w:rPr>
        <w:rFonts w:cs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3">
    <w:nsid w:val="42266278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4">
    <w:nsid w:val="43985098"/>
    <w:multiLevelType w:val="multilevel"/>
    <w:tmpl w:val="51C8E0F6"/>
    <w:lvl w:ilvl="0">
      <w:start w:val="1"/>
      <w:numFmt w:val="decimal"/>
      <w:pStyle w:val="Nadpis1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709"/>
        </w:tabs>
        <w:ind w:left="709" w:hanging="709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cs="Times New Roman" w:hint="default"/>
      </w:rPr>
    </w:lvl>
  </w:abstractNum>
  <w:abstractNum w:abstractNumId="25">
    <w:nsid w:val="451E6276"/>
    <w:multiLevelType w:val="multilevel"/>
    <w:tmpl w:val="5F8298D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5383395"/>
    <w:multiLevelType w:val="multilevel"/>
    <w:tmpl w:val="73B09CA6"/>
    <w:lvl w:ilvl="0">
      <w:start w:val="1"/>
      <w:numFmt w:val="bullet"/>
      <w:lvlText w:val="-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E160B5"/>
    <w:multiLevelType w:val="hybridMultilevel"/>
    <w:tmpl w:val="BB9A847A"/>
    <w:lvl w:ilvl="0" w:tplc="40B8673C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28">
    <w:nsid w:val="529C66ED"/>
    <w:multiLevelType w:val="multilevel"/>
    <w:tmpl w:val="BC267656"/>
    <w:lvl w:ilvl="0">
      <w:start w:val="1"/>
      <w:numFmt w:val="none"/>
      <w:lvlText w:val="1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1">
      <w:start w:val="1"/>
      <w:numFmt w:val="none"/>
      <w:lvlRestart w:val="0"/>
      <w:lvlText w:val="1.1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none"/>
      <w:lvlText w:val="3.3"/>
      <w:lvlJc w:val="left"/>
      <w:pPr>
        <w:tabs>
          <w:tab w:val="num" w:pos="360"/>
        </w:tabs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9">
    <w:nsid w:val="54050BA0"/>
    <w:multiLevelType w:val="multilevel"/>
    <w:tmpl w:val="9A5C4996"/>
    <w:lvl w:ilvl="0">
      <w:start w:val="1"/>
      <w:numFmt w:val="decimal"/>
      <w:lvlText w:val="%1."/>
      <w:lvlJc w:val="left"/>
      <w:pPr>
        <w:tabs>
          <w:tab w:val="num" w:pos="0"/>
        </w:tabs>
        <w:ind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cs="Times New Roman" w:hint="default"/>
      </w:rPr>
    </w:lvl>
  </w:abstractNum>
  <w:abstractNum w:abstractNumId="30">
    <w:nsid w:val="56FB2D89"/>
    <w:multiLevelType w:val="multilevel"/>
    <w:tmpl w:val="4C9449FE"/>
    <w:lvl w:ilvl="0">
      <w:start w:val="1"/>
      <w:numFmt w:val="decimal"/>
      <w:lvlText w:val="%1. "/>
      <w:lvlJc w:val="left"/>
      <w:pPr>
        <w:tabs>
          <w:tab w:val="num" w:pos="425"/>
        </w:tabs>
        <w:ind w:left="425" w:hanging="425"/>
      </w:pPr>
      <w:rPr>
        <w:rFonts w:cs="Times New Roman"/>
        <w:bCs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31">
    <w:nsid w:val="59C40E5D"/>
    <w:multiLevelType w:val="multilevel"/>
    <w:tmpl w:val="73B09CA6"/>
    <w:lvl w:ilvl="0">
      <w:start w:val="1"/>
      <w:numFmt w:val="bullet"/>
      <w:lvlText w:val="-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A9D6A46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cs="Times New Roman"/>
      </w:rPr>
    </w:lvl>
  </w:abstractNum>
  <w:abstractNum w:abstractNumId="33">
    <w:nsid w:val="6CCD3130"/>
    <w:multiLevelType w:val="singleLevel"/>
    <w:tmpl w:val="5748CE8E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Arial" w:hAnsi="Arial" w:cs="Times New Roman" w:hint="default"/>
        <w:b w:val="0"/>
        <w:i w:val="0"/>
        <w:sz w:val="20"/>
      </w:rPr>
    </w:lvl>
  </w:abstractNum>
  <w:abstractNum w:abstractNumId="34">
    <w:nsid w:val="6D4C4A35"/>
    <w:multiLevelType w:val="singleLevel"/>
    <w:tmpl w:val="0AC21654"/>
    <w:lvl w:ilvl="0">
      <w:start w:val="2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Arial" w:hAnsi="Arial" w:cs="Times New Roman" w:hint="default"/>
        <w:b w:val="0"/>
        <w:i w:val="0"/>
        <w:sz w:val="20"/>
      </w:rPr>
    </w:lvl>
  </w:abstractNum>
  <w:num w:numId="1">
    <w:abstractNumId w:val="28"/>
  </w:num>
  <w:num w:numId="2">
    <w:abstractNumId w:val="30"/>
  </w:num>
  <w:num w:numId="3">
    <w:abstractNumId w:val="33"/>
  </w:num>
  <w:num w:numId="4">
    <w:abstractNumId w:val="34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10"/>
  </w:num>
  <w:num w:numId="10">
    <w:abstractNumId w:val="17"/>
  </w:num>
  <w:num w:numId="11">
    <w:abstractNumId w:val="1"/>
  </w:num>
  <w:num w:numId="12">
    <w:abstractNumId w:val="31"/>
  </w:num>
  <w:num w:numId="13">
    <w:abstractNumId w:val="11"/>
  </w:num>
  <w:num w:numId="14">
    <w:abstractNumId w:val="25"/>
  </w:num>
  <w:num w:numId="15">
    <w:abstractNumId w:val="2"/>
  </w:num>
  <w:num w:numId="16">
    <w:abstractNumId w:val="4"/>
  </w:num>
  <w:num w:numId="17">
    <w:abstractNumId w:val="16"/>
  </w:num>
  <w:num w:numId="18">
    <w:abstractNumId w:val="26"/>
  </w:num>
  <w:num w:numId="19">
    <w:abstractNumId w:val="15"/>
  </w:num>
  <w:num w:numId="20">
    <w:abstractNumId w:val="19"/>
  </w:num>
  <w:num w:numId="21">
    <w:abstractNumId w:val="14"/>
  </w:num>
  <w:num w:numId="22">
    <w:abstractNumId w:val="5"/>
  </w:num>
  <w:num w:numId="23">
    <w:abstractNumId w:val="22"/>
  </w:num>
  <w:num w:numId="24">
    <w:abstractNumId w:val="32"/>
  </w:num>
  <w:num w:numId="25">
    <w:abstractNumId w:val="24"/>
  </w:num>
  <w:num w:numId="26">
    <w:abstractNumId w:val="29"/>
  </w:num>
  <w:num w:numId="27">
    <w:abstractNumId w:val="23"/>
  </w:num>
  <w:num w:numId="28">
    <w:abstractNumId w:val="21"/>
  </w:num>
  <w:num w:numId="29">
    <w:abstractNumId w:val="0"/>
  </w:num>
  <w:num w:numId="30">
    <w:abstractNumId w:val="20"/>
  </w:num>
  <w:num w:numId="31">
    <w:abstractNumId w:val="13"/>
  </w:num>
  <w:num w:numId="32">
    <w:abstractNumId w:val="27"/>
  </w:num>
  <w:num w:numId="33">
    <w:abstractNumId w:val="18"/>
  </w:num>
  <w:num w:numId="34">
    <w:abstractNumId w:val="8"/>
  </w:num>
  <w:num w:numId="35">
    <w:abstractNumId w:val="24"/>
    <w:lvlOverride w:ilvl="0">
      <w:startOverride w:val="4"/>
    </w:lvlOverride>
    <w:lvlOverride w:ilvl="1">
      <w:startOverride w:val="3"/>
    </w:lvlOverride>
  </w:num>
  <w:num w:numId="3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embedSystemFonts/>
  <w:proofState w:spelling="clean" w:grammar="clean"/>
  <w:stylePaneFormatFilter w:val="3F01"/>
  <w:trackRevisions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/>
  <w:rsids>
    <w:rsidRoot w:val="00784A7D"/>
    <w:rsid w:val="0000717D"/>
    <w:rsid w:val="0001427E"/>
    <w:rsid w:val="00015CE1"/>
    <w:rsid w:val="00016326"/>
    <w:rsid w:val="00026BF2"/>
    <w:rsid w:val="00043411"/>
    <w:rsid w:val="00063AB6"/>
    <w:rsid w:val="0006643E"/>
    <w:rsid w:val="00073471"/>
    <w:rsid w:val="0007668B"/>
    <w:rsid w:val="0008539D"/>
    <w:rsid w:val="00095DBD"/>
    <w:rsid w:val="000965DB"/>
    <w:rsid w:val="000A2D60"/>
    <w:rsid w:val="000B29AE"/>
    <w:rsid w:val="000B2E32"/>
    <w:rsid w:val="000B4926"/>
    <w:rsid w:val="000B4A7F"/>
    <w:rsid w:val="000C6461"/>
    <w:rsid w:val="000D3EFF"/>
    <w:rsid w:val="000E70B4"/>
    <w:rsid w:val="00106A8F"/>
    <w:rsid w:val="00112D61"/>
    <w:rsid w:val="0011461C"/>
    <w:rsid w:val="00126D5F"/>
    <w:rsid w:val="00143CF8"/>
    <w:rsid w:val="001520D3"/>
    <w:rsid w:val="00152802"/>
    <w:rsid w:val="0015380E"/>
    <w:rsid w:val="00154D19"/>
    <w:rsid w:val="00155C37"/>
    <w:rsid w:val="00157751"/>
    <w:rsid w:val="0016013D"/>
    <w:rsid w:val="001637A5"/>
    <w:rsid w:val="00165254"/>
    <w:rsid w:val="00171B67"/>
    <w:rsid w:val="00173B5A"/>
    <w:rsid w:val="0017608C"/>
    <w:rsid w:val="001776CA"/>
    <w:rsid w:val="0018493A"/>
    <w:rsid w:val="00190A52"/>
    <w:rsid w:val="001928C5"/>
    <w:rsid w:val="00197080"/>
    <w:rsid w:val="001A2C46"/>
    <w:rsid w:val="001A72B1"/>
    <w:rsid w:val="001B22FF"/>
    <w:rsid w:val="001B3B06"/>
    <w:rsid w:val="001C52F2"/>
    <w:rsid w:val="001C68D1"/>
    <w:rsid w:val="001F3799"/>
    <w:rsid w:val="00202064"/>
    <w:rsid w:val="0020370A"/>
    <w:rsid w:val="002059EF"/>
    <w:rsid w:val="0021225D"/>
    <w:rsid w:val="00217005"/>
    <w:rsid w:val="00233FE8"/>
    <w:rsid w:val="002621F9"/>
    <w:rsid w:val="00265C35"/>
    <w:rsid w:val="00282342"/>
    <w:rsid w:val="00290321"/>
    <w:rsid w:val="002A029F"/>
    <w:rsid w:val="002A0B71"/>
    <w:rsid w:val="002A2BDC"/>
    <w:rsid w:val="002B2132"/>
    <w:rsid w:val="002C2755"/>
    <w:rsid w:val="002C49E4"/>
    <w:rsid w:val="002C6781"/>
    <w:rsid w:val="002D175F"/>
    <w:rsid w:val="002D5874"/>
    <w:rsid w:val="002F3061"/>
    <w:rsid w:val="002F7381"/>
    <w:rsid w:val="00302EA7"/>
    <w:rsid w:val="0030321E"/>
    <w:rsid w:val="003033B7"/>
    <w:rsid w:val="00315608"/>
    <w:rsid w:val="0032030A"/>
    <w:rsid w:val="0032378A"/>
    <w:rsid w:val="00326831"/>
    <w:rsid w:val="00335C58"/>
    <w:rsid w:val="00335E53"/>
    <w:rsid w:val="0033773B"/>
    <w:rsid w:val="003437A1"/>
    <w:rsid w:val="00361844"/>
    <w:rsid w:val="003678D9"/>
    <w:rsid w:val="00373CB5"/>
    <w:rsid w:val="00380482"/>
    <w:rsid w:val="003813F8"/>
    <w:rsid w:val="003A786E"/>
    <w:rsid w:val="003A7BE4"/>
    <w:rsid w:val="003B3A52"/>
    <w:rsid w:val="003B47E3"/>
    <w:rsid w:val="003C1F49"/>
    <w:rsid w:val="003C426F"/>
    <w:rsid w:val="003D2D49"/>
    <w:rsid w:val="003E3747"/>
    <w:rsid w:val="003E5DC1"/>
    <w:rsid w:val="003F024D"/>
    <w:rsid w:val="003F5300"/>
    <w:rsid w:val="003F7BEC"/>
    <w:rsid w:val="004006CD"/>
    <w:rsid w:val="004029F9"/>
    <w:rsid w:val="00407321"/>
    <w:rsid w:val="00413B93"/>
    <w:rsid w:val="004149B0"/>
    <w:rsid w:val="004160ED"/>
    <w:rsid w:val="00421A9F"/>
    <w:rsid w:val="00424BD9"/>
    <w:rsid w:val="0043202E"/>
    <w:rsid w:val="00433E8A"/>
    <w:rsid w:val="004374BE"/>
    <w:rsid w:val="00440912"/>
    <w:rsid w:val="0045666C"/>
    <w:rsid w:val="00461046"/>
    <w:rsid w:val="004646FB"/>
    <w:rsid w:val="00466F67"/>
    <w:rsid w:val="004734CC"/>
    <w:rsid w:val="00496B79"/>
    <w:rsid w:val="004A6EF6"/>
    <w:rsid w:val="004B77F7"/>
    <w:rsid w:val="004C0006"/>
    <w:rsid w:val="004C275C"/>
    <w:rsid w:val="004C2D96"/>
    <w:rsid w:val="004C501E"/>
    <w:rsid w:val="004C6ECE"/>
    <w:rsid w:val="004D0D70"/>
    <w:rsid w:val="004D3A3F"/>
    <w:rsid w:val="004D4289"/>
    <w:rsid w:val="004E76A1"/>
    <w:rsid w:val="004F0957"/>
    <w:rsid w:val="0050111A"/>
    <w:rsid w:val="00515214"/>
    <w:rsid w:val="00516219"/>
    <w:rsid w:val="005162ED"/>
    <w:rsid w:val="00524234"/>
    <w:rsid w:val="005275F1"/>
    <w:rsid w:val="00531C50"/>
    <w:rsid w:val="00533D90"/>
    <w:rsid w:val="00544C7D"/>
    <w:rsid w:val="005520FF"/>
    <w:rsid w:val="00564857"/>
    <w:rsid w:val="005715AC"/>
    <w:rsid w:val="00574998"/>
    <w:rsid w:val="00574A36"/>
    <w:rsid w:val="00577197"/>
    <w:rsid w:val="005873F1"/>
    <w:rsid w:val="00587B9E"/>
    <w:rsid w:val="0059360C"/>
    <w:rsid w:val="005972AB"/>
    <w:rsid w:val="00597719"/>
    <w:rsid w:val="005B74CA"/>
    <w:rsid w:val="005C66A0"/>
    <w:rsid w:val="005D2898"/>
    <w:rsid w:val="005F4F91"/>
    <w:rsid w:val="005F512B"/>
    <w:rsid w:val="00602A84"/>
    <w:rsid w:val="00604B44"/>
    <w:rsid w:val="0061383A"/>
    <w:rsid w:val="00617936"/>
    <w:rsid w:val="00622EC2"/>
    <w:rsid w:val="006249DF"/>
    <w:rsid w:val="00633627"/>
    <w:rsid w:val="00653457"/>
    <w:rsid w:val="006604A5"/>
    <w:rsid w:val="00664CAE"/>
    <w:rsid w:val="00667F3A"/>
    <w:rsid w:val="00670A92"/>
    <w:rsid w:val="0067451F"/>
    <w:rsid w:val="00677087"/>
    <w:rsid w:val="00680E5F"/>
    <w:rsid w:val="00693289"/>
    <w:rsid w:val="006B5D97"/>
    <w:rsid w:val="006B6F44"/>
    <w:rsid w:val="006C0E55"/>
    <w:rsid w:val="006D0648"/>
    <w:rsid w:val="006D4DB1"/>
    <w:rsid w:val="006F36B9"/>
    <w:rsid w:val="006F4815"/>
    <w:rsid w:val="00716498"/>
    <w:rsid w:val="007169BB"/>
    <w:rsid w:val="00716C25"/>
    <w:rsid w:val="00720FFC"/>
    <w:rsid w:val="0072168C"/>
    <w:rsid w:val="007467D6"/>
    <w:rsid w:val="00760D6E"/>
    <w:rsid w:val="00767576"/>
    <w:rsid w:val="007711A4"/>
    <w:rsid w:val="0078006E"/>
    <w:rsid w:val="00784A7D"/>
    <w:rsid w:val="007A4E16"/>
    <w:rsid w:val="007A59F4"/>
    <w:rsid w:val="007B4677"/>
    <w:rsid w:val="007B713C"/>
    <w:rsid w:val="007C6EE6"/>
    <w:rsid w:val="007C7037"/>
    <w:rsid w:val="007D180D"/>
    <w:rsid w:val="007D6969"/>
    <w:rsid w:val="007E1205"/>
    <w:rsid w:val="007E41E8"/>
    <w:rsid w:val="007E7F6C"/>
    <w:rsid w:val="007F40E2"/>
    <w:rsid w:val="007F5D5A"/>
    <w:rsid w:val="0080613C"/>
    <w:rsid w:val="0081262C"/>
    <w:rsid w:val="00817F6F"/>
    <w:rsid w:val="0082034B"/>
    <w:rsid w:val="008272B6"/>
    <w:rsid w:val="008427DE"/>
    <w:rsid w:val="00842C45"/>
    <w:rsid w:val="00850A80"/>
    <w:rsid w:val="00855F41"/>
    <w:rsid w:val="008628AB"/>
    <w:rsid w:val="00864F3B"/>
    <w:rsid w:val="008958FB"/>
    <w:rsid w:val="008976E5"/>
    <w:rsid w:val="008B42ED"/>
    <w:rsid w:val="008B75E7"/>
    <w:rsid w:val="008C6017"/>
    <w:rsid w:val="008D1803"/>
    <w:rsid w:val="008E27C6"/>
    <w:rsid w:val="008E7559"/>
    <w:rsid w:val="00900E39"/>
    <w:rsid w:val="00901389"/>
    <w:rsid w:val="009027BD"/>
    <w:rsid w:val="009040D6"/>
    <w:rsid w:val="00906D7C"/>
    <w:rsid w:val="0092648F"/>
    <w:rsid w:val="00931D5C"/>
    <w:rsid w:val="009346B6"/>
    <w:rsid w:val="0093796B"/>
    <w:rsid w:val="00956C8F"/>
    <w:rsid w:val="00983340"/>
    <w:rsid w:val="00986CD1"/>
    <w:rsid w:val="00987B0C"/>
    <w:rsid w:val="00990E47"/>
    <w:rsid w:val="009A0D5F"/>
    <w:rsid w:val="009A0E55"/>
    <w:rsid w:val="009A5315"/>
    <w:rsid w:val="009B156C"/>
    <w:rsid w:val="009B2077"/>
    <w:rsid w:val="009C0502"/>
    <w:rsid w:val="009C70E4"/>
    <w:rsid w:val="009D37A4"/>
    <w:rsid w:val="009D66E6"/>
    <w:rsid w:val="009D6CBD"/>
    <w:rsid w:val="009E21B7"/>
    <w:rsid w:val="009F12DD"/>
    <w:rsid w:val="009F431E"/>
    <w:rsid w:val="00A175B4"/>
    <w:rsid w:val="00A21768"/>
    <w:rsid w:val="00A32312"/>
    <w:rsid w:val="00A35A1B"/>
    <w:rsid w:val="00A363B8"/>
    <w:rsid w:val="00A45FB0"/>
    <w:rsid w:val="00A46249"/>
    <w:rsid w:val="00A476DE"/>
    <w:rsid w:val="00A5153F"/>
    <w:rsid w:val="00A55624"/>
    <w:rsid w:val="00A55BAA"/>
    <w:rsid w:val="00A55C00"/>
    <w:rsid w:val="00A57397"/>
    <w:rsid w:val="00A60F27"/>
    <w:rsid w:val="00A62978"/>
    <w:rsid w:val="00A824E4"/>
    <w:rsid w:val="00A878A5"/>
    <w:rsid w:val="00A937F1"/>
    <w:rsid w:val="00AA4E15"/>
    <w:rsid w:val="00AB4ED7"/>
    <w:rsid w:val="00AD4798"/>
    <w:rsid w:val="00AE3523"/>
    <w:rsid w:val="00AF6557"/>
    <w:rsid w:val="00AF7A69"/>
    <w:rsid w:val="00B05C27"/>
    <w:rsid w:val="00B06557"/>
    <w:rsid w:val="00B068CB"/>
    <w:rsid w:val="00B10D85"/>
    <w:rsid w:val="00B1691A"/>
    <w:rsid w:val="00B242BC"/>
    <w:rsid w:val="00B25A64"/>
    <w:rsid w:val="00B32D2E"/>
    <w:rsid w:val="00B33830"/>
    <w:rsid w:val="00B34EC0"/>
    <w:rsid w:val="00B36DEE"/>
    <w:rsid w:val="00B435DB"/>
    <w:rsid w:val="00B44C0A"/>
    <w:rsid w:val="00B528B6"/>
    <w:rsid w:val="00B562E6"/>
    <w:rsid w:val="00B65708"/>
    <w:rsid w:val="00B8105C"/>
    <w:rsid w:val="00B822CD"/>
    <w:rsid w:val="00B85748"/>
    <w:rsid w:val="00B92B14"/>
    <w:rsid w:val="00B9403B"/>
    <w:rsid w:val="00BB4676"/>
    <w:rsid w:val="00BB59E8"/>
    <w:rsid w:val="00BC0F97"/>
    <w:rsid w:val="00BE7238"/>
    <w:rsid w:val="00BF2593"/>
    <w:rsid w:val="00C05F72"/>
    <w:rsid w:val="00C0716A"/>
    <w:rsid w:val="00C129A4"/>
    <w:rsid w:val="00C268B6"/>
    <w:rsid w:val="00C26C84"/>
    <w:rsid w:val="00C52ECD"/>
    <w:rsid w:val="00C54E95"/>
    <w:rsid w:val="00C55A79"/>
    <w:rsid w:val="00C62B80"/>
    <w:rsid w:val="00C633DC"/>
    <w:rsid w:val="00C658AB"/>
    <w:rsid w:val="00C73F22"/>
    <w:rsid w:val="00C85BEB"/>
    <w:rsid w:val="00C9141B"/>
    <w:rsid w:val="00C962C3"/>
    <w:rsid w:val="00CA7FE0"/>
    <w:rsid w:val="00CB5E3F"/>
    <w:rsid w:val="00CC20DE"/>
    <w:rsid w:val="00CD112A"/>
    <w:rsid w:val="00CE2EEA"/>
    <w:rsid w:val="00CE3ACB"/>
    <w:rsid w:val="00CF0528"/>
    <w:rsid w:val="00D0210C"/>
    <w:rsid w:val="00D100BA"/>
    <w:rsid w:val="00D23CFD"/>
    <w:rsid w:val="00D30A74"/>
    <w:rsid w:val="00D402B7"/>
    <w:rsid w:val="00D437B8"/>
    <w:rsid w:val="00D443DE"/>
    <w:rsid w:val="00D455B8"/>
    <w:rsid w:val="00D51122"/>
    <w:rsid w:val="00D56571"/>
    <w:rsid w:val="00D63E7A"/>
    <w:rsid w:val="00D665C1"/>
    <w:rsid w:val="00D66766"/>
    <w:rsid w:val="00D77CDD"/>
    <w:rsid w:val="00D84738"/>
    <w:rsid w:val="00D94631"/>
    <w:rsid w:val="00D94D76"/>
    <w:rsid w:val="00DA7092"/>
    <w:rsid w:val="00DA7511"/>
    <w:rsid w:val="00DB0FA0"/>
    <w:rsid w:val="00DB2A42"/>
    <w:rsid w:val="00DB498D"/>
    <w:rsid w:val="00DC1478"/>
    <w:rsid w:val="00DC2929"/>
    <w:rsid w:val="00DC3E81"/>
    <w:rsid w:val="00DD0629"/>
    <w:rsid w:val="00DD3E63"/>
    <w:rsid w:val="00DE1123"/>
    <w:rsid w:val="00DE3711"/>
    <w:rsid w:val="00DE684D"/>
    <w:rsid w:val="00DE7242"/>
    <w:rsid w:val="00E30080"/>
    <w:rsid w:val="00E3277F"/>
    <w:rsid w:val="00E343E5"/>
    <w:rsid w:val="00E35315"/>
    <w:rsid w:val="00E426C6"/>
    <w:rsid w:val="00E4560B"/>
    <w:rsid w:val="00E545E4"/>
    <w:rsid w:val="00E75E39"/>
    <w:rsid w:val="00E80F80"/>
    <w:rsid w:val="00E91FE5"/>
    <w:rsid w:val="00E9200C"/>
    <w:rsid w:val="00EA6B39"/>
    <w:rsid w:val="00EA6EA3"/>
    <w:rsid w:val="00EB0B6D"/>
    <w:rsid w:val="00EB7758"/>
    <w:rsid w:val="00EC67F2"/>
    <w:rsid w:val="00EC759D"/>
    <w:rsid w:val="00ED5EBB"/>
    <w:rsid w:val="00ED6A78"/>
    <w:rsid w:val="00EE096E"/>
    <w:rsid w:val="00EE5F86"/>
    <w:rsid w:val="00EE7F72"/>
    <w:rsid w:val="00F00081"/>
    <w:rsid w:val="00F01E8A"/>
    <w:rsid w:val="00F2656D"/>
    <w:rsid w:val="00F3364C"/>
    <w:rsid w:val="00F5176E"/>
    <w:rsid w:val="00F53D0C"/>
    <w:rsid w:val="00F55728"/>
    <w:rsid w:val="00F604F3"/>
    <w:rsid w:val="00F64096"/>
    <w:rsid w:val="00F6662E"/>
    <w:rsid w:val="00F95022"/>
    <w:rsid w:val="00F954D5"/>
    <w:rsid w:val="00F96976"/>
    <w:rsid w:val="00F96FC2"/>
    <w:rsid w:val="00FA174E"/>
    <w:rsid w:val="00FB594B"/>
    <w:rsid w:val="00FD7364"/>
    <w:rsid w:val="00FE4B45"/>
    <w:rsid w:val="00FE64C4"/>
    <w:rsid w:val="00FE7207"/>
    <w:rsid w:val="00FE7C89"/>
    <w:rsid w:val="00FF1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D6CBD"/>
    <w:pPr>
      <w:spacing w:after="0" w:line="240" w:lineRule="auto"/>
    </w:pPr>
    <w:rPr>
      <w:szCs w:val="20"/>
      <w:lang w:val="en-GB" w:eastAsia="sv-SE"/>
    </w:rPr>
  </w:style>
  <w:style w:type="paragraph" w:styleId="Nadpis1">
    <w:name w:val="heading 1"/>
    <w:basedOn w:val="Normlny"/>
    <w:next w:val="Normlny"/>
    <w:link w:val="Nadpis1Char"/>
    <w:uiPriority w:val="99"/>
    <w:qFormat/>
    <w:rsid w:val="009D6CBD"/>
    <w:pPr>
      <w:keepNext/>
      <w:numPr>
        <w:numId w:val="25"/>
      </w:numPr>
      <w:outlineLvl w:val="0"/>
    </w:pPr>
    <w:rPr>
      <w:rFonts w:cs="Arial"/>
      <w:b/>
      <w:bCs/>
      <w:caps/>
      <w:szCs w:val="32"/>
    </w:rPr>
  </w:style>
  <w:style w:type="paragraph" w:styleId="Nadpis2">
    <w:name w:val="heading 2"/>
    <w:basedOn w:val="Normlny"/>
    <w:next w:val="Normlny"/>
    <w:link w:val="Nadpis2Char"/>
    <w:uiPriority w:val="99"/>
    <w:qFormat/>
    <w:rsid w:val="009D6CBD"/>
    <w:pPr>
      <w:keepNext/>
      <w:numPr>
        <w:ilvl w:val="1"/>
        <w:numId w:val="25"/>
      </w:numPr>
      <w:outlineLvl w:val="1"/>
    </w:pPr>
    <w:rPr>
      <w:b/>
    </w:rPr>
  </w:style>
  <w:style w:type="paragraph" w:styleId="Nadpis3">
    <w:name w:val="heading 3"/>
    <w:basedOn w:val="Normlny"/>
    <w:next w:val="Normlny"/>
    <w:link w:val="Nadpis3Char"/>
    <w:uiPriority w:val="99"/>
    <w:qFormat/>
    <w:rsid w:val="009D6CBD"/>
    <w:pPr>
      <w:keepNext/>
      <w:ind w:left="709" w:hanging="709"/>
      <w:outlineLvl w:val="2"/>
    </w:pPr>
    <w:rPr>
      <w:u w:val="singl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9D6CBD"/>
    <w:rPr>
      <w:rFonts w:ascii="Cambria" w:hAnsi="Cambria" w:cs="Times New Roman"/>
      <w:b/>
      <w:bCs/>
      <w:kern w:val="32"/>
      <w:sz w:val="32"/>
      <w:szCs w:val="32"/>
      <w:lang w:val="en-GB" w:eastAsia="sv-SE"/>
    </w:rPr>
  </w:style>
  <w:style w:type="character" w:customStyle="1" w:styleId="Nadpis2Char">
    <w:name w:val="Nadpis 2 Char"/>
    <w:basedOn w:val="Predvolenpsmoodseku"/>
    <w:link w:val="Nadpis2"/>
    <w:uiPriority w:val="99"/>
    <w:semiHidden/>
    <w:locked/>
    <w:rsid w:val="009D6CBD"/>
    <w:rPr>
      <w:rFonts w:ascii="Cambria" w:hAnsi="Cambria" w:cs="Times New Roman"/>
      <w:b/>
      <w:bCs/>
      <w:i/>
      <w:iCs/>
      <w:sz w:val="28"/>
      <w:szCs w:val="28"/>
      <w:lang w:val="en-GB" w:eastAsia="sv-SE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9D6CBD"/>
    <w:rPr>
      <w:rFonts w:ascii="Cambria" w:hAnsi="Cambria" w:cs="Times New Roman"/>
      <w:b/>
      <w:bCs/>
      <w:sz w:val="26"/>
      <w:szCs w:val="26"/>
      <w:lang w:val="en-GB" w:eastAsia="sv-SE"/>
    </w:rPr>
  </w:style>
  <w:style w:type="paragraph" w:styleId="Nzov">
    <w:name w:val="Title"/>
    <w:basedOn w:val="Normlny"/>
    <w:link w:val="NzovChar"/>
    <w:uiPriority w:val="99"/>
    <w:qFormat/>
    <w:rsid w:val="009D6CBD"/>
    <w:pPr>
      <w:widowControl w:val="0"/>
      <w:jc w:val="center"/>
    </w:pPr>
    <w:rPr>
      <w:b/>
      <w:sz w:val="28"/>
    </w:rPr>
  </w:style>
  <w:style w:type="character" w:customStyle="1" w:styleId="NzovChar">
    <w:name w:val="Názov Char"/>
    <w:basedOn w:val="Predvolenpsmoodseku"/>
    <w:link w:val="Nzov"/>
    <w:uiPriority w:val="99"/>
    <w:locked/>
    <w:rsid w:val="009D6CBD"/>
    <w:rPr>
      <w:rFonts w:ascii="Cambria" w:hAnsi="Cambria" w:cs="Times New Roman"/>
      <w:b/>
      <w:bCs/>
      <w:kern w:val="28"/>
      <w:sz w:val="32"/>
      <w:szCs w:val="32"/>
      <w:lang w:val="en-GB" w:eastAsia="sv-SE"/>
    </w:rPr>
  </w:style>
  <w:style w:type="paragraph" w:customStyle="1" w:styleId="PlainText1">
    <w:name w:val="Plain Text1"/>
    <w:basedOn w:val="Normlny"/>
    <w:uiPriority w:val="99"/>
    <w:rsid w:val="009D6CBD"/>
    <w:pPr>
      <w:widowControl w:val="0"/>
    </w:pPr>
    <w:rPr>
      <w:sz w:val="24"/>
    </w:rPr>
  </w:style>
  <w:style w:type="paragraph" w:styleId="Zkladntext2">
    <w:name w:val="Body Text 2"/>
    <w:basedOn w:val="Normlny"/>
    <w:link w:val="Zkladntext2Char"/>
    <w:uiPriority w:val="99"/>
    <w:rsid w:val="009D6CBD"/>
    <w:pPr>
      <w:ind w:left="426"/>
      <w:jc w:val="both"/>
    </w:pPr>
    <w:rPr>
      <w:sz w:val="24"/>
    </w:rPr>
  </w:style>
  <w:style w:type="character" w:customStyle="1" w:styleId="Zkladntext2Char">
    <w:name w:val="Základný text 2 Char"/>
    <w:basedOn w:val="Predvolenpsmoodseku"/>
    <w:link w:val="Zkladntext2"/>
    <w:uiPriority w:val="99"/>
    <w:semiHidden/>
    <w:locked/>
    <w:rsid w:val="009D6CBD"/>
    <w:rPr>
      <w:rFonts w:cs="Times New Roman"/>
      <w:sz w:val="20"/>
      <w:szCs w:val="20"/>
      <w:lang w:val="en-GB" w:eastAsia="sv-SE"/>
    </w:rPr>
  </w:style>
  <w:style w:type="paragraph" w:styleId="Zkladntext">
    <w:name w:val="Body Text"/>
    <w:basedOn w:val="Normlny"/>
    <w:link w:val="ZkladntextChar"/>
    <w:uiPriority w:val="99"/>
    <w:rsid w:val="009D6CBD"/>
    <w:pPr>
      <w:jc w:val="both"/>
    </w:pPr>
    <w:rPr>
      <w:sz w:val="24"/>
      <w:u w:val="single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locked/>
    <w:rsid w:val="009D6CBD"/>
    <w:rPr>
      <w:rFonts w:cs="Times New Roman"/>
      <w:sz w:val="20"/>
      <w:szCs w:val="20"/>
      <w:lang w:val="en-GB" w:eastAsia="sv-SE"/>
    </w:rPr>
  </w:style>
  <w:style w:type="paragraph" w:styleId="Hlavika">
    <w:name w:val="header"/>
    <w:basedOn w:val="Normlny"/>
    <w:link w:val="HlavikaChar"/>
    <w:uiPriority w:val="99"/>
    <w:rsid w:val="009D6CBD"/>
    <w:pPr>
      <w:widowControl w:val="0"/>
      <w:tabs>
        <w:tab w:val="center" w:pos="4536"/>
        <w:tab w:val="right" w:pos="9072"/>
      </w:tabs>
    </w:pPr>
    <w:rPr>
      <w:sz w:val="24"/>
    </w:r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9D6CBD"/>
    <w:rPr>
      <w:rFonts w:cs="Times New Roman"/>
      <w:sz w:val="20"/>
      <w:szCs w:val="20"/>
      <w:lang w:val="en-GB" w:eastAsia="sv-SE"/>
    </w:rPr>
  </w:style>
  <w:style w:type="character" w:styleId="slostrany">
    <w:name w:val="page number"/>
    <w:basedOn w:val="Predvolenpsmoodseku"/>
    <w:uiPriority w:val="99"/>
    <w:rsid w:val="009D6CBD"/>
    <w:rPr>
      <w:rFonts w:cs="Times New Roman"/>
    </w:rPr>
  </w:style>
  <w:style w:type="paragraph" w:styleId="Pta">
    <w:name w:val="footer"/>
    <w:basedOn w:val="Normlny"/>
    <w:link w:val="PtaChar"/>
    <w:uiPriority w:val="99"/>
    <w:rsid w:val="009D6CBD"/>
    <w:pPr>
      <w:tabs>
        <w:tab w:val="center" w:pos="4536"/>
        <w:tab w:val="right" w:pos="9072"/>
      </w:tabs>
    </w:pPr>
    <w:rPr>
      <w:sz w:val="20"/>
    </w:rPr>
  </w:style>
  <w:style w:type="character" w:customStyle="1" w:styleId="PtaChar">
    <w:name w:val="Päta Char"/>
    <w:basedOn w:val="Predvolenpsmoodseku"/>
    <w:link w:val="Pta"/>
    <w:uiPriority w:val="99"/>
    <w:locked/>
    <w:rsid w:val="009D6CBD"/>
    <w:rPr>
      <w:rFonts w:cs="Times New Roman"/>
      <w:sz w:val="20"/>
      <w:szCs w:val="20"/>
      <w:lang w:val="en-GB" w:eastAsia="sv-SE"/>
    </w:rPr>
  </w:style>
  <w:style w:type="paragraph" w:customStyle="1" w:styleId="Ballongtext1">
    <w:name w:val="Ballongtext1"/>
    <w:basedOn w:val="Normlny"/>
    <w:uiPriority w:val="99"/>
    <w:semiHidden/>
    <w:rsid w:val="009D6CBD"/>
    <w:rPr>
      <w:rFonts w:ascii="Tahoma" w:hAnsi="Tahoma" w:cs="Tahoma"/>
      <w:sz w:val="16"/>
      <w:szCs w:val="16"/>
    </w:rPr>
  </w:style>
  <w:style w:type="paragraph" w:customStyle="1" w:styleId="Sprechblasentext1">
    <w:name w:val="Sprechblasentext1"/>
    <w:basedOn w:val="Normlny"/>
    <w:uiPriority w:val="99"/>
    <w:semiHidden/>
    <w:rsid w:val="009D6CBD"/>
    <w:rPr>
      <w:rFonts w:ascii="Tahoma" w:hAnsi="Tahoma" w:cs="Tahoma"/>
      <w:sz w:val="16"/>
      <w:szCs w:val="16"/>
    </w:rPr>
  </w:style>
  <w:style w:type="paragraph" w:styleId="Zkladntext3">
    <w:name w:val="Body Text 3"/>
    <w:basedOn w:val="Normlny"/>
    <w:link w:val="Zkladntext3Char"/>
    <w:uiPriority w:val="99"/>
    <w:rsid w:val="009D6CBD"/>
    <w:rPr>
      <w:color w:val="0000FF"/>
    </w:rPr>
  </w:style>
  <w:style w:type="character" w:customStyle="1" w:styleId="Zkladntext3Char">
    <w:name w:val="Základný text 3 Char"/>
    <w:basedOn w:val="Predvolenpsmoodseku"/>
    <w:link w:val="Zkladntext3"/>
    <w:uiPriority w:val="99"/>
    <w:semiHidden/>
    <w:locked/>
    <w:rsid w:val="009D6CBD"/>
    <w:rPr>
      <w:rFonts w:cs="Times New Roman"/>
      <w:sz w:val="16"/>
      <w:szCs w:val="16"/>
      <w:lang w:val="en-GB" w:eastAsia="sv-SE"/>
    </w:rPr>
  </w:style>
  <w:style w:type="paragraph" w:styleId="Zarkazkladnhotextu2">
    <w:name w:val="Body Text Indent 2"/>
    <w:basedOn w:val="Normlny"/>
    <w:link w:val="Zarkazkladnhotextu2Char"/>
    <w:uiPriority w:val="99"/>
    <w:rsid w:val="009D6CBD"/>
    <w:pPr>
      <w:ind w:left="426"/>
    </w:pPr>
  </w:style>
  <w:style w:type="character" w:customStyle="1" w:styleId="Zarkazkladnhotextu2Char">
    <w:name w:val="Zarážka základného textu 2 Char"/>
    <w:basedOn w:val="Predvolenpsmoodseku"/>
    <w:link w:val="Zarkazkladnhotextu2"/>
    <w:uiPriority w:val="99"/>
    <w:semiHidden/>
    <w:locked/>
    <w:rsid w:val="009D6CBD"/>
    <w:rPr>
      <w:rFonts w:cs="Times New Roman"/>
      <w:sz w:val="20"/>
      <w:szCs w:val="20"/>
      <w:lang w:val="en-GB" w:eastAsia="sv-SE"/>
    </w:rPr>
  </w:style>
  <w:style w:type="paragraph" w:styleId="Textbubliny">
    <w:name w:val="Balloon Text"/>
    <w:basedOn w:val="Normlny"/>
    <w:link w:val="TextbublinyChar"/>
    <w:uiPriority w:val="99"/>
    <w:semiHidden/>
    <w:rsid w:val="00784A7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9D6CBD"/>
    <w:rPr>
      <w:rFonts w:ascii="Tahoma" w:hAnsi="Tahoma" w:cs="Tahoma"/>
      <w:sz w:val="16"/>
      <w:szCs w:val="16"/>
      <w:lang w:val="en-GB" w:eastAsia="sv-SE"/>
    </w:rPr>
  </w:style>
  <w:style w:type="character" w:styleId="Odkaznakomentr">
    <w:name w:val="annotation reference"/>
    <w:basedOn w:val="Predvolenpsmoodseku"/>
    <w:uiPriority w:val="99"/>
    <w:semiHidden/>
    <w:rsid w:val="009D6CBD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rsid w:val="009D6CBD"/>
    <w:rPr>
      <w:sz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locked/>
    <w:rsid w:val="008E7559"/>
    <w:rPr>
      <w:rFonts w:cs="Times New Roman"/>
      <w:lang w:eastAsia="sv-SE"/>
    </w:rPr>
  </w:style>
  <w:style w:type="paragraph" w:styleId="Odsekzoznamu">
    <w:name w:val="List Paragraph"/>
    <w:basedOn w:val="Normlny"/>
    <w:uiPriority w:val="99"/>
    <w:qFormat/>
    <w:rsid w:val="00842C45"/>
    <w:pPr>
      <w:ind w:left="720"/>
    </w:pPr>
  </w:style>
  <w:style w:type="paragraph" w:customStyle="1" w:styleId="Kommentarthema1">
    <w:name w:val="Kommentarthema1"/>
    <w:basedOn w:val="Textkomentra"/>
    <w:next w:val="Textkomentra"/>
    <w:uiPriority w:val="99"/>
    <w:semiHidden/>
    <w:rsid w:val="009D6CBD"/>
    <w:rPr>
      <w:b/>
      <w:bCs/>
    </w:rPr>
  </w:style>
  <w:style w:type="paragraph" w:customStyle="1" w:styleId="Default">
    <w:name w:val="Default"/>
    <w:uiPriority w:val="99"/>
    <w:rsid w:val="009D6CBD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de-DE" w:eastAsia="de-DE"/>
    </w:rPr>
  </w:style>
  <w:style w:type="character" w:customStyle="1" w:styleId="figure-caption">
    <w:name w:val="figure-caption"/>
    <w:basedOn w:val="Predvolenpsmoodseku"/>
    <w:uiPriority w:val="99"/>
    <w:rsid w:val="009D6CBD"/>
    <w:rPr>
      <w:rFonts w:cs="Times New Roman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rsid w:val="008E7559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locked/>
    <w:rsid w:val="008E7559"/>
  </w:style>
  <w:style w:type="character" w:styleId="Hypertextovprepojenie">
    <w:name w:val="Hyperlink"/>
    <w:basedOn w:val="Predvolenpsmoodseku"/>
    <w:uiPriority w:val="99"/>
    <w:unhideWhenUsed/>
    <w:rsid w:val="00633627"/>
    <w:rPr>
      <w:rFonts w:cs="Times New Roman"/>
      <w:color w:val="0000FF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5345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567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ma.europa.eu/docs/en_GB/document_library/Template_or_form/2013/03/WC500139752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5097</Words>
  <Characters>29053</Characters>
  <Application>Microsoft Office Word</Application>
  <DocSecurity>0</DocSecurity>
  <Lines>242</Lines>
  <Paragraphs>68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34082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2015-10-10T11:43:00Z</dcterms:created>
  <dcterms:modified xsi:type="dcterms:W3CDTF">2015-11-19T10:32:00Z</dcterms:modified>
</cp:coreProperties>
</file>