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E3924" w14:textId="77777777" w:rsidR="00D52504" w:rsidRPr="0006285C" w:rsidRDefault="00D52504" w:rsidP="00D52504">
      <w:pPr>
        <w:spacing w:line="240" w:lineRule="auto"/>
        <w:rPr>
          <w:szCs w:val="22"/>
          <w:lang w:val="sk-SK"/>
        </w:rPr>
      </w:pPr>
    </w:p>
    <w:p w14:paraId="73C2D02C" w14:textId="77777777" w:rsidR="00D52504" w:rsidRPr="0012488B" w:rsidRDefault="00D52504" w:rsidP="00D52504">
      <w:pPr>
        <w:pStyle w:val="Nadpis5"/>
        <w:spacing w:line="240" w:lineRule="auto"/>
        <w:jc w:val="center"/>
        <w:rPr>
          <w:b/>
          <w:szCs w:val="22"/>
          <w:lang w:val="sk-SK"/>
        </w:rPr>
      </w:pPr>
      <w:r w:rsidRPr="0012488B">
        <w:rPr>
          <w:b/>
          <w:szCs w:val="22"/>
          <w:lang w:val="sk-SK"/>
        </w:rPr>
        <w:t>SÚHRN CHARAKTERISTICKÝCH VLASTNOSTÍ LIEKU</w:t>
      </w:r>
    </w:p>
    <w:p w14:paraId="13B92DBD" w14:textId="77777777" w:rsidR="00D52504" w:rsidRPr="0012488B" w:rsidRDefault="00D52504" w:rsidP="00D52504">
      <w:pPr>
        <w:tabs>
          <w:tab w:val="left" w:pos="540"/>
        </w:tabs>
        <w:spacing w:line="240" w:lineRule="auto"/>
        <w:rPr>
          <w:b/>
          <w:szCs w:val="22"/>
          <w:lang w:val="sk-SK"/>
        </w:rPr>
      </w:pPr>
    </w:p>
    <w:p w14:paraId="421C588B" w14:textId="77777777" w:rsidR="00D52504" w:rsidRPr="0012488B" w:rsidRDefault="00D52504" w:rsidP="00D52504">
      <w:pPr>
        <w:tabs>
          <w:tab w:val="left" w:pos="540"/>
        </w:tabs>
        <w:spacing w:line="240" w:lineRule="auto"/>
        <w:rPr>
          <w:b/>
          <w:szCs w:val="22"/>
          <w:lang w:val="sk-SK"/>
        </w:rPr>
      </w:pPr>
    </w:p>
    <w:p w14:paraId="547D9EC4" w14:textId="77777777" w:rsidR="00D52504" w:rsidRPr="0012488B" w:rsidRDefault="00D52504" w:rsidP="00D52504">
      <w:pPr>
        <w:tabs>
          <w:tab w:val="left" w:pos="540"/>
        </w:tabs>
        <w:spacing w:line="240" w:lineRule="auto"/>
        <w:rPr>
          <w:b/>
          <w:szCs w:val="22"/>
          <w:lang w:val="sk-SK"/>
        </w:rPr>
      </w:pPr>
      <w:r w:rsidRPr="0012488B">
        <w:rPr>
          <w:b/>
          <w:szCs w:val="22"/>
          <w:lang w:val="sk-SK"/>
        </w:rPr>
        <w:t>1.</w:t>
      </w:r>
      <w:r w:rsidRPr="0012488B">
        <w:rPr>
          <w:b/>
          <w:szCs w:val="22"/>
          <w:lang w:val="sk-SK"/>
        </w:rPr>
        <w:tab/>
        <w:t>NÁZOV LIEKU</w:t>
      </w:r>
    </w:p>
    <w:p w14:paraId="7240AFF9" w14:textId="77777777" w:rsidR="00D52504" w:rsidRPr="0012488B" w:rsidRDefault="00D52504" w:rsidP="00D52504">
      <w:pPr>
        <w:pStyle w:val="Hlavika"/>
        <w:rPr>
          <w:rFonts w:ascii="Times New Roman" w:hAnsi="Times New Roman"/>
          <w:strike/>
          <w:sz w:val="22"/>
          <w:szCs w:val="22"/>
          <w:lang w:val="sk-SK"/>
        </w:rPr>
      </w:pPr>
    </w:p>
    <w:p w14:paraId="36ABDD71" w14:textId="77777777" w:rsidR="00D52504" w:rsidRPr="0012488B" w:rsidRDefault="00D52504" w:rsidP="00D52504">
      <w:pPr>
        <w:spacing w:line="240" w:lineRule="auto"/>
        <w:rPr>
          <w:szCs w:val="22"/>
          <w:lang w:val="sk-SK"/>
        </w:rPr>
      </w:pPr>
      <w:r w:rsidRPr="0012488B">
        <w:rPr>
          <w:szCs w:val="22"/>
          <w:lang w:val="sk-SK"/>
        </w:rPr>
        <w:t>Perindopril Actavis 10 mg</w:t>
      </w:r>
    </w:p>
    <w:p w14:paraId="7A5B06CC" w14:textId="77777777" w:rsidR="00D52504" w:rsidRPr="0012488B" w:rsidRDefault="00D52504" w:rsidP="00D52504">
      <w:pPr>
        <w:spacing w:line="240" w:lineRule="auto"/>
        <w:rPr>
          <w:szCs w:val="22"/>
          <w:lang w:val="sk-SK"/>
        </w:rPr>
      </w:pPr>
      <w:r w:rsidRPr="0012488B">
        <w:rPr>
          <w:szCs w:val="22"/>
          <w:lang w:val="sk-SK"/>
        </w:rPr>
        <w:t>filmom obalené tablety</w:t>
      </w:r>
    </w:p>
    <w:p w14:paraId="1120BCA5" w14:textId="77777777" w:rsidR="00D52504" w:rsidRPr="0012488B" w:rsidRDefault="00D52504" w:rsidP="00D52504">
      <w:pPr>
        <w:spacing w:line="240" w:lineRule="auto"/>
        <w:rPr>
          <w:szCs w:val="22"/>
          <w:lang w:val="sk-SK"/>
        </w:rPr>
      </w:pPr>
    </w:p>
    <w:p w14:paraId="2FF1B539" w14:textId="77777777" w:rsidR="00D52504" w:rsidRPr="0012488B" w:rsidRDefault="00D52504" w:rsidP="00D52504">
      <w:pPr>
        <w:spacing w:line="240" w:lineRule="auto"/>
        <w:rPr>
          <w:szCs w:val="22"/>
          <w:lang w:val="sk-SK"/>
        </w:rPr>
      </w:pPr>
    </w:p>
    <w:p w14:paraId="66C216C8" w14:textId="77777777" w:rsidR="00D52504" w:rsidRPr="0012488B" w:rsidRDefault="00D52504" w:rsidP="00D52504">
      <w:pPr>
        <w:spacing w:line="240" w:lineRule="auto"/>
        <w:rPr>
          <w:b/>
          <w:szCs w:val="22"/>
          <w:lang w:val="sk-SK"/>
        </w:rPr>
      </w:pPr>
      <w:r w:rsidRPr="0012488B">
        <w:rPr>
          <w:b/>
          <w:szCs w:val="22"/>
          <w:lang w:val="sk-SK"/>
        </w:rPr>
        <w:t>2.</w:t>
      </w:r>
      <w:r w:rsidRPr="0012488B">
        <w:rPr>
          <w:b/>
          <w:szCs w:val="22"/>
          <w:lang w:val="sk-SK"/>
        </w:rPr>
        <w:tab/>
        <w:t>KVALITATÍVNE A KVANTITATÍVNE ZLOŽENIE</w:t>
      </w:r>
    </w:p>
    <w:p w14:paraId="3EF0F702" w14:textId="77777777" w:rsidR="00D52504" w:rsidRPr="0012488B" w:rsidRDefault="00D52504" w:rsidP="00D52504">
      <w:pPr>
        <w:spacing w:line="240" w:lineRule="auto"/>
        <w:rPr>
          <w:szCs w:val="22"/>
          <w:lang w:val="sk-SK"/>
        </w:rPr>
      </w:pPr>
    </w:p>
    <w:p w14:paraId="3D40E756" w14:textId="51D8B5F6" w:rsidR="00D52504" w:rsidRPr="0012488B" w:rsidRDefault="00D52504" w:rsidP="00D52504">
      <w:pPr>
        <w:tabs>
          <w:tab w:val="left" w:leader="dot" w:pos="7938"/>
        </w:tabs>
        <w:spacing w:line="240" w:lineRule="auto"/>
        <w:rPr>
          <w:bCs/>
          <w:iCs/>
          <w:szCs w:val="22"/>
          <w:lang w:val="sk-SK"/>
        </w:rPr>
      </w:pPr>
      <w:r w:rsidRPr="0012488B">
        <w:rPr>
          <w:bCs/>
          <w:iCs/>
          <w:szCs w:val="22"/>
          <w:lang w:val="sk-SK"/>
        </w:rPr>
        <w:t>Každá filmom obalená tableta obsahuje</w:t>
      </w:r>
      <w:r w:rsidR="0074555B" w:rsidRPr="0012488B">
        <w:rPr>
          <w:bCs/>
          <w:iCs/>
          <w:szCs w:val="22"/>
          <w:lang w:val="sk-SK"/>
        </w:rPr>
        <w:t xml:space="preserve"> </w:t>
      </w:r>
      <w:r w:rsidR="006C2033" w:rsidRPr="0012488B">
        <w:rPr>
          <w:bCs/>
          <w:iCs/>
          <w:szCs w:val="22"/>
          <w:lang w:val="sk-SK"/>
        </w:rPr>
        <w:t>10 mg perindoprilu</w:t>
      </w:r>
      <w:r w:rsidR="0074555B" w:rsidRPr="0012488B">
        <w:rPr>
          <w:bCs/>
          <w:iCs/>
          <w:szCs w:val="22"/>
          <w:lang w:val="sk-SK"/>
        </w:rPr>
        <w:t xml:space="preserve"> arginín</w:t>
      </w:r>
      <w:r w:rsidR="00A23FBB" w:rsidRPr="0012488B">
        <w:rPr>
          <w:bCs/>
          <w:iCs/>
          <w:szCs w:val="22"/>
          <w:lang w:val="sk-SK"/>
        </w:rPr>
        <w:t>u</w:t>
      </w:r>
      <w:r w:rsidRPr="0012488B">
        <w:rPr>
          <w:bCs/>
          <w:iCs/>
          <w:szCs w:val="22"/>
          <w:lang w:val="sk-SK"/>
        </w:rPr>
        <w:t xml:space="preserve">, čo zodpovedá </w:t>
      </w:r>
      <w:r w:rsidR="006C2033" w:rsidRPr="0012488B">
        <w:rPr>
          <w:bCs/>
          <w:iCs/>
          <w:szCs w:val="22"/>
          <w:lang w:val="sk-SK"/>
        </w:rPr>
        <w:t>6,790 mg perindoprilu</w:t>
      </w:r>
      <w:r w:rsidRPr="0012488B">
        <w:rPr>
          <w:bCs/>
          <w:iCs/>
          <w:szCs w:val="22"/>
          <w:lang w:val="sk-SK"/>
        </w:rPr>
        <w:t xml:space="preserve">. </w:t>
      </w:r>
    </w:p>
    <w:p w14:paraId="7DF79F63" w14:textId="77777777" w:rsidR="00D52504" w:rsidRPr="0012488B" w:rsidRDefault="00D52504" w:rsidP="00D52504">
      <w:pPr>
        <w:tabs>
          <w:tab w:val="left" w:leader="dot" w:pos="7938"/>
        </w:tabs>
        <w:spacing w:line="240" w:lineRule="auto"/>
        <w:rPr>
          <w:bCs/>
          <w:iCs/>
          <w:szCs w:val="22"/>
          <w:lang w:val="sk-SK"/>
        </w:rPr>
      </w:pPr>
    </w:p>
    <w:p w14:paraId="1FAA8E4E" w14:textId="77777777" w:rsidR="00D52504" w:rsidRPr="0012488B" w:rsidRDefault="00D52504" w:rsidP="00D52504">
      <w:pPr>
        <w:spacing w:line="240" w:lineRule="auto"/>
        <w:rPr>
          <w:szCs w:val="22"/>
          <w:lang w:val="sk-SK"/>
        </w:rPr>
      </w:pPr>
      <w:r w:rsidRPr="0012488B">
        <w:rPr>
          <w:szCs w:val="22"/>
          <w:lang w:val="sk-SK"/>
        </w:rPr>
        <w:t xml:space="preserve">Pomocná látka so známym účinkom: </w:t>
      </w:r>
      <w:r w:rsidR="006C2033" w:rsidRPr="0012488B">
        <w:rPr>
          <w:szCs w:val="22"/>
          <w:lang w:val="sk-SK"/>
        </w:rPr>
        <w:t xml:space="preserve">každá tableta obsahuje </w:t>
      </w:r>
      <w:r w:rsidRPr="0012488B">
        <w:rPr>
          <w:szCs w:val="22"/>
          <w:lang w:val="sk-SK"/>
        </w:rPr>
        <w:t>141,56 mg monohydrátu laktózy.</w:t>
      </w:r>
    </w:p>
    <w:p w14:paraId="6D220B31" w14:textId="77777777" w:rsidR="006C2033" w:rsidRPr="0012488B" w:rsidRDefault="006C2033" w:rsidP="00D52504">
      <w:pPr>
        <w:spacing w:line="240" w:lineRule="auto"/>
        <w:rPr>
          <w:szCs w:val="22"/>
          <w:lang w:val="sk-SK"/>
        </w:rPr>
      </w:pPr>
    </w:p>
    <w:p w14:paraId="4E14543B" w14:textId="77777777" w:rsidR="00D52504" w:rsidRPr="0012488B" w:rsidRDefault="00D52504" w:rsidP="00D52504">
      <w:pPr>
        <w:spacing w:line="240" w:lineRule="auto"/>
        <w:rPr>
          <w:szCs w:val="22"/>
          <w:lang w:val="sk-SK"/>
        </w:rPr>
      </w:pPr>
      <w:r w:rsidRPr="0012488B">
        <w:rPr>
          <w:szCs w:val="22"/>
          <w:lang w:val="sk-SK"/>
        </w:rPr>
        <w:t>Úplný zoznam pomocných látok, pozri časť 6.1</w:t>
      </w:r>
    </w:p>
    <w:p w14:paraId="7CF037F7" w14:textId="77777777" w:rsidR="00D52504" w:rsidRPr="0012488B" w:rsidRDefault="00D52504" w:rsidP="00D52504">
      <w:pPr>
        <w:spacing w:line="240" w:lineRule="auto"/>
        <w:rPr>
          <w:szCs w:val="22"/>
          <w:lang w:val="sk-SK"/>
        </w:rPr>
      </w:pPr>
    </w:p>
    <w:p w14:paraId="58273681" w14:textId="77777777" w:rsidR="001260BE" w:rsidRPr="0012488B" w:rsidRDefault="001260BE" w:rsidP="00D52504">
      <w:pPr>
        <w:spacing w:line="240" w:lineRule="auto"/>
        <w:rPr>
          <w:szCs w:val="22"/>
          <w:lang w:val="sk-SK"/>
        </w:rPr>
      </w:pPr>
    </w:p>
    <w:p w14:paraId="26A00B73" w14:textId="77777777" w:rsidR="00D52504" w:rsidRPr="0012488B" w:rsidRDefault="00D52504" w:rsidP="00D52504">
      <w:pPr>
        <w:keepNext/>
        <w:spacing w:line="240" w:lineRule="auto"/>
        <w:rPr>
          <w:b/>
          <w:szCs w:val="22"/>
          <w:lang w:val="sk-SK"/>
        </w:rPr>
      </w:pPr>
      <w:r w:rsidRPr="0012488B">
        <w:rPr>
          <w:b/>
          <w:szCs w:val="22"/>
          <w:lang w:val="sk-SK"/>
        </w:rPr>
        <w:t>3.</w:t>
      </w:r>
      <w:r w:rsidRPr="0012488B">
        <w:rPr>
          <w:b/>
          <w:szCs w:val="22"/>
          <w:lang w:val="sk-SK"/>
        </w:rPr>
        <w:tab/>
        <w:t>LIEKOVÁ FORMA</w:t>
      </w:r>
    </w:p>
    <w:p w14:paraId="64E3F30C" w14:textId="77777777" w:rsidR="00D52504" w:rsidRPr="0012488B" w:rsidRDefault="00D52504" w:rsidP="00D52504">
      <w:pPr>
        <w:spacing w:line="240" w:lineRule="auto"/>
        <w:rPr>
          <w:szCs w:val="22"/>
          <w:lang w:val="sk-SK"/>
        </w:rPr>
      </w:pPr>
    </w:p>
    <w:p w14:paraId="17EFFD03" w14:textId="77777777" w:rsidR="00D52504" w:rsidRPr="0012488B" w:rsidRDefault="00D52504" w:rsidP="00D52504">
      <w:pPr>
        <w:spacing w:line="240" w:lineRule="auto"/>
        <w:rPr>
          <w:szCs w:val="22"/>
          <w:lang w:val="sk-SK"/>
        </w:rPr>
      </w:pPr>
      <w:r w:rsidRPr="0012488B">
        <w:rPr>
          <w:szCs w:val="22"/>
          <w:lang w:val="sk-SK"/>
        </w:rPr>
        <w:t>Filmom obalená tableta.</w:t>
      </w:r>
    </w:p>
    <w:p w14:paraId="6CCA13E9" w14:textId="77777777" w:rsidR="00D52504" w:rsidRPr="0012488B" w:rsidRDefault="00D52504" w:rsidP="00D52504">
      <w:pPr>
        <w:spacing w:line="240" w:lineRule="auto"/>
        <w:rPr>
          <w:szCs w:val="22"/>
          <w:lang w:val="sk-SK"/>
        </w:rPr>
      </w:pPr>
    </w:p>
    <w:p w14:paraId="1F6AB7D9" w14:textId="1FDE19F8" w:rsidR="00D52504" w:rsidRPr="0012488B" w:rsidRDefault="00D52504" w:rsidP="00D52504">
      <w:pPr>
        <w:spacing w:line="240" w:lineRule="auto"/>
        <w:rPr>
          <w:szCs w:val="22"/>
          <w:lang w:val="sk-SK"/>
        </w:rPr>
      </w:pPr>
      <w:r w:rsidRPr="0012488B">
        <w:rPr>
          <w:szCs w:val="22"/>
          <w:lang w:val="sk-SK"/>
        </w:rPr>
        <w:t xml:space="preserve">Perindopril Actavis 10 mg sú biele, 8 mm, okrúhle, </w:t>
      </w:r>
      <w:r w:rsidR="006C2033" w:rsidRPr="0012488B">
        <w:rPr>
          <w:szCs w:val="22"/>
          <w:lang w:val="sk-SK"/>
        </w:rPr>
        <w:t>bikonvexné</w:t>
      </w:r>
      <w:r w:rsidRPr="0012488B">
        <w:rPr>
          <w:szCs w:val="22"/>
          <w:lang w:val="sk-SK"/>
        </w:rPr>
        <w:t xml:space="preserve"> tablety, so</w:t>
      </w:r>
      <w:r w:rsidR="006C2033" w:rsidRPr="0012488B">
        <w:rPr>
          <w:szCs w:val="22"/>
          <w:lang w:val="sk-SK"/>
        </w:rPr>
        <w:t xml:space="preserve"> </w:t>
      </w:r>
      <w:r w:rsidRPr="0012488B">
        <w:rPr>
          <w:szCs w:val="22"/>
          <w:lang w:val="sk-SK"/>
        </w:rPr>
        <w:t xml:space="preserve">štyrmi bodkami na jednej strane. </w:t>
      </w:r>
    </w:p>
    <w:p w14:paraId="5C1BD061" w14:textId="77777777" w:rsidR="00D52504" w:rsidRPr="0012488B" w:rsidRDefault="00D52504" w:rsidP="00D52504">
      <w:pPr>
        <w:spacing w:line="240" w:lineRule="auto"/>
        <w:rPr>
          <w:szCs w:val="22"/>
          <w:lang w:val="sk-SK"/>
        </w:rPr>
      </w:pPr>
    </w:p>
    <w:p w14:paraId="3215FD32" w14:textId="77777777" w:rsidR="00D52504" w:rsidRPr="0012488B" w:rsidRDefault="00D52504" w:rsidP="00D52504">
      <w:pPr>
        <w:spacing w:line="240" w:lineRule="auto"/>
        <w:rPr>
          <w:szCs w:val="22"/>
          <w:lang w:val="sk-SK"/>
        </w:rPr>
      </w:pPr>
    </w:p>
    <w:p w14:paraId="109F267B" w14:textId="77777777" w:rsidR="00D52504" w:rsidRPr="0012488B" w:rsidRDefault="00D52504" w:rsidP="00D52504">
      <w:pPr>
        <w:spacing w:line="240" w:lineRule="auto"/>
        <w:rPr>
          <w:b/>
          <w:szCs w:val="22"/>
          <w:lang w:val="sk-SK"/>
        </w:rPr>
      </w:pPr>
      <w:r w:rsidRPr="0012488B">
        <w:rPr>
          <w:b/>
          <w:szCs w:val="22"/>
          <w:lang w:val="sk-SK"/>
        </w:rPr>
        <w:t>4.</w:t>
      </w:r>
      <w:r w:rsidRPr="0012488B">
        <w:rPr>
          <w:b/>
          <w:szCs w:val="22"/>
          <w:lang w:val="sk-SK"/>
        </w:rPr>
        <w:tab/>
        <w:t>KLINICKÉ ÚDAJE</w:t>
      </w:r>
    </w:p>
    <w:p w14:paraId="449402D1" w14:textId="77777777" w:rsidR="00D52504" w:rsidRPr="0012488B" w:rsidRDefault="00D52504" w:rsidP="00D52504">
      <w:pPr>
        <w:spacing w:line="240" w:lineRule="auto"/>
        <w:rPr>
          <w:b/>
          <w:szCs w:val="22"/>
          <w:lang w:val="sk-SK"/>
        </w:rPr>
      </w:pPr>
    </w:p>
    <w:p w14:paraId="7D3CE65C" w14:textId="77777777" w:rsidR="00D52504" w:rsidRPr="0012488B" w:rsidRDefault="00D52504" w:rsidP="00D52504">
      <w:pPr>
        <w:spacing w:line="240" w:lineRule="auto"/>
        <w:rPr>
          <w:b/>
          <w:szCs w:val="22"/>
          <w:lang w:val="sk-SK"/>
        </w:rPr>
      </w:pPr>
      <w:r w:rsidRPr="0012488B">
        <w:rPr>
          <w:b/>
          <w:szCs w:val="22"/>
          <w:lang w:val="sk-SK"/>
        </w:rPr>
        <w:t>4.1</w:t>
      </w:r>
      <w:r w:rsidRPr="0012488B">
        <w:rPr>
          <w:b/>
          <w:szCs w:val="22"/>
          <w:lang w:val="sk-SK"/>
        </w:rPr>
        <w:tab/>
        <w:t>Terapeutické indikácie</w:t>
      </w:r>
    </w:p>
    <w:p w14:paraId="245E60D8" w14:textId="77777777" w:rsidR="00D52504" w:rsidRPr="0012488B" w:rsidRDefault="00D52504" w:rsidP="00D52504">
      <w:pPr>
        <w:pStyle w:val="Hlavika"/>
        <w:tabs>
          <w:tab w:val="left" w:pos="2268"/>
        </w:tabs>
        <w:rPr>
          <w:rFonts w:ascii="Times New Roman" w:hAnsi="Times New Roman"/>
          <w:sz w:val="22"/>
          <w:szCs w:val="22"/>
          <w:lang w:val="sk-SK"/>
        </w:rPr>
      </w:pPr>
    </w:p>
    <w:p w14:paraId="53B5F70A" w14:textId="77777777" w:rsidR="00D52504" w:rsidRPr="0012488B" w:rsidRDefault="00D52504" w:rsidP="00D52504">
      <w:pPr>
        <w:pStyle w:val="Hlavika"/>
        <w:tabs>
          <w:tab w:val="left" w:pos="2268"/>
        </w:tabs>
        <w:rPr>
          <w:rFonts w:ascii="Times New Roman" w:hAnsi="Times New Roman"/>
          <w:sz w:val="22"/>
          <w:szCs w:val="22"/>
          <w:u w:val="single"/>
          <w:lang w:val="sk-SK"/>
        </w:rPr>
      </w:pPr>
      <w:r w:rsidRPr="0012488B">
        <w:rPr>
          <w:rFonts w:ascii="Times New Roman" w:hAnsi="Times New Roman"/>
          <w:sz w:val="22"/>
          <w:szCs w:val="22"/>
          <w:u w:val="single"/>
          <w:lang w:val="sk-SK"/>
        </w:rPr>
        <w:t>Hypertenzia:</w:t>
      </w:r>
    </w:p>
    <w:p w14:paraId="06D319CC" w14:textId="77777777" w:rsidR="00D52504" w:rsidRPr="0012488B" w:rsidRDefault="00D52504" w:rsidP="00D52504">
      <w:pPr>
        <w:pStyle w:val="Hlavika"/>
        <w:tabs>
          <w:tab w:val="left" w:pos="2268"/>
        </w:tabs>
        <w:rPr>
          <w:rFonts w:ascii="Times New Roman" w:hAnsi="Times New Roman"/>
          <w:sz w:val="22"/>
          <w:szCs w:val="22"/>
          <w:lang w:val="sk-SK"/>
        </w:rPr>
      </w:pPr>
      <w:r w:rsidRPr="0012488B">
        <w:rPr>
          <w:rFonts w:ascii="Times New Roman" w:hAnsi="Times New Roman"/>
          <w:bCs/>
          <w:iCs/>
          <w:sz w:val="22"/>
          <w:szCs w:val="22"/>
          <w:lang w:val="sk-SK"/>
        </w:rPr>
        <w:t>Liečba hypertenzie.</w:t>
      </w:r>
    </w:p>
    <w:p w14:paraId="6B914E72" w14:textId="77777777" w:rsidR="00D52504" w:rsidRPr="0012488B" w:rsidRDefault="00D52504" w:rsidP="00D52504">
      <w:pPr>
        <w:tabs>
          <w:tab w:val="decimal" w:pos="426"/>
          <w:tab w:val="decimal" w:pos="709"/>
        </w:tabs>
        <w:spacing w:line="240" w:lineRule="auto"/>
        <w:rPr>
          <w:bCs/>
          <w:iCs/>
          <w:szCs w:val="22"/>
          <w:u w:val="single"/>
          <w:lang w:val="sk-SK"/>
        </w:rPr>
      </w:pPr>
    </w:p>
    <w:p w14:paraId="407B531D" w14:textId="77777777" w:rsidR="00D52504" w:rsidRPr="0012488B" w:rsidRDefault="00D52504" w:rsidP="00D52504">
      <w:pPr>
        <w:spacing w:line="240" w:lineRule="auto"/>
        <w:rPr>
          <w:szCs w:val="22"/>
          <w:lang w:val="sk-SK"/>
        </w:rPr>
      </w:pPr>
      <w:r w:rsidRPr="0012488B">
        <w:rPr>
          <w:szCs w:val="22"/>
          <w:u w:val="single"/>
          <w:lang w:val="sk-SK"/>
        </w:rPr>
        <w:t>Stabilná koronárna choroba srdca</w:t>
      </w:r>
      <w:r w:rsidRPr="0012488B">
        <w:rPr>
          <w:szCs w:val="22"/>
          <w:lang w:val="sk-SK"/>
        </w:rPr>
        <w:t>:</w:t>
      </w:r>
    </w:p>
    <w:p w14:paraId="5630685C" w14:textId="77777777" w:rsidR="00D52504" w:rsidRPr="0012488B" w:rsidRDefault="00D52504" w:rsidP="00D52504">
      <w:pPr>
        <w:spacing w:line="240" w:lineRule="auto"/>
        <w:rPr>
          <w:szCs w:val="22"/>
          <w:lang w:val="sk-SK"/>
        </w:rPr>
      </w:pPr>
      <w:r w:rsidRPr="0012488B">
        <w:rPr>
          <w:szCs w:val="22"/>
          <w:lang w:val="sk-SK"/>
        </w:rPr>
        <w:t xml:space="preserve">Zníženie rizika srdcových príhod u pacientov s infarktom myokardu a/alebo revaskularizáciou v anamnéze. </w:t>
      </w:r>
    </w:p>
    <w:p w14:paraId="1A206FAF" w14:textId="77777777" w:rsidR="00D52504" w:rsidRPr="0012488B" w:rsidRDefault="00D52504" w:rsidP="00D52504">
      <w:pPr>
        <w:spacing w:line="240" w:lineRule="auto"/>
        <w:rPr>
          <w:szCs w:val="22"/>
          <w:lang w:val="sk-SK"/>
        </w:rPr>
      </w:pPr>
    </w:p>
    <w:p w14:paraId="69695361" w14:textId="77777777" w:rsidR="00D52504" w:rsidRPr="0012488B" w:rsidRDefault="00D52504" w:rsidP="00D52504">
      <w:pPr>
        <w:numPr>
          <w:ilvl w:val="1"/>
          <w:numId w:val="12"/>
        </w:numPr>
        <w:tabs>
          <w:tab w:val="clear" w:pos="360"/>
          <w:tab w:val="clear" w:pos="567"/>
          <w:tab w:val="decimal" w:pos="-142"/>
        </w:tabs>
        <w:spacing w:line="240" w:lineRule="auto"/>
        <w:ind w:left="0" w:firstLine="0"/>
        <w:rPr>
          <w:b/>
          <w:szCs w:val="22"/>
          <w:lang w:val="sk-SK"/>
        </w:rPr>
      </w:pPr>
      <w:r w:rsidRPr="0012488B">
        <w:rPr>
          <w:b/>
          <w:szCs w:val="22"/>
          <w:lang w:val="sk-SK"/>
        </w:rPr>
        <w:t>Dávkovanie a spôsob podávania</w:t>
      </w:r>
    </w:p>
    <w:p w14:paraId="08B0A308" w14:textId="77777777" w:rsidR="00D52504" w:rsidRPr="0012488B" w:rsidRDefault="00D52504" w:rsidP="00D52504">
      <w:pPr>
        <w:tabs>
          <w:tab w:val="decimal" w:pos="426"/>
          <w:tab w:val="decimal" w:pos="709"/>
        </w:tabs>
        <w:spacing w:line="240" w:lineRule="auto"/>
        <w:rPr>
          <w:szCs w:val="22"/>
          <w:lang w:val="sk-SK"/>
        </w:rPr>
      </w:pPr>
    </w:p>
    <w:p w14:paraId="7B6B27DE" w14:textId="77777777" w:rsidR="00D52504" w:rsidRPr="0012488B" w:rsidRDefault="00D52504" w:rsidP="00D52504">
      <w:pPr>
        <w:tabs>
          <w:tab w:val="left" w:pos="1985"/>
        </w:tabs>
        <w:spacing w:line="240" w:lineRule="auto"/>
        <w:rPr>
          <w:szCs w:val="22"/>
          <w:lang w:val="sk-SK"/>
        </w:rPr>
      </w:pPr>
      <w:r w:rsidRPr="0012488B">
        <w:rPr>
          <w:szCs w:val="22"/>
          <w:u w:val="single"/>
          <w:lang w:val="sk-SK"/>
        </w:rPr>
        <w:t>Dávkovanie</w:t>
      </w:r>
    </w:p>
    <w:p w14:paraId="58E5782B" w14:textId="77777777" w:rsidR="00D52504" w:rsidRPr="0012488B" w:rsidRDefault="00D52504" w:rsidP="00D52504">
      <w:pPr>
        <w:spacing w:line="240" w:lineRule="auto"/>
        <w:rPr>
          <w:szCs w:val="22"/>
          <w:lang w:val="sk-SK"/>
        </w:rPr>
      </w:pPr>
      <w:r w:rsidRPr="0012488B">
        <w:rPr>
          <w:szCs w:val="22"/>
          <w:lang w:val="sk-SK"/>
        </w:rPr>
        <w:t>Dávka sa má určiť individuálne podľa profilu pacienta (pozri časť 4.4) a odozvy tlaku krvi.</w:t>
      </w:r>
    </w:p>
    <w:p w14:paraId="763FE1A9" w14:textId="77777777" w:rsidR="00D52504" w:rsidRPr="0012488B" w:rsidRDefault="00D52504" w:rsidP="00D52504">
      <w:pPr>
        <w:pStyle w:val="Hlavika"/>
        <w:tabs>
          <w:tab w:val="left" w:pos="2268"/>
        </w:tabs>
        <w:rPr>
          <w:rFonts w:ascii="Times New Roman" w:hAnsi="Times New Roman"/>
          <w:sz w:val="22"/>
          <w:szCs w:val="22"/>
          <w:u w:val="single"/>
          <w:lang w:val="sk-SK"/>
        </w:rPr>
      </w:pPr>
    </w:p>
    <w:p w14:paraId="0BC0FAA5" w14:textId="77777777" w:rsidR="00D52504" w:rsidRPr="0012488B" w:rsidRDefault="00D52504" w:rsidP="00D52504">
      <w:pPr>
        <w:pStyle w:val="Hlavika"/>
        <w:tabs>
          <w:tab w:val="left" w:pos="2268"/>
        </w:tabs>
        <w:rPr>
          <w:rFonts w:ascii="Times New Roman" w:hAnsi="Times New Roman"/>
          <w:b/>
          <w:sz w:val="22"/>
          <w:szCs w:val="22"/>
          <w:u w:val="single"/>
          <w:lang w:val="sk-SK"/>
        </w:rPr>
      </w:pPr>
      <w:r w:rsidRPr="0012488B">
        <w:rPr>
          <w:rFonts w:ascii="Times New Roman" w:hAnsi="Times New Roman"/>
          <w:b/>
          <w:sz w:val="22"/>
          <w:szCs w:val="22"/>
          <w:u w:val="single"/>
          <w:lang w:val="sk-SK"/>
        </w:rPr>
        <w:t>Hypertenzia</w:t>
      </w:r>
    </w:p>
    <w:p w14:paraId="055C554D" w14:textId="77777777" w:rsidR="00D52504" w:rsidRPr="0012488B" w:rsidRDefault="00D52504" w:rsidP="00D52504">
      <w:pPr>
        <w:pStyle w:val="Hlavika"/>
        <w:tabs>
          <w:tab w:val="decimal" w:pos="426"/>
          <w:tab w:val="decimal" w:pos="709"/>
        </w:tabs>
        <w:rPr>
          <w:rFonts w:ascii="Times New Roman" w:hAnsi="Times New Roman"/>
          <w:bCs/>
          <w:iCs/>
          <w:sz w:val="22"/>
          <w:szCs w:val="22"/>
          <w:lang w:val="sk-SK"/>
        </w:rPr>
      </w:pPr>
      <w:r w:rsidRPr="0012488B">
        <w:rPr>
          <w:rFonts w:ascii="Times New Roman" w:hAnsi="Times New Roman"/>
          <w:bCs/>
          <w:iCs/>
          <w:sz w:val="22"/>
          <w:szCs w:val="22"/>
          <w:lang w:val="sk-SK"/>
        </w:rPr>
        <w:t xml:space="preserve">Perindopril Actavis sa môže používať v monoterapii alebo v kombinácii s inými triedami antihypertenzív (pozri časti 4.3, 4.4, 4.5 a 5.1). </w:t>
      </w:r>
    </w:p>
    <w:p w14:paraId="424117C8" w14:textId="77777777" w:rsidR="00D52504" w:rsidRPr="0012488B" w:rsidRDefault="00D52504" w:rsidP="00D52504">
      <w:pPr>
        <w:tabs>
          <w:tab w:val="decimal" w:pos="426"/>
          <w:tab w:val="decimal" w:pos="709"/>
        </w:tabs>
        <w:spacing w:line="240" w:lineRule="auto"/>
        <w:rPr>
          <w:b/>
          <w:i/>
          <w:szCs w:val="22"/>
          <w:lang w:val="sk-SK"/>
        </w:rPr>
      </w:pPr>
      <w:r w:rsidRPr="0012488B">
        <w:rPr>
          <w:szCs w:val="22"/>
          <w:lang w:val="sk-SK"/>
        </w:rPr>
        <w:t>Odporúčaná začiatočná dávka je 5 mg podaná raz denne ráno.</w:t>
      </w:r>
    </w:p>
    <w:p w14:paraId="563A1EF5" w14:textId="0AF83947" w:rsidR="00D52504" w:rsidRPr="0012488B" w:rsidRDefault="00D52504" w:rsidP="00D52504">
      <w:pPr>
        <w:spacing w:line="240" w:lineRule="auto"/>
        <w:rPr>
          <w:bCs/>
          <w:iCs/>
          <w:szCs w:val="22"/>
          <w:lang w:val="sk-SK"/>
        </w:rPr>
      </w:pPr>
      <w:r w:rsidRPr="0012488B">
        <w:rPr>
          <w:bCs/>
          <w:iCs/>
          <w:szCs w:val="22"/>
          <w:lang w:val="sk-SK"/>
        </w:rPr>
        <w:t>U pacientov s </w:t>
      </w:r>
      <w:r w:rsidR="00D77292" w:rsidRPr="0012488B">
        <w:rPr>
          <w:bCs/>
          <w:iCs/>
          <w:szCs w:val="22"/>
          <w:lang w:val="sk-SK"/>
        </w:rPr>
        <w:t xml:space="preserve">výrazne </w:t>
      </w:r>
      <w:r w:rsidRPr="0012488B">
        <w:rPr>
          <w:bCs/>
          <w:iCs/>
          <w:szCs w:val="22"/>
          <w:lang w:val="sk-SK"/>
        </w:rPr>
        <w:t>aktivovaným renín-angiotenzín-aldosterónovým systémom (najmä u pacientov s renovaskulárnou hypertenziou, depléciou solí a/alebo objemu, srdcovou dekompenzáciou alebo závažnou hypertenziou) môže dôjsť po úvodnej dávke k nadmernému poklesu tlaku krvi. U takýchto pacientov je odporúčaná začiatočná dávka 2,5 mg a liečbu je potrebné začať pod lekárskym dohľadom.</w:t>
      </w:r>
    </w:p>
    <w:p w14:paraId="0EC28BE7" w14:textId="77777777" w:rsidR="00D52504" w:rsidRPr="0012488B" w:rsidRDefault="00D52504" w:rsidP="00D52504">
      <w:pPr>
        <w:tabs>
          <w:tab w:val="decimal" w:pos="426"/>
          <w:tab w:val="decimal" w:pos="709"/>
        </w:tabs>
        <w:spacing w:line="240" w:lineRule="auto"/>
        <w:rPr>
          <w:bCs/>
          <w:iCs/>
          <w:szCs w:val="22"/>
          <w:lang w:val="sk-SK"/>
        </w:rPr>
      </w:pPr>
    </w:p>
    <w:p w14:paraId="587DC9CD" w14:textId="77777777" w:rsidR="00D52504" w:rsidRPr="0012488B" w:rsidRDefault="00D52504" w:rsidP="00D52504">
      <w:pPr>
        <w:tabs>
          <w:tab w:val="decimal" w:pos="426"/>
          <w:tab w:val="decimal" w:pos="709"/>
        </w:tabs>
        <w:spacing w:line="240" w:lineRule="auto"/>
        <w:rPr>
          <w:bCs/>
          <w:iCs/>
          <w:szCs w:val="22"/>
          <w:lang w:val="sk-SK"/>
        </w:rPr>
      </w:pPr>
      <w:r w:rsidRPr="0012488B">
        <w:rPr>
          <w:bCs/>
          <w:iCs/>
          <w:szCs w:val="22"/>
          <w:lang w:val="sk-SK"/>
        </w:rPr>
        <w:t>Dávka sa môže zvýšiť po jednom mesiaci liečby na 10 mg raz denne.</w:t>
      </w:r>
    </w:p>
    <w:p w14:paraId="6CB38FBE" w14:textId="77777777" w:rsidR="00D52504" w:rsidRPr="0012488B" w:rsidRDefault="00D52504" w:rsidP="00D52504">
      <w:pPr>
        <w:tabs>
          <w:tab w:val="decimal" w:pos="426"/>
          <w:tab w:val="decimal" w:pos="709"/>
        </w:tabs>
        <w:spacing w:line="240" w:lineRule="auto"/>
        <w:rPr>
          <w:bCs/>
          <w:iCs/>
          <w:szCs w:val="22"/>
          <w:lang w:val="sk-SK"/>
        </w:rPr>
      </w:pPr>
    </w:p>
    <w:p w14:paraId="3F9E56CC" w14:textId="77777777" w:rsidR="00D52504" w:rsidRPr="0012488B" w:rsidRDefault="00D52504" w:rsidP="00D52504">
      <w:pPr>
        <w:tabs>
          <w:tab w:val="decimal" w:pos="426"/>
          <w:tab w:val="decimal" w:pos="709"/>
        </w:tabs>
        <w:spacing w:line="240" w:lineRule="auto"/>
        <w:rPr>
          <w:bCs/>
          <w:iCs/>
          <w:szCs w:val="22"/>
          <w:lang w:val="sk-SK"/>
        </w:rPr>
      </w:pPr>
      <w:r w:rsidRPr="0012488B">
        <w:rPr>
          <w:bCs/>
          <w:iCs/>
          <w:szCs w:val="22"/>
          <w:lang w:val="sk-SK"/>
        </w:rPr>
        <w:t>Po začatí liečby Perindoprilom Actavis môže dôjsť k symptomatickej hypotenzii; s väčšou pravdepodobnosťou sa môže vyskytnúť u pacientov súbežne liečených diuretikami. Odporúča sa preto opatrnosť, keďže títo pacienti môžu mať depléciu solí a/alebo objemu.</w:t>
      </w:r>
    </w:p>
    <w:p w14:paraId="3874A3CE" w14:textId="77777777" w:rsidR="00D52504" w:rsidRPr="0012488B" w:rsidRDefault="00D52504" w:rsidP="00D52504">
      <w:pPr>
        <w:tabs>
          <w:tab w:val="decimal" w:pos="426"/>
          <w:tab w:val="decimal" w:pos="709"/>
        </w:tabs>
        <w:spacing w:line="240" w:lineRule="auto"/>
        <w:rPr>
          <w:bCs/>
          <w:iCs/>
          <w:szCs w:val="22"/>
          <w:lang w:val="sk-SK"/>
        </w:rPr>
      </w:pPr>
      <w:r w:rsidRPr="0012488B">
        <w:rPr>
          <w:bCs/>
          <w:iCs/>
          <w:szCs w:val="22"/>
          <w:lang w:val="sk-SK"/>
        </w:rPr>
        <w:t>Ak je to možné, diuretikum sa má vysadiť 2 až 3 dni pred začatím liečby Perindoprilom Actavis (pozri časť 4.4).</w:t>
      </w:r>
    </w:p>
    <w:p w14:paraId="6DBCEB8D" w14:textId="77777777" w:rsidR="00D52504" w:rsidRPr="0012488B" w:rsidRDefault="00D52504" w:rsidP="00D52504">
      <w:pPr>
        <w:spacing w:line="240" w:lineRule="auto"/>
        <w:rPr>
          <w:bCs/>
          <w:iCs/>
          <w:szCs w:val="22"/>
          <w:lang w:val="sk-SK"/>
        </w:rPr>
      </w:pPr>
    </w:p>
    <w:p w14:paraId="03A578A3" w14:textId="77777777" w:rsidR="00D52504" w:rsidRPr="0012488B" w:rsidRDefault="00D52504" w:rsidP="00D52504">
      <w:pPr>
        <w:spacing w:line="240" w:lineRule="auto"/>
        <w:rPr>
          <w:bCs/>
          <w:iCs/>
          <w:szCs w:val="22"/>
          <w:lang w:val="sk-SK"/>
        </w:rPr>
      </w:pPr>
      <w:r w:rsidRPr="0012488B">
        <w:rPr>
          <w:bCs/>
          <w:iCs/>
          <w:szCs w:val="22"/>
          <w:lang w:val="sk-SK"/>
        </w:rPr>
        <w:t>U hypertenzných pacientov, u ktorých nie je možné diuretikum vysadiť, sa liečba Perindoprilom Actavis má začínať dávkou 2,5 mg. Renálne funkcie a kaliémia majú byť monitorované. Ďalšie dávkovanie Perindoprilu Actavis má byť prispôsobené odozve tlaku krvi. Ak je to potrebné, môže sa znovu začať s diuretickou liečbou.</w:t>
      </w:r>
    </w:p>
    <w:p w14:paraId="7E11B4CA" w14:textId="77777777" w:rsidR="00D52504" w:rsidRPr="0012488B" w:rsidRDefault="00D52504" w:rsidP="00D52504">
      <w:pPr>
        <w:tabs>
          <w:tab w:val="decimal" w:pos="426"/>
          <w:tab w:val="decimal" w:pos="709"/>
        </w:tabs>
        <w:spacing w:line="240" w:lineRule="auto"/>
        <w:rPr>
          <w:bCs/>
          <w:iCs/>
          <w:szCs w:val="22"/>
          <w:lang w:val="sk-SK"/>
        </w:rPr>
      </w:pPr>
      <w:r w:rsidRPr="0012488B">
        <w:rPr>
          <w:bCs/>
          <w:iCs/>
          <w:szCs w:val="22"/>
          <w:lang w:val="sk-SK"/>
        </w:rPr>
        <w:t>U starších pacientov sa má liečba začať dávkou 2,5 mg, túto je možné po jednom mesiaci postupne zvýšiť na 5 mg, a potom, v prípade potreby na 10 mg v závislosti od renálnych funkcií (pozri tabuľku nižšie).</w:t>
      </w:r>
    </w:p>
    <w:p w14:paraId="0851B6B4" w14:textId="77777777" w:rsidR="00D52504" w:rsidRPr="0012488B" w:rsidRDefault="00D52504" w:rsidP="00D52504">
      <w:pPr>
        <w:tabs>
          <w:tab w:val="decimal" w:pos="426"/>
          <w:tab w:val="decimal" w:pos="709"/>
        </w:tabs>
        <w:spacing w:line="240" w:lineRule="auto"/>
        <w:rPr>
          <w:bCs/>
          <w:iCs/>
          <w:szCs w:val="22"/>
          <w:u w:val="single"/>
          <w:lang w:val="sk-SK"/>
        </w:rPr>
      </w:pPr>
    </w:p>
    <w:p w14:paraId="41DABAAF" w14:textId="77777777" w:rsidR="00D52504" w:rsidRPr="0012488B" w:rsidRDefault="00D52504" w:rsidP="00D52504">
      <w:pPr>
        <w:pStyle w:val="Zarkazkladnhotextu3"/>
        <w:spacing w:line="240" w:lineRule="auto"/>
        <w:ind w:left="0"/>
        <w:jc w:val="left"/>
        <w:rPr>
          <w:b/>
          <w:bCs/>
          <w:szCs w:val="22"/>
          <w:lang w:val="sk-SK"/>
        </w:rPr>
      </w:pPr>
      <w:r w:rsidRPr="0012488B">
        <w:rPr>
          <w:b/>
          <w:szCs w:val="22"/>
          <w:u w:val="single"/>
          <w:lang w:val="sk-SK"/>
        </w:rPr>
        <w:t>Stabilná koronárna choroba srdca</w:t>
      </w:r>
    </w:p>
    <w:p w14:paraId="7F389440" w14:textId="77777777" w:rsidR="00D52504" w:rsidRPr="0012488B" w:rsidRDefault="00D52504" w:rsidP="00D52504">
      <w:pPr>
        <w:pStyle w:val="Zarkazkladnhotextu3"/>
        <w:spacing w:line="240" w:lineRule="auto"/>
        <w:ind w:left="0"/>
        <w:jc w:val="left"/>
        <w:rPr>
          <w:bCs/>
          <w:iCs/>
          <w:szCs w:val="22"/>
          <w:lang w:val="sk-SK"/>
        </w:rPr>
      </w:pPr>
      <w:r w:rsidRPr="0012488B">
        <w:rPr>
          <w:bCs/>
          <w:iCs/>
          <w:szCs w:val="22"/>
          <w:lang w:val="sk-SK"/>
        </w:rPr>
        <w:t xml:space="preserve">Liečba Perindoprilom Actavis sa má začínať dávkou 5 mg raz denne počas dvoch týždňov, potom sa môže zvýšiť na 10 mg raz denne, a to v závislosti od renálnych funkcií, a za predpokladu, že dávka 5 mg je dobre znášaná. </w:t>
      </w:r>
    </w:p>
    <w:p w14:paraId="389C62CC" w14:textId="77777777" w:rsidR="00D52504" w:rsidRPr="0012488B" w:rsidRDefault="00D52504" w:rsidP="00D52504">
      <w:pPr>
        <w:tabs>
          <w:tab w:val="decimal" w:pos="426"/>
          <w:tab w:val="decimal" w:pos="709"/>
        </w:tabs>
        <w:spacing w:line="240" w:lineRule="auto"/>
        <w:rPr>
          <w:bCs/>
          <w:szCs w:val="22"/>
          <w:lang w:val="sk-SK" w:eastAsia="fr-FR"/>
        </w:rPr>
      </w:pPr>
      <w:r w:rsidRPr="0012488B">
        <w:rPr>
          <w:bCs/>
          <w:iCs/>
          <w:szCs w:val="22"/>
          <w:lang w:val="sk-SK"/>
        </w:rPr>
        <w:t>Starší pacienti majú užívať 2,5 mg raz denne počas jedného týždňa, potom 5 mg raz denne ďalší týždeň, pred zvýšením dávky až na 10 mg raz denne v závislosti od renálnych funkcií (pozri Tabuľku č. 1 „</w:t>
      </w:r>
      <w:r w:rsidRPr="0012488B">
        <w:rPr>
          <w:bCs/>
          <w:szCs w:val="22"/>
          <w:lang w:val="sk-SK" w:eastAsia="fr-FR"/>
        </w:rPr>
        <w:t>Úprava dávkovania pri poruche funkcie obličiek”). Dávka sa má zvýšiť, len ak je predchádzajúca nižšia dávka dobre znášaná.</w:t>
      </w:r>
    </w:p>
    <w:p w14:paraId="6286F636" w14:textId="77777777" w:rsidR="00D52504" w:rsidRPr="0012488B" w:rsidRDefault="00D52504" w:rsidP="00D52504">
      <w:pPr>
        <w:tabs>
          <w:tab w:val="decimal" w:pos="426"/>
          <w:tab w:val="decimal" w:pos="709"/>
        </w:tabs>
        <w:spacing w:line="240" w:lineRule="auto"/>
        <w:rPr>
          <w:bCs/>
          <w:iCs/>
          <w:szCs w:val="22"/>
          <w:u w:val="single"/>
          <w:lang w:val="sk-SK"/>
        </w:rPr>
      </w:pPr>
    </w:p>
    <w:p w14:paraId="6EA0681B" w14:textId="77777777" w:rsidR="00D52504" w:rsidRPr="0012488B" w:rsidRDefault="00D52504" w:rsidP="00D52504">
      <w:pPr>
        <w:tabs>
          <w:tab w:val="decimal" w:pos="426"/>
          <w:tab w:val="decimal" w:pos="709"/>
        </w:tabs>
        <w:spacing w:line="240" w:lineRule="auto"/>
        <w:rPr>
          <w:bCs/>
          <w:i/>
          <w:iCs/>
          <w:szCs w:val="22"/>
          <w:u w:val="single"/>
          <w:lang w:val="sk-SK"/>
        </w:rPr>
      </w:pPr>
      <w:r w:rsidRPr="0012488B">
        <w:rPr>
          <w:i/>
          <w:szCs w:val="22"/>
          <w:u w:val="single"/>
          <w:lang w:val="sk-SK"/>
        </w:rPr>
        <w:t>Osobitné skupiny pacientov</w:t>
      </w:r>
    </w:p>
    <w:p w14:paraId="1AC6C2A1" w14:textId="77777777" w:rsidR="00D52504" w:rsidRPr="0012488B" w:rsidRDefault="00D52504" w:rsidP="00D52504">
      <w:pPr>
        <w:tabs>
          <w:tab w:val="decimal" w:pos="426"/>
          <w:tab w:val="decimal" w:pos="709"/>
        </w:tabs>
        <w:spacing w:line="240" w:lineRule="auto"/>
        <w:rPr>
          <w:bCs/>
          <w:iCs/>
          <w:szCs w:val="22"/>
          <w:u w:val="single"/>
          <w:lang w:val="sk-SK"/>
        </w:rPr>
      </w:pPr>
    </w:p>
    <w:p w14:paraId="562566D7" w14:textId="77777777" w:rsidR="00D52504" w:rsidRPr="0012488B" w:rsidRDefault="00D52504" w:rsidP="00D52504">
      <w:pPr>
        <w:tabs>
          <w:tab w:val="decimal" w:pos="426"/>
          <w:tab w:val="decimal" w:pos="709"/>
        </w:tabs>
        <w:spacing w:line="240" w:lineRule="auto"/>
        <w:rPr>
          <w:szCs w:val="22"/>
          <w:u w:val="single"/>
          <w:lang w:val="sk-SK"/>
        </w:rPr>
      </w:pPr>
      <w:r w:rsidRPr="0012488B">
        <w:rPr>
          <w:szCs w:val="22"/>
          <w:u w:val="single"/>
          <w:lang w:val="sk-SK"/>
        </w:rPr>
        <w:t>Pacienti s poruchou funkcie obličiek</w:t>
      </w:r>
    </w:p>
    <w:p w14:paraId="73E72377" w14:textId="77777777" w:rsidR="00D52504" w:rsidRPr="0012488B" w:rsidRDefault="00D52504" w:rsidP="00D52504">
      <w:pPr>
        <w:spacing w:line="240" w:lineRule="auto"/>
        <w:rPr>
          <w:bCs/>
          <w:iCs/>
          <w:szCs w:val="22"/>
          <w:lang w:val="sk-SK"/>
        </w:rPr>
      </w:pPr>
      <w:r w:rsidRPr="0012488B">
        <w:rPr>
          <w:szCs w:val="22"/>
          <w:lang w:val="sk-SK"/>
        </w:rPr>
        <w:t>Dávkovanie u pacientov s poruchou funkcie obličiek má byť upravené podľa hodnôt klírensu kreatinínu, ako je popísané v Tabuľke č. 1 uvedenej nižšie:</w:t>
      </w:r>
      <w:r w:rsidRPr="0012488B">
        <w:rPr>
          <w:bCs/>
          <w:iCs/>
          <w:szCs w:val="22"/>
          <w:lang w:val="sk-SK"/>
        </w:rPr>
        <w:t xml:space="preserve"> </w:t>
      </w:r>
    </w:p>
    <w:p w14:paraId="05487283" w14:textId="77777777" w:rsidR="00D52504" w:rsidRPr="0012488B" w:rsidRDefault="00D52504" w:rsidP="00D52504">
      <w:pPr>
        <w:spacing w:line="240" w:lineRule="auto"/>
        <w:rPr>
          <w:bCs/>
          <w:iCs/>
          <w:szCs w:val="22"/>
          <w:lang w:val="sk-SK"/>
        </w:rPr>
      </w:pPr>
    </w:p>
    <w:p w14:paraId="475DBCD1" w14:textId="77777777" w:rsidR="00D52504" w:rsidRPr="0012488B" w:rsidRDefault="00D52504" w:rsidP="00D52504">
      <w:pPr>
        <w:pStyle w:val="Nadpis2"/>
        <w:tabs>
          <w:tab w:val="left" w:pos="4536"/>
        </w:tabs>
        <w:spacing w:before="0" w:after="0" w:line="240" w:lineRule="auto"/>
        <w:rPr>
          <w:rFonts w:ascii="Times New Roman" w:hAnsi="Times New Roman"/>
          <w:b w:val="0"/>
          <w:iCs/>
          <w:sz w:val="22"/>
          <w:szCs w:val="22"/>
          <w:lang w:val="sk-SK" w:eastAsia="fr-FR"/>
        </w:rPr>
      </w:pPr>
      <w:r w:rsidRPr="0012488B">
        <w:rPr>
          <w:rFonts w:ascii="Times New Roman" w:hAnsi="Times New Roman"/>
          <w:b w:val="0"/>
          <w:iCs/>
          <w:sz w:val="22"/>
          <w:szCs w:val="22"/>
          <w:lang w:val="sk-SK" w:eastAsia="fr-FR"/>
        </w:rPr>
        <w:t>Tabuľka č. 1: úprava dávkovania pri poruche funkcie obličiek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1"/>
        <w:gridCol w:w="4961"/>
      </w:tblGrid>
      <w:tr w:rsidR="00D52504" w:rsidRPr="0012488B" w14:paraId="5C58D8EC" w14:textId="77777777" w:rsidTr="004C045C">
        <w:trPr>
          <w:trHeight w:val="493"/>
        </w:trPr>
        <w:tc>
          <w:tcPr>
            <w:tcW w:w="4181" w:type="dxa"/>
            <w:vAlign w:val="center"/>
          </w:tcPr>
          <w:p w14:paraId="722184BA" w14:textId="77777777" w:rsidR="00D52504" w:rsidRPr="0012488B" w:rsidRDefault="00D52504" w:rsidP="004C045C">
            <w:pPr>
              <w:pStyle w:val="Nzov"/>
              <w:jc w:val="left"/>
              <w:rPr>
                <w:b w:val="0"/>
                <w:bCs/>
                <w:iCs/>
                <w:sz w:val="22"/>
                <w:szCs w:val="22"/>
                <w:lang w:val="sk-SK"/>
              </w:rPr>
            </w:pPr>
            <w:r w:rsidRPr="0012488B">
              <w:rPr>
                <w:b w:val="0"/>
                <w:bCs/>
                <w:iCs/>
                <w:sz w:val="22"/>
                <w:szCs w:val="22"/>
                <w:lang w:val="sk-SK"/>
              </w:rPr>
              <w:t>Klírens kreatinínu (ml/min)</w:t>
            </w:r>
          </w:p>
        </w:tc>
        <w:tc>
          <w:tcPr>
            <w:tcW w:w="4961" w:type="dxa"/>
            <w:vAlign w:val="center"/>
          </w:tcPr>
          <w:p w14:paraId="0AEDB581" w14:textId="77777777" w:rsidR="00D52504" w:rsidRPr="0012488B" w:rsidRDefault="00D52504" w:rsidP="004C045C">
            <w:pPr>
              <w:pStyle w:val="Nzov"/>
              <w:jc w:val="left"/>
              <w:rPr>
                <w:b w:val="0"/>
                <w:bCs/>
                <w:iCs/>
                <w:sz w:val="22"/>
                <w:szCs w:val="22"/>
                <w:lang w:val="sk-SK"/>
              </w:rPr>
            </w:pPr>
            <w:r w:rsidRPr="0012488B">
              <w:rPr>
                <w:b w:val="0"/>
                <w:bCs/>
                <w:iCs/>
                <w:sz w:val="22"/>
                <w:szCs w:val="22"/>
                <w:lang w:val="sk-SK"/>
              </w:rPr>
              <w:t>Odporúčaná dávka</w:t>
            </w:r>
          </w:p>
        </w:tc>
      </w:tr>
      <w:tr w:rsidR="00D52504" w:rsidRPr="0012488B" w14:paraId="35EB4C7A" w14:textId="77777777" w:rsidTr="004C045C">
        <w:trPr>
          <w:trHeight w:val="340"/>
        </w:trPr>
        <w:tc>
          <w:tcPr>
            <w:tcW w:w="4181" w:type="dxa"/>
          </w:tcPr>
          <w:p w14:paraId="5786C560" w14:textId="77777777" w:rsidR="00D52504" w:rsidRPr="0012488B" w:rsidRDefault="00D52504" w:rsidP="004C045C">
            <w:pPr>
              <w:spacing w:line="240" w:lineRule="auto"/>
              <w:rPr>
                <w:bCs/>
                <w:iCs/>
                <w:szCs w:val="22"/>
                <w:vertAlign w:val="subscript"/>
                <w:lang w:val="sk-SK"/>
              </w:rPr>
            </w:pPr>
            <w:r w:rsidRPr="0012488B">
              <w:rPr>
                <w:bCs/>
                <w:iCs/>
                <w:szCs w:val="22"/>
                <w:lang w:val="sk-SK"/>
              </w:rPr>
              <w:t>Cl</w:t>
            </w:r>
            <w:r w:rsidRPr="0012488B">
              <w:rPr>
                <w:bCs/>
                <w:iCs/>
                <w:szCs w:val="22"/>
                <w:vertAlign w:val="subscript"/>
                <w:lang w:val="sk-SK"/>
              </w:rPr>
              <w:t xml:space="preserve">CR </w:t>
            </w:r>
            <w:r w:rsidRPr="0012488B">
              <w:rPr>
                <w:bCs/>
                <w:iCs/>
                <w:szCs w:val="22"/>
                <w:lang w:val="sk-SK"/>
              </w:rPr>
              <w:t>≥ 60</w:t>
            </w:r>
          </w:p>
        </w:tc>
        <w:tc>
          <w:tcPr>
            <w:tcW w:w="4961" w:type="dxa"/>
          </w:tcPr>
          <w:p w14:paraId="684EE670" w14:textId="77777777" w:rsidR="00D52504" w:rsidRPr="0012488B" w:rsidRDefault="00D52504" w:rsidP="004C045C">
            <w:pPr>
              <w:spacing w:line="240" w:lineRule="auto"/>
              <w:rPr>
                <w:bCs/>
                <w:iCs/>
                <w:szCs w:val="22"/>
                <w:lang w:val="sk-SK"/>
              </w:rPr>
            </w:pPr>
            <w:r w:rsidRPr="0012488B">
              <w:rPr>
                <w:bCs/>
                <w:iCs/>
                <w:szCs w:val="22"/>
                <w:lang w:val="sk-SK"/>
              </w:rPr>
              <w:t>5 mg denne</w:t>
            </w:r>
          </w:p>
        </w:tc>
      </w:tr>
      <w:tr w:rsidR="00D52504" w:rsidRPr="0012488B" w14:paraId="432481DE" w14:textId="77777777" w:rsidTr="004C045C">
        <w:trPr>
          <w:trHeight w:val="340"/>
        </w:trPr>
        <w:tc>
          <w:tcPr>
            <w:tcW w:w="4181" w:type="dxa"/>
          </w:tcPr>
          <w:p w14:paraId="1EE1AC7B" w14:textId="77777777" w:rsidR="00D52504" w:rsidRPr="0012488B" w:rsidRDefault="00D52504" w:rsidP="004C045C">
            <w:pPr>
              <w:spacing w:line="240" w:lineRule="auto"/>
              <w:rPr>
                <w:bCs/>
                <w:iCs/>
                <w:szCs w:val="22"/>
                <w:lang w:val="sk-SK"/>
              </w:rPr>
            </w:pPr>
            <w:r w:rsidRPr="0012488B">
              <w:rPr>
                <w:bCs/>
                <w:iCs/>
                <w:szCs w:val="22"/>
                <w:lang w:val="sk-SK"/>
              </w:rPr>
              <w:t>30 &lt; Cl</w:t>
            </w:r>
            <w:r w:rsidRPr="0012488B">
              <w:rPr>
                <w:bCs/>
                <w:iCs/>
                <w:szCs w:val="22"/>
                <w:vertAlign w:val="subscript"/>
                <w:lang w:val="sk-SK"/>
              </w:rPr>
              <w:t>CR</w:t>
            </w:r>
            <w:r w:rsidRPr="0012488B">
              <w:rPr>
                <w:bCs/>
                <w:iCs/>
                <w:szCs w:val="22"/>
                <w:lang w:val="sk-SK"/>
              </w:rPr>
              <w:t xml:space="preserve"> &lt; 60</w:t>
            </w:r>
          </w:p>
        </w:tc>
        <w:tc>
          <w:tcPr>
            <w:tcW w:w="4961" w:type="dxa"/>
          </w:tcPr>
          <w:p w14:paraId="52A29B16" w14:textId="77777777" w:rsidR="00D52504" w:rsidRPr="0012488B" w:rsidRDefault="00D52504" w:rsidP="004C045C">
            <w:pPr>
              <w:spacing w:line="240" w:lineRule="auto"/>
              <w:rPr>
                <w:bCs/>
                <w:iCs/>
                <w:szCs w:val="22"/>
                <w:lang w:val="sk-SK"/>
              </w:rPr>
            </w:pPr>
            <w:r w:rsidRPr="0012488B">
              <w:rPr>
                <w:bCs/>
                <w:iCs/>
                <w:szCs w:val="22"/>
                <w:lang w:val="sk-SK"/>
              </w:rPr>
              <w:t>2,5 mg denne</w:t>
            </w:r>
          </w:p>
        </w:tc>
      </w:tr>
      <w:tr w:rsidR="00D52504" w:rsidRPr="0012488B" w14:paraId="26976F0B" w14:textId="77777777" w:rsidTr="004C045C">
        <w:trPr>
          <w:trHeight w:val="340"/>
        </w:trPr>
        <w:tc>
          <w:tcPr>
            <w:tcW w:w="4181" w:type="dxa"/>
          </w:tcPr>
          <w:p w14:paraId="6A970A8C" w14:textId="77777777" w:rsidR="00D52504" w:rsidRPr="0012488B" w:rsidRDefault="00D52504" w:rsidP="004C045C">
            <w:pPr>
              <w:spacing w:line="240" w:lineRule="auto"/>
              <w:rPr>
                <w:bCs/>
                <w:iCs/>
                <w:szCs w:val="22"/>
                <w:lang w:val="sk-SK"/>
              </w:rPr>
            </w:pPr>
            <w:r w:rsidRPr="0012488B">
              <w:rPr>
                <w:bCs/>
                <w:iCs/>
                <w:szCs w:val="22"/>
                <w:lang w:val="sk-SK"/>
              </w:rPr>
              <w:t>15 &lt; Cl</w:t>
            </w:r>
            <w:r w:rsidRPr="0012488B">
              <w:rPr>
                <w:bCs/>
                <w:iCs/>
                <w:szCs w:val="22"/>
                <w:vertAlign w:val="subscript"/>
                <w:lang w:val="sk-SK"/>
              </w:rPr>
              <w:t>CR</w:t>
            </w:r>
            <w:r w:rsidRPr="0012488B">
              <w:rPr>
                <w:bCs/>
                <w:iCs/>
                <w:szCs w:val="22"/>
                <w:lang w:val="sk-SK"/>
              </w:rPr>
              <w:t xml:space="preserve"> &lt; 30</w:t>
            </w:r>
          </w:p>
        </w:tc>
        <w:tc>
          <w:tcPr>
            <w:tcW w:w="4961" w:type="dxa"/>
          </w:tcPr>
          <w:p w14:paraId="3F7C8216" w14:textId="77777777" w:rsidR="00D52504" w:rsidRPr="0012488B" w:rsidRDefault="00D52504" w:rsidP="004C045C">
            <w:pPr>
              <w:spacing w:line="240" w:lineRule="auto"/>
              <w:rPr>
                <w:bCs/>
                <w:iCs/>
                <w:szCs w:val="22"/>
                <w:lang w:val="sk-SK"/>
              </w:rPr>
            </w:pPr>
            <w:r w:rsidRPr="0012488B">
              <w:rPr>
                <w:bCs/>
                <w:iCs/>
                <w:szCs w:val="22"/>
                <w:lang w:val="sk-SK"/>
              </w:rPr>
              <w:t>2,5 mg každý druhý deň</w:t>
            </w:r>
          </w:p>
        </w:tc>
      </w:tr>
      <w:tr w:rsidR="00D52504" w:rsidRPr="0012488B" w14:paraId="7F3003EA" w14:textId="77777777" w:rsidTr="004C045C">
        <w:trPr>
          <w:cantSplit/>
          <w:trHeight w:val="340"/>
        </w:trPr>
        <w:tc>
          <w:tcPr>
            <w:tcW w:w="9142" w:type="dxa"/>
            <w:gridSpan w:val="2"/>
          </w:tcPr>
          <w:p w14:paraId="1A8BC5CD" w14:textId="77777777" w:rsidR="00D52504" w:rsidRPr="0012488B" w:rsidRDefault="00D52504" w:rsidP="004C045C">
            <w:pPr>
              <w:pStyle w:val="Hlavika"/>
              <w:tabs>
                <w:tab w:val="clear" w:pos="4153"/>
                <w:tab w:val="clear" w:pos="8306"/>
              </w:tabs>
              <w:rPr>
                <w:rFonts w:ascii="Times New Roman" w:hAnsi="Times New Roman"/>
                <w:bCs/>
                <w:iCs/>
                <w:sz w:val="22"/>
                <w:szCs w:val="22"/>
                <w:lang w:val="sk-SK"/>
              </w:rPr>
            </w:pPr>
            <w:r w:rsidRPr="0012488B">
              <w:rPr>
                <w:rFonts w:ascii="Times New Roman" w:hAnsi="Times New Roman"/>
                <w:bCs/>
                <w:iCs/>
                <w:sz w:val="22"/>
                <w:szCs w:val="22"/>
                <w:lang w:val="sk-SK"/>
              </w:rPr>
              <w:t>Hemodialyzovaní pacienti *</w:t>
            </w:r>
          </w:p>
        </w:tc>
      </w:tr>
      <w:tr w:rsidR="00D52504" w:rsidRPr="0012488B" w14:paraId="62C00726" w14:textId="77777777" w:rsidTr="004C045C">
        <w:trPr>
          <w:trHeight w:val="340"/>
        </w:trPr>
        <w:tc>
          <w:tcPr>
            <w:tcW w:w="4181" w:type="dxa"/>
          </w:tcPr>
          <w:p w14:paraId="70131BEB" w14:textId="77777777" w:rsidR="00D52504" w:rsidRPr="0012488B" w:rsidRDefault="00D52504" w:rsidP="004C045C">
            <w:pPr>
              <w:spacing w:line="240" w:lineRule="auto"/>
              <w:rPr>
                <w:bCs/>
                <w:iCs/>
                <w:szCs w:val="22"/>
                <w:lang w:val="sk-SK"/>
              </w:rPr>
            </w:pPr>
            <w:r w:rsidRPr="0012488B">
              <w:rPr>
                <w:bCs/>
                <w:iCs/>
                <w:szCs w:val="22"/>
                <w:lang w:val="sk-SK"/>
              </w:rPr>
              <w:t>Cl</w:t>
            </w:r>
            <w:r w:rsidRPr="0012488B">
              <w:rPr>
                <w:bCs/>
                <w:iCs/>
                <w:szCs w:val="22"/>
                <w:vertAlign w:val="subscript"/>
                <w:lang w:val="sk-SK"/>
              </w:rPr>
              <w:t>CR</w:t>
            </w:r>
            <w:r w:rsidRPr="0012488B">
              <w:rPr>
                <w:bCs/>
                <w:iCs/>
                <w:szCs w:val="22"/>
                <w:lang w:val="sk-SK"/>
              </w:rPr>
              <w:t xml:space="preserve"> &lt; 15</w:t>
            </w:r>
          </w:p>
        </w:tc>
        <w:tc>
          <w:tcPr>
            <w:tcW w:w="4961" w:type="dxa"/>
          </w:tcPr>
          <w:p w14:paraId="28230693" w14:textId="77777777" w:rsidR="00D52504" w:rsidRPr="0012488B" w:rsidRDefault="00D52504" w:rsidP="004C045C">
            <w:pPr>
              <w:spacing w:line="240" w:lineRule="auto"/>
              <w:rPr>
                <w:bCs/>
                <w:iCs/>
                <w:szCs w:val="22"/>
                <w:lang w:val="sk-SK"/>
              </w:rPr>
            </w:pPr>
            <w:r w:rsidRPr="0012488B">
              <w:rPr>
                <w:bCs/>
                <w:iCs/>
                <w:szCs w:val="22"/>
                <w:lang w:val="sk-SK"/>
              </w:rPr>
              <w:t xml:space="preserve">2,5 mg </w:t>
            </w:r>
            <w:r w:rsidRPr="0012488B">
              <w:rPr>
                <w:szCs w:val="22"/>
                <w:lang w:val="sk-SK"/>
              </w:rPr>
              <w:t>v deň dialýzy</w:t>
            </w:r>
          </w:p>
        </w:tc>
      </w:tr>
    </w:tbl>
    <w:p w14:paraId="7BDF1D29" w14:textId="77777777" w:rsidR="00D52504" w:rsidRPr="0012488B" w:rsidRDefault="00D52504" w:rsidP="00D52504">
      <w:pPr>
        <w:spacing w:line="240" w:lineRule="auto"/>
        <w:rPr>
          <w:bCs/>
          <w:iCs/>
          <w:sz w:val="18"/>
          <w:szCs w:val="18"/>
          <w:lang w:val="sk-SK"/>
        </w:rPr>
      </w:pPr>
      <w:r w:rsidRPr="0012488B">
        <w:rPr>
          <w:bCs/>
          <w:iCs/>
          <w:sz w:val="18"/>
          <w:szCs w:val="18"/>
          <w:lang w:val="sk-SK"/>
        </w:rPr>
        <w:t xml:space="preserve">* </w:t>
      </w:r>
      <w:r w:rsidRPr="0012488B">
        <w:rPr>
          <w:sz w:val="18"/>
          <w:szCs w:val="18"/>
          <w:lang w:val="sk-SK"/>
        </w:rPr>
        <w:t>Dialyzačný klírens perindoprilátu je 70 ml/min</w:t>
      </w:r>
      <w:r w:rsidRPr="0012488B">
        <w:rPr>
          <w:bCs/>
          <w:iCs/>
          <w:sz w:val="18"/>
          <w:szCs w:val="18"/>
          <w:lang w:val="sk-SK"/>
        </w:rPr>
        <w:t>.</w:t>
      </w:r>
    </w:p>
    <w:p w14:paraId="396E9E5D" w14:textId="77777777" w:rsidR="00D52504" w:rsidRPr="0012488B" w:rsidRDefault="00D52504" w:rsidP="00D52504">
      <w:pPr>
        <w:spacing w:line="240" w:lineRule="auto"/>
        <w:rPr>
          <w:szCs w:val="22"/>
          <w:lang w:val="sk-SK"/>
        </w:rPr>
      </w:pPr>
    </w:p>
    <w:p w14:paraId="63BE21FC" w14:textId="77777777" w:rsidR="00D52504" w:rsidRPr="0012488B" w:rsidRDefault="00D52504" w:rsidP="00D52504">
      <w:pPr>
        <w:spacing w:line="240" w:lineRule="auto"/>
        <w:rPr>
          <w:szCs w:val="22"/>
          <w:lang w:val="sk-SK"/>
        </w:rPr>
      </w:pPr>
    </w:p>
    <w:p w14:paraId="102AB656" w14:textId="77777777" w:rsidR="00D52504" w:rsidRPr="0012488B" w:rsidRDefault="00D52504" w:rsidP="00D52504">
      <w:pPr>
        <w:spacing w:line="240" w:lineRule="auto"/>
        <w:rPr>
          <w:bCs/>
          <w:iCs/>
          <w:szCs w:val="22"/>
          <w:lang w:val="sk-SK"/>
        </w:rPr>
      </w:pPr>
      <w:r w:rsidRPr="0012488B">
        <w:rPr>
          <w:szCs w:val="22"/>
          <w:lang w:val="sk-SK"/>
        </w:rPr>
        <w:t>Hemodialyzovaní pacienti majú dávku užiť po dialýze.</w:t>
      </w:r>
    </w:p>
    <w:p w14:paraId="51A1C966" w14:textId="77777777" w:rsidR="00D52504" w:rsidRPr="0012488B" w:rsidRDefault="00D52504" w:rsidP="00D52504">
      <w:pPr>
        <w:tabs>
          <w:tab w:val="decimal" w:pos="426"/>
          <w:tab w:val="decimal" w:pos="709"/>
        </w:tabs>
        <w:spacing w:line="240" w:lineRule="auto"/>
        <w:rPr>
          <w:bCs/>
          <w:iCs/>
          <w:szCs w:val="22"/>
          <w:u w:val="single"/>
          <w:lang w:val="sk-SK"/>
        </w:rPr>
      </w:pPr>
    </w:p>
    <w:p w14:paraId="46B824D2" w14:textId="77777777" w:rsidR="00D52504" w:rsidRPr="0012488B" w:rsidRDefault="00D52504" w:rsidP="00D52504">
      <w:pPr>
        <w:tabs>
          <w:tab w:val="decimal" w:pos="426"/>
          <w:tab w:val="decimal" w:pos="709"/>
        </w:tabs>
        <w:spacing w:line="240" w:lineRule="auto"/>
        <w:rPr>
          <w:szCs w:val="22"/>
          <w:u w:val="single"/>
          <w:lang w:val="sk-SK"/>
        </w:rPr>
      </w:pPr>
      <w:r w:rsidRPr="0012488B">
        <w:rPr>
          <w:szCs w:val="22"/>
          <w:u w:val="single"/>
          <w:lang w:val="sk-SK"/>
        </w:rPr>
        <w:t>Pacienti s poruchou funkcie pečene</w:t>
      </w:r>
    </w:p>
    <w:p w14:paraId="2169732B" w14:textId="77777777" w:rsidR="00D52504" w:rsidRPr="0012488B" w:rsidRDefault="00D52504" w:rsidP="00D52504">
      <w:pPr>
        <w:tabs>
          <w:tab w:val="decimal" w:pos="426"/>
          <w:tab w:val="decimal" w:pos="709"/>
        </w:tabs>
        <w:spacing w:line="240" w:lineRule="auto"/>
        <w:rPr>
          <w:szCs w:val="22"/>
          <w:lang w:val="sk-SK"/>
        </w:rPr>
      </w:pPr>
      <w:r w:rsidRPr="0012488B">
        <w:rPr>
          <w:szCs w:val="22"/>
          <w:lang w:val="sk-SK"/>
        </w:rPr>
        <w:t>U pacientov s poruchou funkcie pečene nie je potrebná úprava dávky (pozri časti 4.4 a 5.2</w:t>
      </w:r>
      <w:r w:rsidRPr="0012488B">
        <w:rPr>
          <w:bCs/>
          <w:iCs/>
          <w:szCs w:val="22"/>
          <w:lang w:val="sk-SK"/>
        </w:rPr>
        <w:t>).</w:t>
      </w:r>
      <w:r w:rsidRPr="0012488B">
        <w:rPr>
          <w:b/>
          <w:i/>
          <w:szCs w:val="22"/>
          <w:lang w:val="sk-SK"/>
        </w:rPr>
        <w:t xml:space="preserve"> </w:t>
      </w:r>
    </w:p>
    <w:p w14:paraId="6573FB28" w14:textId="77777777" w:rsidR="00D52504" w:rsidRPr="0012488B" w:rsidRDefault="00D52504" w:rsidP="00D52504">
      <w:pPr>
        <w:tabs>
          <w:tab w:val="decimal" w:pos="426"/>
          <w:tab w:val="decimal" w:pos="709"/>
        </w:tabs>
        <w:spacing w:line="240" w:lineRule="auto"/>
        <w:rPr>
          <w:bCs/>
          <w:iCs/>
          <w:szCs w:val="22"/>
          <w:u w:val="single"/>
          <w:lang w:val="sk-SK"/>
        </w:rPr>
      </w:pPr>
    </w:p>
    <w:p w14:paraId="2D7712C3" w14:textId="77777777" w:rsidR="00D52504" w:rsidRPr="0012488B" w:rsidRDefault="00D52504" w:rsidP="00D52504">
      <w:pPr>
        <w:tabs>
          <w:tab w:val="decimal" w:pos="426"/>
          <w:tab w:val="decimal" w:pos="709"/>
        </w:tabs>
        <w:spacing w:line="240" w:lineRule="auto"/>
        <w:rPr>
          <w:bCs/>
          <w:iCs/>
          <w:szCs w:val="22"/>
          <w:u w:val="single"/>
          <w:lang w:val="sk-SK"/>
        </w:rPr>
      </w:pPr>
      <w:r w:rsidRPr="0012488B">
        <w:rPr>
          <w:szCs w:val="22"/>
          <w:u w:val="single"/>
          <w:lang w:val="sk-SK"/>
        </w:rPr>
        <w:t>Pediatrická populácia</w:t>
      </w:r>
    </w:p>
    <w:p w14:paraId="4C178587" w14:textId="77777777" w:rsidR="00D52504" w:rsidRPr="0012488B" w:rsidRDefault="00D52504" w:rsidP="00D52504">
      <w:pPr>
        <w:tabs>
          <w:tab w:val="decimal" w:pos="426"/>
          <w:tab w:val="decimal" w:pos="709"/>
        </w:tabs>
        <w:spacing w:line="240" w:lineRule="auto"/>
        <w:rPr>
          <w:bCs/>
          <w:iCs/>
          <w:szCs w:val="22"/>
          <w:lang w:val="sk-SK"/>
        </w:rPr>
      </w:pPr>
      <w:r w:rsidRPr="0012488B">
        <w:rPr>
          <w:szCs w:val="22"/>
          <w:lang w:val="sk-SK"/>
        </w:rPr>
        <w:t>Bezpečnosť a účinnosť perindoprilu u detí a dospievajúcich vo veku do 18 rokov nebola stanovená. V súčasnosti dostupné údaje sú opísané v časti 5.1, ale neumožňujú uviesť odporúčania na dávkovanie.</w:t>
      </w:r>
    </w:p>
    <w:p w14:paraId="3D6A58D8" w14:textId="77777777" w:rsidR="00D52504" w:rsidRPr="0012488B" w:rsidRDefault="00D52504" w:rsidP="00D52504">
      <w:pPr>
        <w:tabs>
          <w:tab w:val="decimal" w:pos="426"/>
          <w:tab w:val="decimal" w:pos="709"/>
        </w:tabs>
        <w:spacing w:line="240" w:lineRule="auto"/>
        <w:rPr>
          <w:bCs/>
          <w:iCs/>
          <w:szCs w:val="22"/>
          <w:lang w:val="sk-SK"/>
        </w:rPr>
      </w:pPr>
      <w:r w:rsidRPr="0012488B">
        <w:rPr>
          <w:bCs/>
          <w:iCs/>
          <w:szCs w:val="22"/>
          <w:lang w:val="sk-SK"/>
        </w:rPr>
        <w:t>Použitie u detí a dospievajúcich sa preto neodporúča.</w:t>
      </w:r>
    </w:p>
    <w:p w14:paraId="33DF3747" w14:textId="77777777" w:rsidR="00D52504" w:rsidRPr="0012488B" w:rsidRDefault="00D52504" w:rsidP="00D52504">
      <w:pPr>
        <w:tabs>
          <w:tab w:val="decimal" w:pos="426"/>
          <w:tab w:val="decimal" w:pos="709"/>
        </w:tabs>
        <w:spacing w:line="240" w:lineRule="auto"/>
        <w:rPr>
          <w:bCs/>
          <w:iCs/>
          <w:szCs w:val="22"/>
          <w:lang w:val="sk-SK"/>
        </w:rPr>
      </w:pPr>
    </w:p>
    <w:p w14:paraId="15586C59" w14:textId="77777777" w:rsidR="00D52504" w:rsidRPr="0012488B" w:rsidRDefault="00D52504" w:rsidP="00D52504">
      <w:pPr>
        <w:spacing w:line="240" w:lineRule="auto"/>
        <w:rPr>
          <w:szCs w:val="22"/>
          <w:lang w:val="sk-SK"/>
        </w:rPr>
      </w:pPr>
      <w:r w:rsidRPr="0012488B">
        <w:rPr>
          <w:szCs w:val="22"/>
          <w:u w:val="single"/>
          <w:lang w:val="sk-SK"/>
        </w:rPr>
        <w:t>Spôsob podávania</w:t>
      </w:r>
    </w:p>
    <w:p w14:paraId="7C4145BB" w14:textId="77777777" w:rsidR="00D52504" w:rsidRPr="0012488B" w:rsidRDefault="00D52504" w:rsidP="00D52504">
      <w:pPr>
        <w:spacing w:line="240" w:lineRule="auto"/>
        <w:rPr>
          <w:szCs w:val="22"/>
          <w:lang w:val="sk-SK"/>
        </w:rPr>
      </w:pPr>
      <w:r w:rsidRPr="0012488B">
        <w:rPr>
          <w:szCs w:val="22"/>
          <w:lang w:val="sk-SK"/>
        </w:rPr>
        <w:t>Na perorálne použitie.</w:t>
      </w:r>
    </w:p>
    <w:p w14:paraId="6F1D07FF" w14:textId="77777777" w:rsidR="00D52504" w:rsidRPr="0012488B" w:rsidRDefault="00D52504" w:rsidP="00D52504">
      <w:pPr>
        <w:tabs>
          <w:tab w:val="decimal" w:pos="426"/>
          <w:tab w:val="decimal" w:pos="709"/>
        </w:tabs>
        <w:spacing w:line="240" w:lineRule="auto"/>
        <w:rPr>
          <w:bCs/>
          <w:iCs/>
          <w:szCs w:val="22"/>
          <w:lang w:val="sk-SK"/>
        </w:rPr>
      </w:pPr>
      <w:r w:rsidRPr="0012488B">
        <w:rPr>
          <w:szCs w:val="22"/>
          <w:lang w:val="sk-SK"/>
        </w:rPr>
        <w:t>P</w:t>
      </w:r>
      <w:r w:rsidRPr="0012488B">
        <w:rPr>
          <w:bCs/>
          <w:iCs/>
          <w:szCs w:val="22"/>
          <w:lang w:val="sk-SK"/>
        </w:rPr>
        <w:t xml:space="preserve">erindopril Actavis </w:t>
      </w:r>
      <w:r w:rsidRPr="0012488B">
        <w:rPr>
          <w:szCs w:val="22"/>
          <w:lang w:val="sk-SK"/>
        </w:rPr>
        <w:t>sa odporúča užívať raz denne ráno pred jedlom.</w:t>
      </w:r>
    </w:p>
    <w:p w14:paraId="47C8C596" w14:textId="77777777" w:rsidR="00D52504" w:rsidRPr="0012488B" w:rsidRDefault="00D52504" w:rsidP="00D52504">
      <w:pPr>
        <w:pStyle w:val="Hlavika"/>
        <w:rPr>
          <w:rFonts w:ascii="Times New Roman" w:hAnsi="Times New Roman"/>
          <w:sz w:val="22"/>
          <w:szCs w:val="22"/>
          <w:lang w:val="sk-SK"/>
        </w:rPr>
      </w:pPr>
    </w:p>
    <w:p w14:paraId="7C50E062" w14:textId="77777777" w:rsidR="00D52504" w:rsidRPr="0012488B" w:rsidRDefault="00D52504" w:rsidP="00D52504">
      <w:pPr>
        <w:numPr>
          <w:ilvl w:val="1"/>
          <w:numId w:val="12"/>
        </w:numPr>
        <w:tabs>
          <w:tab w:val="clear" w:pos="360"/>
          <w:tab w:val="clear" w:pos="567"/>
          <w:tab w:val="left" w:pos="0"/>
        </w:tabs>
        <w:spacing w:line="240" w:lineRule="auto"/>
        <w:ind w:left="0" w:firstLine="0"/>
        <w:rPr>
          <w:b/>
          <w:szCs w:val="22"/>
          <w:lang w:val="sk-SK"/>
        </w:rPr>
      </w:pPr>
      <w:r w:rsidRPr="0012488B">
        <w:rPr>
          <w:b/>
          <w:szCs w:val="22"/>
          <w:lang w:val="sk-SK"/>
        </w:rPr>
        <w:t>Kontraindikácie</w:t>
      </w:r>
    </w:p>
    <w:p w14:paraId="45BD0816" w14:textId="77777777" w:rsidR="00D52504" w:rsidRPr="0012488B" w:rsidRDefault="00D52504" w:rsidP="00D52504">
      <w:pPr>
        <w:spacing w:line="240" w:lineRule="auto"/>
        <w:ind w:left="360"/>
        <w:rPr>
          <w:b/>
          <w:szCs w:val="22"/>
          <w:lang w:val="sk-SK"/>
        </w:rPr>
      </w:pPr>
    </w:p>
    <w:p w14:paraId="7FEC10D3" w14:textId="77777777" w:rsidR="00D52504" w:rsidRPr="0012488B" w:rsidRDefault="00D52504" w:rsidP="00D52504">
      <w:pPr>
        <w:numPr>
          <w:ilvl w:val="0"/>
          <w:numId w:val="19"/>
        </w:numPr>
        <w:spacing w:line="240" w:lineRule="auto"/>
        <w:ind w:left="567" w:hanging="567"/>
        <w:rPr>
          <w:szCs w:val="22"/>
          <w:lang w:val="sk-SK"/>
        </w:rPr>
      </w:pPr>
      <w:r w:rsidRPr="0012488B">
        <w:rPr>
          <w:szCs w:val="22"/>
          <w:lang w:val="sk-SK"/>
        </w:rPr>
        <w:t>Precitlivenosť na liečivo alebo na ktorúkoľvek z pomocných látok uvedených v časti 6.1 alebo na ktorýkoľvek iný ACE inhibítor.</w:t>
      </w:r>
    </w:p>
    <w:p w14:paraId="1E4E70E1" w14:textId="77777777" w:rsidR="00D52504" w:rsidRPr="0012488B" w:rsidRDefault="00D52504" w:rsidP="00D52504">
      <w:pPr>
        <w:numPr>
          <w:ilvl w:val="0"/>
          <w:numId w:val="19"/>
        </w:numPr>
        <w:spacing w:line="240" w:lineRule="auto"/>
        <w:ind w:left="567" w:hanging="567"/>
        <w:rPr>
          <w:szCs w:val="22"/>
          <w:lang w:val="sk-SK"/>
        </w:rPr>
      </w:pPr>
      <w:r w:rsidRPr="0012488B">
        <w:rPr>
          <w:szCs w:val="22"/>
          <w:lang w:val="sk-SK"/>
        </w:rPr>
        <w:t>Angioedém v súvislosti s predchádzajúcou liečbou ACE inhibítorom v anamnéze.</w:t>
      </w:r>
    </w:p>
    <w:p w14:paraId="424D35E4" w14:textId="77777777" w:rsidR="00D52504" w:rsidRPr="0012488B" w:rsidRDefault="00D52504" w:rsidP="00D52504">
      <w:pPr>
        <w:numPr>
          <w:ilvl w:val="0"/>
          <w:numId w:val="19"/>
        </w:numPr>
        <w:spacing w:line="240" w:lineRule="auto"/>
        <w:ind w:left="567" w:hanging="567"/>
        <w:rPr>
          <w:b/>
          <w:i/>
          <w:szCs w:val="22"/>
          <w:lang w:val="sk-SK"/>
        </w:rPr>
      </w:pPr>
      <w:r w:rsidRPr="0012488B">
        <w:rPr>
          <w:szCs w:val="22"/>
          <w:lang w:val="sk-SK"/>
        </w:rPr>
        <w:t>Dedičný alebo idiopatický angioedém.</w:t>
      </w:r>
    </w:p>
    <w:p w14:paraId="2719309D" w14:textId="77777777" w:rsidR="00D52504" w:rsidRPr="0012488B" w:rsidRDefault="00D52504" w:rsidP="00D52504">
      <w:pPr>
        <w:numPr>
          <w:ilvl w:val="0"/>
          <w:numId w:val="19"/>
        </w:numPr>
        <w:spacing w:line="240" w:lineRule="auto"/>
        <w:ind w:left="567" w:hanging="567"/>
        <w:rPr>
          <w:szCs w:val="22"/>
          <w:lang w:val="sk-SK"/>
        </w:rPr>
      </w:pPr>
      <w:r w:rsidRPr="0012488B">
        <w:rPr>
          <w:szCs w:val="22"/>
          <w:lang w:val="sk-SK"/>
        </w:rPr>
        <w:t xml:space="preserve">Druhý a tretí trimester gravidity (pozri časti </w:t>
      </w:r>
      <w:smartTag w:uri="urn:schemas-microsoft-com:office:smarttags" w:element="metricconverter">
        <w:smartTagPr>
          <w:attr w:name="ProductID" w:val="4.4 a"/>
        </w:smartTagPr>
        <w:r w:rsidRPr="0012488B">
          <w:rPr>
            <w:szCs w:val="22"/>
            <w:lang w:val="sk-SK"/>
          </w:rPr>
          <w:t>4.4 a</w:t>
        </w:r>
      </w:smartTag>
      <w:r w:rsidRPr="0012488B">
        <w:rPr>
          <w:szCs w:val="22"/>
          <w:lang w:val="sk-SK"/>
        </w:rPr>
        <w:t xml:space="preserve"> 4.6).</w:t>
      </w:r>
    </w:p>
    <w:p w14:paraId="0C6AC723" w14:textId="0C43D69C" w:rsidR="00D52504" w:rsidRPr="0012488B" w:rsidRDefault="00D52504" w:rsidP="00D52504">
      <w:pPr>
        <w:numPr>
          <w:ilvl w:val="0"/>
          <w:numId w:val="19"/>
        </w:numPr>
        <w:ind w:left="567" w:hanging="567"/>
        <w:rPr>
          <w:szCs w:val="22"/>
          <w:lang w:val="sk-SK"/>
        </w:rPr>
      </w:pPr>
      <w:r w:rsidRPr="0012488B">
        <w:rPr>
          <w:szCs w:val="22"/>
          <w:lang w:val="sk-SK"/>
        </w:rPr>
        <w:lastRenderedPageBreak/>
        <w:t>Súbežné použitie Perindopril Actavis s liekmi obsahujúcimi aliskir</w:t>
      </w:r>
      <w:r w:rsidR="00D77292" w:rsidRPr="0012488B">
        <w:rPr>
          <w:szCs w:val="22"/>
          <w:lang w:val="sk-SK"/>
        </w:rPr>
        <w:t>é</w:t>
      </w:r>
      <w:r w:rsidRPr="0012488B">
        <w:rPr>
          <w:szCs w:val="22"/>
          <w:lang w:val="sk-SK"/>
        </w:rPr>
        <w:t xml:space="preserve">n je kontraindikované u pacientov s diabetom mellitus alebo poruchou funkcie obličiek </w:t>
      </w:r>
      <w:r w:rsidR="00864DF6" w:rsidRPr="0012488B">
        <w:rPr>
          <w:szCs w:val="22"/>
          <w:lang w:val="sk-SK"/>
        </w:rPr>
        <w:t>(</w:t>
      </w:r>
      <w:r w:rsidR="00D77292" w:rsidRPr="0012488B">
        <w:rPr>
          <w:szCs w:val="22"/>
          <w:lang w:val="sk-SK"/>
        </w:rPr>
        <w:t>rýchlosť glomerulárnej filtrácie</w:t>
      </w:r>
      <w:r w:rsidR="00864DF6" w:rsidRPr="0012488B">
        <w:rPr>
          <w:szCs w:val="22"/>
          <w:lang w:val="sk-SK"/>
        </w:rPr>
        <w:t>, GFR</w:t>
      </w:r>
      <w:r w:rsidR="00D77292" w:rsidRPr="0012488B">
        <w:rPr>
          <w:szCs w:val="22"/>
          <w:lang w:val="sk-SK"/>
        </w:rPr>
        <w:t> </w:t>
      </w:r>
      <w:r w:rsidRPr="0012488B">
        <w:rPr>
          <w:szCs w:val="22"/>
          <w:lang w:val="sk-SK"/>
        </w:rPr>
        <w:t>&lt; 60 ml/min/1,73 m</w:t>
      </w:r>
      <w:r w:rsidRPr="0012488B">
        <w:rPr>
          <w:szCs w:val="22"/>
          <w:vertAlign w:val="superscript"/>
          <w:lang w:val="sk-SK"/>
        </w:rPr>
        <w:t>2</w:t>
      </w:r>
      <w:r w:rsidRPr="0012488B">
        <w:rPr>
          <w:szCs w:val="22"/>
          <w:lang w:val="sk-SK"/>
        </w:rPr>
        <w:t>) (pozri časti 4.5 a 5.1).</w:t>
      </w:r>
    </w:p>
    <w:p w14:paraId="776643DB" w14:textId="77777777" w:rsidR="00D52504" w:rsidRPr="0012488B" w:rsidRDefault="00D52504" w:rsidP="00D52504">
      <w:pPr>
        <w:pStyle w:val="Hlavika"/>
        <w:rPr>
          <w:rFonts w:ascii="Times New Roman" w:hAnsi="Times New Roman"/>
          <w:sz w:val="22"/>
          <w:szCs w:val="22"/>
          <w:lang w:val="sk-SK"/>
        </w:rPr>
      </w:pPr>
    </w:p>
    <w:p w14:paraId="294626F7" w14:textId="77777777" w:rsidR="00D52504" w:rsidRPr="0012488B" w:rsidRDefault="00D52504" w:rsidP="00D52504">
      <w:pPr>
        <w:keepNext/>
        <w:spacing w:line="240" w:lineRule="auto"/>
        <w:rPr>
          <w:b/>
          <w:szCs w:val="22"/>
          <w:lang w:val="sk-SK"/>
        </w:rPr>
      </w:pPr>
      <w:r w:rsidRPr="0012488B">
        <w:rPr>
          <w:b/>
          <w:szCs w:val="22"/>
          <w:lang w:val="sk-SK"/>
        </w:rPr>
        <w:t>4.4</w:t>
      </w:r>
      <w:r w:rsidRPr="0012488B">
        <w:rPr>
          <w:b/>
          <w:szCs w:val="22"/>
          <w:lang w:val="sk-SK"/>
        </w:rPr>
        <w:tab/>
        <w:t>Osobitné upozornenia a opatrenia pri používaní</w:t>
      </w:r>
    </w:p>
    <w:p w14:paraId="035195B2" w14:textId="77777777" w:rsidR="00D52504" w:rsidRPr="0012488B" w:rsidRDefault="00D52504" w:rsidP="00D52504">
      <w:pPr>
        <w:keepNext/>
        <w:spacing w:line="240" w:lineRule="auto"/>
        <w:rPr>
          <w:b/>
          <w:szCs w:val="22"/>
          <w:lang w:val="sk-SK"/>
        </w:rPr>
      </w:pPr>
    </w:p>
    <w:p w14:paraId="6BE87779" w14:textId="77777777" w:rsidR="00D52504" w:rsidRPr="0012488B" w:rsidRDefault="00D52504" w:rsidP="00D52504">
      <w:pPr>
        <w:spacing w:line="240" w:lineRule="auto"/>
        <w:rPr>
          <w:szCs w:val="22"/>
          <w:lang w:val="sk-SK"/>
        </w:rPr>
      </w:pPr>
      <w:r w:rsidRPr="0012488B">
        <w:rPr>
          <w:szCs w:val="22"/>
          <w:u w:val="single"/>
          <w:lang w:val="sk-SK"/>
        </w:rPr>
        <w:t>Stabilná koronárna choroba srdca</w:t>
      </w:r>
    </w:p>
    <w:p w14:paraId="503C446F" w14:textId="77777777" w:rsidR="00D52504" w:rsidRPr="0012488B" w:rsidRDefault="00D52504" w:rsidP="00D52504">
      <w:pPr>
        <w:spacing w:line="240" w:lineRule="auto"/>
        <w:rPr>
          <w:szCs w:val="22"/>
          <w:lang w:val="sk-SK"/>
        </w:rPr>
      </w:pPr>
      <w:bookmarkStart w:id="0" w:name="_Toc92698445"/>
      <w:bookmarkStart w:id="1" w:name="_Toc92713989"/>
      <w:r w:rsidRPr="0012488B">
        <w:rPr>
          <w:szCs w:val="22"/>
          <w:lang w:val="sk-SK"/>
        </w:rPr>
        <w:t>Ak sa počas prvého mesiaca liečby perindoprilom vyskytne epizóda nestabilnej angíny pektoris (významná alebo nie), má sa pred pokračovaním v liečbe vykonať starostlivé zhodnotenie prínosu/rizika.</w:t>
      </w:r>
      <w:bookmarkEnd w:id="0"/>
      <w:bookmarkEnd w:id="1"/>
      <w:r w:rsidRPr="0012488B">
        <w:rPr>
          <w:szCs w:val="22"/>
          <w:lang w:val="sk-SK"/>
        </w:rPr>
        <w:t xml:space="preserve"> </w:t>
      </w:r>
    </w:p>
    <w:p w14:paraId="331A413F" w14:textId="77777777" w:rsidR="00D52504" w:rsidRPr="0012488B" w:rsidRDefault="00D52504" w:rsidP="00D52504">
      <w:pPr>
        <w:spacing w:line="240" w:lineRule="auto"/>
        <w:rPr>
          <w:szCs w:val="22"/>
          <w:u w:val="single"/>
          <w:lang w:val="sk-SK"/>
        </w:rPr>
      </w:pPr>
    </w:p>
    <w:p w14:paraId="1145EF72" w14:textId="77777777" w:rsidR="00D52504" w:rsidRPr="0012488B" w:rsidRDefault="00D52504" w:rsidP="00D52504">
      <w:pPr>
        <w:spacing w:line="240" w:lineRule="auto"/>
        <w:rPr>
          <w:szCs w:val="22"/>
          <w:u w:val="single"/>
          <w:lang w:val="sk-SK"/>
        </w:rPr>
      </w:pPr>
      <w:r w:rsidRPr="0012488B">
        <w:rPr>
          <w:szCs w:val="22"/>
          <w:u w:val="single"/>
          <w:lang w:val="sk-SK"/>
        </w:rPr>
        <w:t>Hypotenzia</w:t>
      </w:r>
    </w:p>
    <w:p w14:paraId="42FFAEEC" w14:textId="77777777" w:rsidR="00D52504" w:rsidRPr="0012488B" w:rsidRDefault="00D52504" w:rsidP="00D52504">
      <w:pPr>
        <w:tabs>
          <w:tab w:val="left" w:pos="3261"/>
        </w:tabs>
        <w:spacing w:line="240" w:lineRule="auto"/>
        <w:rPr>
          <w:szCs w:val="22"/>
          <w:lang w:val="sk-SK"/>
        </w:rPr>
      </w:pPr>
      <w:r w:rsidRPr="0012488B">
        <w:rPr>
          <w:szCs w:val="22"/>
          <w:lang w:val="sk-SK"/>
        </w:rPr>
        <w:t>ACE inhibítory môžu spôsobiť pokles tlaku krvi. Symptomatická hypotenzia je zriedkavá u pacientov s hypertenziou bez komplikácií a s väčšou pravdepodobnosťou k nej môže dôjsť u pacientov s hypovolémiou, napr. spôsobenou diuretikami, obmedzením príjmu soli v potrave diétou, dialýzou, hnačkou alebo vracaním, alebo u pacientov so závažnou renín-dependentnou hypertenziou (pozri časti 4.5 a 4.8). U pacientov so symptomatickým srdcovým zlyhaním, so sprievodnou renálnou insuficienciou alebo bez nej, bola pozorovaná symptomatická hypotenzia. Najväčšia pravdepodobnosť jej vzniku je u pacientov s vážnejšími stupňami srdcového zlyhania, teda pacientov liečených vysokými dávkami kľučkových diuretík, u pacientov s hyponatriémiou alebo s poruchou renálnych funkcií. U pacientov so zvýšeným rizikom symptomatickej hypotenzie sa má začiatok liečby a úprava dávky starostlivo monitorovať (pozri časti 4.2 a 4.8). Podobné opatrenia platia pre pacientov s ischemickou chorobou srdca alebo cerebrovaskulárnym ochorením, u ktorých by výrazný pokles tlaku krvi mohol viesť k infarktu myokardu alebo cievnej mozgovej príhode.</w:t>
      </w:r>
    </w:p>
    <w:p w14:paraId="65E66AA6" w14:textId="77777777" w:rsidR="00D52504" w:rsidRPr="0012488B" w:rsidRDefault="00D52504" w:rsidP="00D52504">
      <w:pPr>
        <w:tabs>
          <w:tab w:val="left" w:pos="3261"/>
        </w:tabs>
        <w:spacing w:line="240" w:lineRule="auto"/>
        <w:rPr>
          <w:szCs w:val="22"/>
          <w:lang w:val="sk-SK"/>
        </w:rPr>
      </w:pPr>
    </w:p>
    <w:p w14:paraId="5396571E" w14:textId="77777777" w:rsidR="00D52504" w:rsidRPr="0012488B" w:rsidRDefault="00D52504" w:rsidP="00D52504">
      <w:pPr>
        <w:spacing w:line="240" w:lineRule="auto"/>
        <w:rPr>
          <w:bCs/>
          <w:iCs/>
          <w:szCs w:val="22"/>
          <w:lang w:val="sk-SK"/>
        </w:rPr>
      </w:pPr>
      <w:r w:rsidRPr="0012488B">
        <w:rPr>
          <w:szCs w:val="22"/>
          <w:lang w:val="sk-SK"/>
        </w:rPr>
        <w:t>Ak dôjde k hypotenzii, pacient sa má uložiť do polohy ležmo, a ak je to nutné, má sa mu aplikovať intravenózna infúzia roztoku chloridu sodného 9 mg/ml (0,9%). Prechodná hypotenzná odpoveď nie je kontraindikáciou na podávanie ďalších dávok, ktoré je možné podať zvyčajne bez ťažkostí, keď sa tlak krvi zvýši po zväčšení objemu</w:t>
      </w:r>
      <w:r w:rsidRPr="0012488B">
        <w:rPr>
          <w:bCs/>
          <w:iCs/>
          <w:szCs w:val="22"/>
          <w:lang w:val="sk-SK"/>
        </w:rPr>
        <w:t>.</w:t>
      </w:r>
    </w:p>
    <w:p w14:paraId="4998FA8E" w14:textId="77777777" w:rsidR="00D52504" w:rsidRPr="0012488B" w:rsidRDefault="00D52504" w:rsidP="00D52504">
      <w:pPr>
        <w:spacing w:line="240" w:lineRule="auto"/>
        <w:rPr>
          <w:szCs w:val="22"/>
          <w:lang w:val="sk-SK"/>
        </w:rPr>
      </w:pPr>
    </w:p>
    <w:p w14:paraId="0CD0FF91" w14:textId="77777777" w:rsidR="00D52504" w:rsidRPr="0012488B" w:rsidRDefault="00D52504" w:rsidP="00D52504">
      <w:pPr>
        <w:spacing w:line="240" w:lineRule="auto"/>
        <w:rPr>
          <w:szCs w:val="22"/>
          <w:lang w:val="sk-SK"/>
        </w:rPr>
      </w:pPr>
      <w:r w:rsidRPr="0012488B">
        <w:rPr>
          <w:szCs w:val="22"/>
          <w:lang w:val="sk-SK"/>
        </w:rPr>
        <w:t>U niektorých pacientov s kongestívnym srdcovým zlyhaním, ktorí majú normálny alebo nízky tlak krvi, môže dôjsť pri liečbe P</w:t>
      </w:r>
      <w:r w:rsidRPr="0012488B">
        <w:rPr>
          <w:bCs/>
          <w:iCs/>
          <w:szCs w:val="22"/>
          <w:lang w:val="sk-SK"/>
        </w:rPr>
        <w:t xml:space="preserve">erindoprilom Actavis </w:t>
      </w:r>
      <w:r w:rsidRPr="0012488B">
        <w:rPr>
          <w:szCs w:val="22"/>
          <w:lang w:val="sk-SK"/>
        </w:rPr>
        <w:t>k ďalšiemu zníženiu celkového tlaku krvi. Takýto účinok sa dá očakávať a zvyčajne nie je dôvodom na ukončenie liečby. Ak sa hypotenzia stane symptomatickou, môže byť potrebné dávku znížiť alebo P</w:t>
      </w:r>
      <w:r w:rsidRPr="0012488B">
        <w:rPr>
          <w:bCs/>
          <w:iCs/>
          <w:szCs w:val="22"/>
          <w:lang w:val="sk-SK"/>
        </w:rPr>
        <w:t xml:space="preserve">erindopril Actavis </w:t>
      </w:r>
      <w:r w:rsidRPr="0012488B">
        <w:rPr>
          <w:szCs w:val="22"/>
          <w:lang w:val="sk-SK"/>
        </w:rPr>
        <w:t>vysadiť.</w:t>
      </w:r>
    </w:p>
    <w:p w14:paraId="48E91952" w14:textId="77777777" w:rsidR="00D52504" w:rsidRPr="0012488B" w:rsidRDefault="00D52504" w:rsidP="00D52504">
      <w:pPr>
        <w:pStyle w:val="Nadpis3"/>
        <w:spacing w:before="0" w:after="0" w:line="240" w:lineRule="auto"/>
        <w:rPr>
          <w:b w:val="0"/>
          <w:kern w:val="0"/>
          <w:sz w:val="22"/>
          <w:szCs w:val="22"/>
          <w:u w:val="single"/>
          <w:lang w:val="sk-SK" w:eastAsia="fr-FR"/>
        </w:rPr>
      </w:pPr>
      <w:bookmarkStart w:id="2" w:name="_Toc29797813"/>
      <w:bookmarkStart w:id="3" w:name="_Toc34031374"/>
    </w:p>
    <w:bookmarkEnd w:id="2"/>
    <w:bookmarkEnd w:id="3"/>
    <w:p w14:paraId="317D28BF" w14:textId="77777777" w:rsidR="00D52504" w:rsidRPr="0012488B" w:rsidRDefault="00D52504" w:rsidP="00D52504">
      <w:pPr>
        <w:pStyle w:val="Nadpis3"/>
        <w:spacing w:before="0" w:after="0" w:line="240" w:lineRule="auto"/>
        <w:rPr>
          <w:b w:val="0"/>
          <w:bCs/>
          <w:iCs/>
          <w:kern w:val="0"/>
          <w:sz w:val="22"/>
          <w:szCs w:val="22"/>
          <w:u w:val="single"/>
          <w:lang w:val="sk-SK" w:eastAsia="fr-FR"/>
        </w:rPr>
      </w:pPr>
      <w:r w:rsidRPr="0012488B">
        <w:rPr>
          <w:b w:val="0"/>
          <w:bCs/>
          <w:iCs/>
          <w:kern w:val="0"/>
          <w:sz w:val="22"/>
          <w:szCs w:val="22"/>
          <w:u w:val="single"/>
          <w:lang w:val="sk-SK" w:eastAsia="fr-FR"/>
        </w:rPr>
        <w:t>Stenóza aortálnej a mitrálnej chlopne/hypertrofická kardiomyopatia</w:t>
      </w:r>
    </w:p>
    <w:p w14:paraId="2990E594" w14:textId="218CD6B8" w:rsidR="00D52504" w:rsidRPr="0012488B" w:rsidRDefault="00D52504" w:rsidP="00D52504">
      <w:pPr>
        <w:spacing w:line="240" w:lineRule="auto"/>
        <w:rPr>
          <w:szCs w:val="22"/>
          <w:lang w:val="sk-SK"/>
        </w:rPr>
      </w:pPr>
      <w:r w:rsidRPr="0012488B">
        <w:rPr>
          <w:szCs w:val="22"/>
          <w:lang w:val="sk-SK"/>
        </w:rPr>
        <w:t>Rovnako ako aj iné ACE inhibítory, P</w:t>
      </w:r>
      <w:r w:rsidRPr="0012488B">
        <w:rPr>
          <w:bCs/>
          <w:iCs/>
          <w:szCs w:val="22"/>
          <w:lang w:val="sk-SK"/>
        </w:rPr>
        <w:t xml:space="preserve">erindopil Actavis </w:t>
      </w:r>
      <w:r w:rsidRPr="0012488B">
        <w:rPr>
          <w:szCs w:val="22"/>
          <w:lang w:val="sk-SK"/>
        </w:rPr>
        <w:t>sa má podávať opatrne pacientom so stenózou mitrálnej chlopne a obštrukciou prietoku ľavej komory, ako je aortálna stenóza alebo hypertrofická kardiomyopatia.</w:t>
      </w:r>
    </w:p>
    <w:p w14:paraId="36C42F77" w14:textId="77777777" w:rsidR="00D52504" w:rsidRPr="0012488B" w:rsidRDefault="00D52504" w:rsidP="00D52504">
      <w:pPr>
        <w:spacing w:line="240" w:lineRule="auto"/>
        <w:rPr>
          <w:szCs w:val="22"/>
          <w:lang w:val="sk-SK"/>
        </w:rPr>
      </w:pPr>
    </w:p>
    <w:p w14:paraId="1F5DB3C3" w14:textId="77777777" w:rsidR="00D52504" w:rsidRPr="0012488B" w:rsidRDefault="00D52504" w:rsidP="00D52504">
      <w:pPr>
        <w:pStyle w:val="Nadpis3"/>
        <w:spacing w:before="0" w:after="0" w:line="240" w:lineRule="auto"/>
        <w:rPr>
          <w:b w:val="0"/>
          <w:bCs/>
          <w:iCs/>
          <w:kern w:val="0"/>
          <w:sz w:val="22"/>
          <w:szCs w:val="22"/>
          <w:u w:val="single"/>
          <w:lang w:val="sk-SK" w:eastAsia="fr-FR"/>
        </w:rPr>
      </w:pPr>
      <w:r w:rsidRPr="0012488B">
        <w:rPr>
          <w:b w:val="0"/>
          <w:bCs/>
          <w:sz w:val="22"/>
          <w:szCs w:val="22"/>
          <w:u w:val="single"/>
          <w:lang w:val="sk-SK"/>
        </w:rPr>
        <w:t>Porucha funkcie obličiek</w:t>
      </w:r>
    </w:p>
    <w:p w14:paraId="68C5F6E9" w14:textId="77777777" w:rsidR="00D52504" w:rsidRPr="0012488B" w:rsidRDefault="00D52504" w:rsidP="00D52504">
      <w:pPr>
        <w:spacing w:line="240" w:lineRule="auto"/>
        <w:rPr>
          <w:szCs w:val="22"/>
          <w:lang w:val="sk-SK"/>
        </w:rPr>
      </w:pPr>
      <w:r w:rsidRPr="0012488B">
        <w:rPr>
          <w:szCs w:val="22"/>
          <w:lang w:val="sk-SK"/>
        </w:rPr>
        <w:t>V prípade poruchy funkcie obličiek (klírens kreatinínu &lt; 60 ml/min) sa má úvodné dávkovanie perindoprilu upraviť podľa pacientovho klírensu kreatinínu (pozri časť 4.2) a následne podľa odpovede pacienta na liečbu. U týchto pacientov je rutinné monitorovanie kaliémie a hladín kreatinínu súčasťou bežnej lekárskej praxe (pozri časť 4.8).</w:t>
      </w:r>
    </w:p>
    <w:p w14:paraId="0D9E35E5" w14:textId="77777777" w:rsidR="00D52504" w:rsidRPr="0012488B" w:rsidRDefault="00D52504" w:rsidP="00D52504">
      <w:pPr>
        <w:spacing w:line="240" w:lineRule="auto"/>
        <w:rPr>
          <w:szCs w:val="22"/>
          <w:lang w:val="sk-SK"/>
        </w:rPr>
      </w:pPr>
    </w:p>
    <w:p w14:paraId="09863F3A" w14:textId="77777777" w:rsidR="00D52504" w:rsidRPr="0012488B" w:rsidRDefault="00D52504" w:rsidP="00D52504">
      <w:pPr>
        <w:spacing w:line="240" w:lineRule="auto"/>
        <w:rPr>
          <w:szCs w:val="22"/>
          <w:lang w:val="sk-SK"/>
        </w:rPr>
      </w:pPr>
      <w:r w:rsidRPr="0012488B">
        <w:rPr>
          <w:szCs w:val="22"/>
          <w:lang w:val="sk-SK"/>
        </w:rPr>
        <w:t>U pacientov so symptomatickým srdcovým zlyhaním môže viesť hypotenzia navodená po začatí liečby ACE inhibítormi k ďalšej poruche funkcie obličiek. V takejto situácii bolo zaznamenané akútne, zvyčajne reverzibilné zlyhanie obličiek.</w:t>
      </w:r>
    </w:p>
    <w:p w14:paraId="7E344DE9" w14:textId="77777777" w:rsidR="00D52504" w:rsidRPr="0012488B" w:rsidRDefault="00D52504" w:rsidP="00D52504">
      <w:pPr>
        <w:spacing w:line="240" w:lineRule="auto"/>
        <w:rPr>
          <w:szCs w:val="22"/>
          <w:lang w:val="sk-SK"/>
        </w:rPr>
      </w:pPr>
    </w:p>
    <w:p w14:paraId="379DEC8A" w14:textId="73ACD60A" w:rsidR="00D52504" w:rsidRPr="0012488B" w:rsidRDefault="00D52504" w:rsidP="00D52504">
      <w:pPr>
        <w:spacing w:line="240" w:lineRule="auto"/>
        <w:rPr>
          <w:szCs w:val="22"/>
          <w:lang w:val="sk-SK"/>
        </w:rPr>
      </w:pPr>
      <w:r w:rsidRPr="0012488B">
        <w:rPr>
          <w:szCs w:val="22"/>
          <w:lang w:val="sk-SK"/>
        </w:rPr>
        <w:t xml:space="preserve">U niektorých pacientov s bilaterálnou stenózou renálnej artérie alebo stenózou renálnej artérie solitérnej obličky, ktorí boli liečení ACE inhibítormi, boli zaznamenané zvýšené </w:t>
      </w:r>
      <w:r w:rsidR="00E4356E" w:rsidRPr="0012488B">
        <w:rPr>
          <w:szCs w:val="22"/>
          <w:lang w:val="sk-SK"/>
        </w:rPr>
        <w:t xml:space="preserve">koncentrácie </w:t>
      </w:r>
      <w:r w:rsidRPr="0012488B">
        <w:rPr>
          <w:szCs w:val="22"/>
          <w:lang w:val="sk-SK"/>
        </w:rPr>
        <w:t>urey v krvi a </w:t>
      </w:r>
      <w:r w:rsidR="00E4356E" w:rsidRPr="0012488B">
        <w:rPr>
          <w:szCs w:val="22"/>
          <w:lang w:val="sk-SK"/>
        </w:rPr>
        <w:t xml:space="preserve">koncentrácie </w:t>
      </w:r>
      <w:r w:rsidRPr="0012488B">
        <w:rPr>
          <w:szCs w:val="22"/>
          <w:lang w:val="sk-SK"/>
        </w:rPr>
        <w:t>sérového kreatinínu, ktoré boli zvyčajne reverzibilné po ukončení liečby. K tomuto môže dôjsť najmä u pacientov s renálnou insuficienciou. Pri súčasnej renovaskulárnej hypertenzii je tiež riziko vzniku závažnej hypotenzie a renálneho zlyhania zvýšené. U týchto pacientov sa má liečba začať pod prísnym lekárskym dohľadom nízkymi dávkami, a tieto sa potom majú opatrne titrovať. Vzhľadom na to, že liečba diuretikami môže prispievať k vzniku vyššie uvedených prejavov, diuretiká sa majú vysadiť a počas prvých týždňov liečby P</w:t>
      </w:r>
      <w:r w:rsidRPr="0012488B">
        <w:rPr>
          <w:bCs/>
          <w:iCs/>
          <w:szCs w:val="22"/>
          <w:lang w:val="sk-SK"/>
        </w:rPr>
        <w:t xml:space="preserve">erindoprilom Actavis </w:t>
      </w:r>
      <w:r w:rsidRPr="0012488B">
        <w:rPr>
          <w:szCs w:val="22"/>
          <w:lang w:val="sk-SK"/>
        </w:rPr>
        <w:t>majú byť monitorované renálne funkcie.</w:t>
      </w:r>
    </w:p>
    <w:p w14:paraId="40883E94" w14:textId="77777777" w:rsidR="00D52504" w:rsidRPr="0012488B" w:rsidRDefault="00D52504" w:rsidP="00D52504">
      <w:pPr>
        <w:spacing w:line="240" w:lineRule="auto"/>
        <w:rPr>
          <w:szCs w:val="22"/>
          <w:lang w:val="sk-SK"/>
        </w:rPr>
      </w:pPr>
    </w:p>
    <w:p w14:paraId="45D58271" w14:textId="28EC7B4F" w:rsidR="00D52504" w:rsidRPr="0012488B" w:rsidRDefault="00D52504" w:rsidP="00D52504">
      <w:pPr>
        <w:spacing w:line="240" w:lineRule="auto"/>
        <w:rPr>
          <w:szCs w:val="22"/>
          <w:lang w:val="sk-SK"/>
        </w:rPr>
      </w:pPr>
      <w:r w:rsidRPr="0012488B">
        <w:rPr>
          <w:szCs w:val="22"/>
          <w:lang w:val="sk-SK"/>
        </w:rPr>
        <w:t xml:space="preserve">U niektorých hypertonikov bez zjavného preexistujúceho renovaskulárneho ochorenia došlo k zvýšeniu </w:t>
      </w:r>
      <w:r w:rsidR="00E4356E" w:rsidRPr="0012488B">
        <w:rPr>
          <w:szCs w:val="22"/>
          <w:lang w:val="sk-SK"/>
        </w:rPr>
        <w:t xml:space="preserve">koncentrácií </w:t>
      </w:r>
      <w:r w:rsidRPr="0012488B">
        <w:rPr>
          <w:szCs w:val="22"/>
          <w:lang w:val="sk-SK"/>
        </w:rPr>
        <w:t>urey v krvi a sérového kreatinínu, ktoré bolo zvyčajne mierne a prechodné, a to najmä, ak bol Perindo</w:t>
      </w:r>
      <w:r w:rsidR="009A5F1A" w:rsidRPr="0012488B">
        <w:rPr>
          <w:szCs w:val="22"/>
          <w:lang w:val="sk-SK"/>
        </w:rPr>
        <w:t>pril</w:t>
      </w:r>
      <w:r w:rsidRPr="0012488B">
        <w:rPr>
          <w:szCs w:val="22"/>
          <w:lang w:val="sk-SK"/>
        </w:rPr>
        <w:t xml:space="preserve"> Actavis podávaný súbežne s diuretikom. K tomu môže dôjsť s väčšou pravdepodobnosťou u pacientov s preexistujúcou poruchou funkcie obličiek. Môže byť potrebné znížiť dávku a/alebo vysadiť diuretikum a/alebo P</w:t>
      </w:r>
      <w:r w:rsidRPr="0012488B">
        <w:rPr>
          <w:bCs/>
          <w:iCs/>
          <w:szCs w:val="22"/>
          <w:lang w:val="sk-SK"/>
        </w:rPr>
        <w:t>erindopril Actavis</w:t>
      </w:r>
      <w:r w:rsidRPr="0012488B">
        <w:rPr>
          <w:szCs w:val="22"/>
          <w:lang w:val="sk-SK"/>
        </w:rPr>
        <w:t>.</w:t>
      </w:r>
    </w:p>
    <w:p w14:paraId="2AF9F840" w14:textId="77777777" w:rsidR="00D52504" w:rsidRPr="0012488B" w:rsidRDefault="00D52504" w:rsidP="00D52504">
      <w:pPr>
        <w:spacing w:line="240" w:lineRule="auto"/>
        <w:rPr>
          <w:szCs w:val="22"/>
          <w:lang w:val="sk-SK"/>
        </w:rPr>
      </w:pPr>
    </w:p>
    <w:p w14:paraId="52B588DD" w14:textId="77777777" w:rsidR="00D52504" w:rsidRPr="0012488B" w:rsidRDefault="00D52504" w:rsidP="00D52504">
      <w:pPr>
        <w:pStyle w:val="Nadpis3"/>
        <w:spacing w:before="0" w:after="0" w:line="240" w:lineRule="auto"/>
        <w:rPr>
          <w:b w:val="0"/>
          <w:bCs/>
          <w:iCs/>
          <w:kern w:val="0"/>
          <w:sz w:val="22"/>
          <w:szCs w:val="22"/>
          <w:u w:val="single"/>
          <w:lang w:val="sk-SK" w:eastAsia="fr-FR"/>
        </w:rPr>
      </w:pPr>
      <w:r w:rsidRPr="0012488B">
        <w:rPr>
          <w:b w:val="0"/>
          <w:bCs/>
          <w:sz w:val="22"/>
          <w:szCs w:val="22"/>
          <w:u w:val="single"/>
          <w:lang w:val="sk-SK"/>
        </w:rPr>
        <w:t>Hemodialyzovaní pacienti</w:t>
      </w:r>
    </w:p>
    <w:p w14:paraId="1950696B" w14:textId="77777777" w:rsidR="00D52504" w:rsidRPr="0012488B" w:rsidRDefault="00D52504" w:rsidP="00D52504">
      <w:pPr>
        <w:spacing w:line="240" w:lineRule="auto"/>
        <w:rPr>
          <w:szCs w:val="22"/>
          <w:lang w:val="sk-SK"/>
        </w:rPr>
      </w:pPr>
      <w:r w:rsidRPr="0012488B">
        <w:rPr>
          <w:szCs w:val="22"/>
          <w:lang w:val="sk-SK"/>
        </w:rPr>
        <w:t>U pacientov dialyzovaných pomocou vysokopriepustných membrán a súbežne liečených ACE inhibítorom  boli zaznamenané anafylaktoidné reakcie. U týchto pacientov je potrebné zvážiť použitie iného typu dialyzačnej membrány alebo inej skupiny antihypertenzív.</w:t>
      </w:r>
    </w:p>
    <w:p w14:paraId="3CE8ED43" w14:textId="77777777" w:rsidR="00D52504" w:rsidRPr="0012488B" w:rsidRDefault="00D52504" w:rsidP="00D52504">
      <w:pPr>
        <w:spacing w:line="240" w:lineRule="auto"/>
        <w:rPr>
          <w:bCs/>
          <w:iCs/>
          <w:szCs w:val="22"/>
          <w:u w:val="single"/>
          <w:lang w:val="sk-SK"/>
        </w:rPr>
      </w:pPr>
    </w:p>
    <w:p w14:paraId="4EE2F071" w14:textId="77777777" w:rsidR="00D52504" w:rsidRPr="0012488B" w:rsidRDefault="00D52504" w:rsidP="00D52504">
      <w:pPr>
        <w:spacing w:line="240" w:lineRule="auto"/>
        <w:rPr>
          <w:bCs/>
          <w:kern w:val="28"/>
          <w:szCs w:val="22"/>
          <w:u w:val="single"/>
          <w:lang w:val="sk-SK"/>
        </w:rPr>
      </w:pPr>
      <w:r w:rsidRPr="0012488B">
        <w:rPr>
          <w:bCs/>
          <w:kern w:val="28"/>
          <w:szCs w:val="22"/>
          <w:u w:val="single"/>
          <w:lang w:val="sk-SK"/>
        </w:rPr>
        <w:t>Transplantácia obličky</w:t>
      </w:r>
    </w:p>
    <w:p w14:paraId="732EF55E" w14:textId="77777777" w:rsidR="00D52504" w:rsidRPr="0012488B" w:rsidRDefault="00D52504" w:rsidP="00D52504">
      <w:pPr>
        <w:spacing w:line="240" w:lineRule="auto"/>
        <w:rPr>
          <w:bCs/>
          <w:iCs/>
          <w:szCs w:val="22"/>
          <w:lang w:val="sk-SK"/>
        </w:rPr>
      </w:pPr>
      <w:r w:rsidRPr="0012488B">
        <w:rPr>
          <w:szCs w:val="22"/>
          <w:lang w:val="sk-SK"/>
        </w:rPr>
        <w:t>S podávaním P</w:t>
      </w:r>
      <w:r w:rsidRPr="0012488B">
        <w:rPr>
          <w:bCs/>
          <w:iCs/>
          <w:szCs w:val="22"/>
          <w:lang w:val="sk-SK"/>
        </w:rPr>
        <w:t>erindoprilu Actavis</w:t>
      </w:r>
      <w:r w:rsidRPr="0012488B">
        <w:rPr>
          <w:szCs w:val="22"/>
          <w:lang w:val="sk-SK"/>
        </w:rPr>
        <w:t xml:space="preserve"> pacientom po nedávnej transplantácii obličky nie sú skúsenosti</w:t>
      </w:r>
      <w:r w:rsidRPr="0012488B">
        <w:rPr>
          <w:bCs/>
          <w:iCs/>
          <w:szCs w:val="22"/>
          <w:lang w:val="sk-SK"/>
        </w:rPr>
        <w:t>.</w:t>
      </w:r>
    </w:p>
    <w:p w14:paraId="6B87FA93" w14:textId="77777777" w:rsidR="00D52504" w:rsidRPr="0012488B" w:rsidRDefault="00D52504" w:rsidP="00D52504">
      <w:pPr>
        <w:spacing w:line="240" w:lineRule="auto"/>
        <w:rPr>
          <w:bCs/>
          <w:iCs/>
          <w:szCs w:val="22"/>
          <w:lang w:val="sk-SK"/>
        </w:rPr>
      </w:pPr>
    </w:p>
    <w:p w14:paraId="5AA4DB1A" w14:textId="13433B5A" w:rsidR="00D52504" w:rsidRPr="0012488B" w:rsidRDefault="009A5F1A" w:rsidP="00D52504">
      <w:pPr>
        <w:spacing w:line="240" w:lineRule="auto"/>
        <w:rPr>
          <w:bCs/>
          <w:iCs/>
          <w:szCs w:val="22"/>
          <w:u w:val="single"/>
          <w:lang w:val="sk-SK"/>
        </w:rPr>
      </w:pPr>
      <w:r w:rsidRPr="0012488B">
        <w:rPr>
          <w:bCs/>
          <w:iCs/>
          <w:szCs w:val="22"/>
          <w:u w:val="single"/>
          <w:lang w:val="sk-SK"/>
        </w:rPr>
        <w:t>Hypersensitivita</w:t>
      </w:r>
      <w:r w:rsidR="00D52504" w:rsidRPr="0012488B">
        <w:rPr>
          <w:bCs/>
          <w:iCs/>
          <w:szCs w:val="22"/>
          <w:u w:val="single"/>
          <w:lang w:val="sk-SK"/>
        </w:rPr>
        <w:t>/angioedém</w:t>
      </w:r>
    </w:p>
    <w:p w14:paraId="01765E79" w14:textId="77777777" w:rsidR="00D52504" w:rsidRPr="0012488B" w:rsidRDefault="00D52504" w:rsidP="00D52504">
      <w:pPr>
        <w:spacing w:line="240" w:lineRule="auto"/>
        <w:rPr>
          <w:szCs w:val="22"/>
          <w:lang w:val="sk-SK"/>
        </w:rPr>
      </w:pPr>
      <w:r w:rsidRPr="0012488B">
        <w:rPr>
          <w:szCs w:val="22"/>
          <w:lang w:val="sk-SK"/>
        </w:rPr>
        <w:t>U pacientov liečených ACE inhibítormi, vrátane Perindoprilu Actavis, boli zriedkavo pozorované prípady angioedému tváre, končatín, pier, slizníc, jazyka, hlasiviek a/alebo hrtana (pozri časť 4.8). Tieto prípady sa môžu vyskytnúť kedykoľvek počas liečby</w:t>
      </w:r>
      <w:r w:rsidRPr="0012488B">
        <w:rPr>
          <w:bCs/>
          <w:iCs/>
          <w:szCs w:val="22"/>
          <w:lang w:val="sk-SK"/>
        </w:rPr>
        <w:t xml:space="preserve">. </w:t>
      </w:r>
      <w:r w:rsidRPr="0012488B">
        <w:rPr>
          <w:szCs w:val="22"/>
          <w:lang w:val="sk-SK"/>
        </w:rPr>
        <w:t>V takýchto prípadoch má byť P</w:t>
      </w:r>
      <w:r w:rsidRPr="0012488B">
        <w:rPr>
          <w:bCs/>
          <w:iCs/>
          <w:szCs w:val="22"/>
          <w:lang w:val="sk-SK"/>
        </w:rPr>
        <w:t>erindopril Actavis</w:t>
      </w:r>
      <w:r w:rsidRPr="0012488B">
        <w:rPr>
          <w:szCs w:val="22"/>
          <w:lang w:val="sk-SK"/>
        </w:rPr>
        <w:t xml:space="preserve"> okamžite vysadený a až do úplného vymiznutia symptómov má prebiehať primerané monitorovanie. V prípadoch, kde sa opuch obmedzil na oblasť tváre a pier, sa stav zvyčajne upravil bez liečby, hoci antihistaminiká boli pri zmierňovaní symptómov užitočné.</w:t>
      </w:r>
    </w:p>
    <w:p w14:paraId="3512FC42" w14:textId="77777777" w:rsidR="00D52504" w:rsidRPr="0012488B" w:rsidRDefault="00D52504" w:rsidP="00D52504">
      <w:pPr>
        <w:spacing w:line="240" w:lineRule="auto"/>
        <w:rPr>
          <w:szCs w:val="22"/>
          <w:lang w:val="sk-SK"/>
        </w:rPr>
      </w:pPr>
    </w:p>
    <w:p w14:paraId="34644193" w14:textId="1548A146" w:rsidR="00D52504" w:rsidRPr="0012488B" w:rsidRDefault="00D52504" w:rsidP="00D52504">
      <w:pPr>
        <w:spacing w:line="240" w:lineRule="auto"/>
        <w:rPr>
          <w:szCs w:val="22"/>
          <w:lang w:val="sk-SK"/>
        </w:rPr>
      </w:pPr>
      <w:r w:rsidRPr="0012488B">
        <w:rPr>
          <w:szCs w:val="22"/>
          <w:lang w:val="sk-SK"/>
        </w:rPr>
        <w:t xml:space="preserve">Angioedém spojený s edémom hrtana môže byť fatálny. V prípadoch, </w:t>
      </w:r>
      <w:r w:rsidR="009A5F1A" w:rsidRPr="0012488B">
        <w:rPr>
          <w:szCs w:val="22"/>
          <w:lang w:val="sk-SK"/>
        </w:rPr>
        <w:t xml:space="preserve">keď </w:t>
      </w:r>
      <w:r w:rsidRPr="0012488B">
        <w:rPr>
          <w:szCs w:val="22"/>
          <w:lang w:val="sk-SK"/>
        </w:rPr>
        <w:t>je postihnutý jazyk, hlasivky alebo hrtan, čo môže spôsobiť obštrukciu dýchacích ciest, sa má okamžite poskytnúť pohotovostná liečba. Tá môže spočívať v podaní adrenalínu a/alebo v zabezpečení priechodnosti dýchacích ciest. Pacient má byť pod starostlivým lekárskym dohľadom do úplného a trvalého vymiznutia symptómov.</w:t>
      </w:r>
    </w:p>
    <w:p w14:paraId="05348254" w14:textId="77777777" w:rsidR="00D52504" w:rsidRPr="0012488B" w:rsidRDefault="00D52504" w:rsidP="00D52504">
      <w:pPr>
        <w:spacing w:line="240" w:lineRule="auto"/>
        <w:rPr>
          <w:szCs w:val="22"/>
          <w:lang w:val="sk-SK"/>
        </w:rPr>
      </w:pPr>
    </w:p>
    <w:p w14:paraId="4A788B26" w14:textId="77777777" w:rsidR="00D52504" w:rsidRPr="0012488B" w:rsidRDefault="00D52504" w:rsidP="00D52504">
      <w:pPr>
        <w:spacing w:line="240" w:lineRule="auto"/>
        <w:rPr>
          <w:szCs w:val="22"/>
          <w:lang w:val="sk-SK"/>
        </w:rPr>
      </w:pPr>
      <w:r w:rsidRPr="0012488B">
        <w:rPr>
          <w:szCs w:val="22"/>
          <w:lang w:val="sk-SK"/>
        </w:rPr>
        <w:t>U pacientov s anamnézou angioedému nesúvisiaceho s liečbou ACE inhibítormi môže byť riziko angioedému počas užívania ACE inhibítorov zvýšené (pozri časť 4.3).</w:t>
      </w:r>
    </w:p>
    <w:p w14:paraId="0D7EFC99" w14:textId="77777777" w:rsidR="00D52504" w:rsidRPr="0012488B" w:rsidRDefault="00D52504" w:rsidP="00D52504">
      <w:pPr>
        <w:spacing w:line="240" w:lineRule="auto"/>
        <w:rPr>
          <w:szCs w:val="22"/>
          <w:lang w:val="sk-SK"/>
        </w:rPr>
      </w:pPr>
    </w:p>
    <w:p w14:paraId="5BAD35D3" w14:textId="77777777" w:rsidR="00D52504" w:rsidRPr="0012488B" w:rsidRDefault="00D52504" w:rsidP="00D52504">
      <w:pPr>
        <w:spacing w:line="240" w:lineRule="auto"/>
        <w:rPr>
          <w:szCs w:val="22"/>
          <w:lang w:val="sk-SK"/>
        </w:rPr>
      </w:pPr>
      <w:r w:rsidRPr="0012488B">
        <w:rPr>
          <w:bCs/>
          <w:szCs w:val="22"/>
          <w:lang w:val="sk-SK"/>
        </w:rPr>
        <w:t>U pacientov liečených ACE inhibítormi bol zriedkavo zaznamenaný črevný angioedém. Títo pacienti mali bolesti brucha (s alebo bez nauzey alebo vracania); v niektorých prípadoch bez predchádzajúceho angioedému tváre, pričom hladiny C-1 esterázy boli v norme. Angioedém bol diagnostikovaný prostredníctvom vyšetrení zahŕňajúcich CT brucha alebo ultrazvuk, alebo pri chirurgickom zákroku a symptómy ustúpili po zastavení podávania ACE inhibítorov. Črevný angioedém má byť zahrnutý do diferenciálnej diagnózy pacientov užívajúcich ACE inhibítory s bolesťou brucha.</w:t>
      </w:r>
    </w:p>
    <w:p w14:paraId="1EF6BAFE" w14:textId="77777777" w:rsidR="00D52504" w:rsidRPr="0012488B" w:rsidRDefault="00D52504" w:rsidP="00D52504">
      <w:pPr>
        <w:spacing w:line="240" w:lineRule="auto"/>
        <w:rPr>
          <w:bCs/>
          <w:iCs/>
          <w:szCs w:val="22"/>
          <w:u w:val="single"/>
          <w:lang w:val="sk-SK"/>
        </w:rPr>
      </w:pPr>
    </w:p>
    <w:p w14:paraId="7A7065DB" w14:textId="77777777" w:rsidR="00D52504" w:rsidRPr="0012488B" w:rsidRDefault="00D52504" w:rsidP="00D52504">
      <w:pPr>
        <w:spacing w:line="240" w:lineRule="auto"/>
        <w:rPr>
          <w:bCs/>
          <w:iCs/>
          <w:szCs w:val="22"/>
          <w:u w:val="single"/>
          <w:lang w:val="sk-SK"/>
        </w:rPr>
      </w:pPr>
      <w:r w:rsidRPr="0012488B">
        <w:rPr>
          <w:bCs/>
          <w:iCs/>
          <w:szCs w:val="22"/>
          <w:u w:val="single"/>
          <w:lang w:val="sk-SK"/>
        </w:rPr>
        <w:t>Anafylaktoidné reakcie počas aferézy lipoproteínov s nízkou hustotou (LDL)</w:t>
      </w:r>
    </w:p>
    <w:p w14:paraId="45007C9E" w14:textId="77777777" w:rsidR="00D52504" w:rsidRPr="0012488B" w:rsidRDefault="00D52504" w:rsidP="00D52504">
      <w:pPr>
        <w:spacing w:line="240" w:lineRule="auto"/>
        <w:rPr>
          <w:szCs w:val="22"/>
          <w:lang w:val="sk-SK"/>
        </w:rPr>
      </w:pPr>
      <w:r w:rsidRPr="0012488B">
        <w:rPr>
          <w:szCs w:val="22"/>
          <w:lang w:val="sk-SK"/>
        </w:rPr>
        <w:t>Zriedkavo sa u pacientov užívajúcich ACE inhibítory počas aferézy lipoproteínov s nízkou hustotou (LDL) síranom dextránu vyskytli život ohrozujúce anafylaktoidné reakcie. Týmto reakciám sa predišlo dočasným vysadením liečby ACE inhibítormi pred každou aferézou.</w:t>
      </w:r>
    </w:p>
    <w:p w14:paraId="3EB98F31" w14:textId="77777777" w:rsidR="00D52504" w:rsidRPr="0012488B" w:rsidRDefault="00D52504" w:rsidP="00D52504">
      <w:pPr>
        <w:spacing w:line="240" w:lineRule="auto"/>
        <w:rPr>
          <w:bCs/>
          <w:iCs/>
          <w:szCs w:val="22"/>
          <w:u w:val="single"/>
          <w:lang w:val="sk-SK"/>
        </w:rPr>
      </w:pPr>
    </w:p>
    <w:p w14:paraId="6FB723D0" w14:textId="77777777" w:rsidR="00D52504" w:rsidRPr="0012488B" w:rsidRDefault="00D52504" w:rsidP="00D52504">
      <w:pPr>
        <w:spacing w:line="240" w:lineRule="auto"/>
        <w:rPr>
          <w:bCs/>
          <w:iCs/>
          <w:szCs w:val="22"/>
          <w:u w:val="single"/>
          <w:lang w:val="sk-SK"/>
        </w:rPr>
      </w:pPr>
      <w:r w:rsidRPr="0012488B">
        <w:rPr>
          <w:bCs/>
          <w:iCs/>
          <w:szCs w:val="22"/>
          <w:u w:val="single"/>
          <w:lang w:val="sk-SK"/>
        </w:rPr>
        <w:t>Anafylaktické reakcie počas desenzibilizácie</w:t>
      </w:r>
    </w:p>
    <w:p w14:paraId="5FE5DAAC" w14:textId="77777777" w:rsidR="00D52504" w:rsidRPr="0012488B" w:rsidRDefault="00D52504" w:rsidP="00D52504">
      <w:pPr>
        <w:spacing w:line="240" w:lineRule="auto"/>
        <w:rPr>
          <w:szCs w:val="22"/>
          <w:lang w:val="sk-SK"/>
        </w:rPr>
      </w:pPr>
      <w:r w:rsidRPr="0012488B">
        <w:rPr>
          <w:szCs w:val="22"/>
          <w:lang w:val="sk-SK"/>
        </w:rPr>
        <w:t>U pacientov užívajúcich ACE inhibítory počas desenzibilizácie (napr. hymenoptera venom) boli zaznamenané anafylaktické reakcie.</w:t>
      </w:r>
      <w:r w:rsidRPr="0012488B">
        <w:rPr>
          <w:b/>
          <w:i/>
          <w:szCs w:val="22"/>
          <w:lang w:val="sk-SK"/>
        </w:rPr>
        <w:t xml:space="preserve"> </w:t>
      </w:r>
      <w:r w:rsidRPr="0012488B">
        <w:rPr>
          <w:szCs w:val="22"/>
          <w:lang w:val="sk-SK"/>
        </w:rPr>
        <w:t>U týchto pacientov sa spomínaným reakciám predišlo dočasným vysadením ACE inhibítorov, ale pri náhodnej opätovnej expozícii sa tieto reakcie objavili znova.</w:t>
      </w:r>
    </w:p>
    <w:p w14:paraId="1002D8EC" w14:textId="77777777" w:rsidR="00D52504" w:rsidRPr="0012488B" w:rsidRDefault="00D52504" w:rsidP="00D52504">
      <w:pPr>
        <w:spacing w:line="240" w:lineRule="auto"/>
        <w:rPr>
          <w:bCs/>
          <w:iCs/>
          <w:szCs w:val="22"/>
          <w:u w:val="single"/>
          <w:lang w:val="sk-SK"/>
        </w:rPr>
      </w:pPr>
    </w:p>
    <w:p w14:paraId="58488071" w14:textId="77777777" w:rsidR="00D52504" w:rsidRPr="0012488B" w:rsidRDefault="00D52504" w:rsidP="00D52504">
      <w:pPr>
        <w:spacing w:line="240" w:lineRule="auto"/>
        <w:rPr>
          <w:bCs/>
          <w:iCs/>
          <w:szCs w:val="22"/>
          <w:u w:val="single"/>
          <w:lang w:val="sk-SK"/>
        </w:rPr>
      </w:pPr>
      <w:r w:rsidRPr="0012488B">
        <w:rPr>
          <w:bCs/>
          <w:iCs/>
          <w:szCs w:val="22"/>
          <w:u w:val="single"/>
          <w:lang w:val="sk-SK"/>
        </w:rPr>
        <w:t>Hepatálne zlyhanie</w:t>
      </w:r>
    </w:p>
    <w:p w14:paraId="70745D6B" w14:textId="77777777" w:rsidR="00D52504" w:rsidRPr="0012488B" w:rsidRDefault="00D52504" w:rsidP="00D52504">
      <w:pPr>
        <w:spacing w:line="240" w:lineRule="auto"/>
        <w:rPr>
          <w:szCs w:val="22"/>
          <w:lang w:val="sk-SK"/>
        </w:rPr>
      </w:pPr>
      <w:r w:rsidRPr="0012488B">
        <w:rPr>
          <w:szCs w:val="22"/>
          <w:lang w:val="sk-SK"/>
        </w:rPr>
        <w:t xml:space="preserve">Užívanie ACE inhibítorov bolo zriedkavo spojené so vznikom syndrómu, ktorý sa začínal cholestatickou žltačkou a progredoval do fulminantnej hepatálnej nekrózy a (niekedy) úmrtia. Mechanizmus </w:t>
      </w:r>
      <w:r w:rsidR="009C51B7" w:rsidRPr="0012488B">
        <w:rPr>
          <w:szCs w:val="22"/>
          <w:lang w:val="sk-SK"/>
        </w:rPr>
        <w:t xml:space="preserve">vzniku </w:t>
      </w:r>
      <w:r w:rsidRPr="0012488B">
        <w:rPr>
          <w:szCs w:val="22"/>
          <w:lang w:val="sk-SK"/>
        </w:rPr>
        <w:t>tohto syndrómu nie je známy. Pacienti užívajúci ACE inhibítory, u ktorých sa rozvinie žltačka alebo u ktorých dôjde k výraznému zvýšeniu hepatálnych enzýmov, majú ukončiť užívanie ACE inhibítora a majú zostať pod náležitým lekárskym dohľadom (pozri časť 4.8).</w:t>
      </w:r>
    </w:p>
    <w:p w14:paraId="3B30C111" w14:textId="77777777" w:rsidR="00D52504" w:rsidRPr="0012488B" w:rsidRDefault="00D52504" w:rsidP="00D52504">
      <w:pPr>
        <w:keepNext/>
        <w:spacing w:line="240" w:lineRule="auto"/>
        <w:rPr>
          <w:szCs w:val="22"/>
          <w:u w:val="single"/>
          <w:lang w:val="sk-SK"/>
        </w:rPr>
      </w:pPr>
    </w:p>
    <w:p w14:paraId="586B71EE" w14:textId="1A8F7D24" w:rsidR="00D52504" w:rsidRPr="0012488B" w:rsidRDefault="00D52504" w:rsidP="00D52504">
      <w:pPr>
        <w:spacing w:line="240" w:lineRule="auto"/>
        <w:rPr>
          <w:bCs/>
          <w:iCs/>
          <w:szCs w:val="22"/>
          <w:u w:val="single"/>
          <w:lang w:val="sk-SK"/>
        </w:rPr>
      </w:pPr>
      <w:r w:rsidRPr="0012488B">
        <w:rPr>
          <w:bCs/>
          <w:iCs/>
          <w:szCs w:val="22"/>
          <w:u w:val="single"/>
          <w:lang w:val="sk-SK"/>
        </w:rPr>
        <w:t>Neutropénia/</w:t>
      </w:r>
      <w:r w:rsidR="009C51B7" w:rsidRPr="0012488B">
        <w:rPr>
          <w:bCs/>
          <w:iCs/>
          <w:szCs w:val="22"/>
          <w:u w:val="single"/>
          <w:lang w:val="sk-SK"/>
        </w:rPr>
        <w:t>a</w:t>
      </w:r>
      <w:r w:rsidRPr="0012488B">
        <w:rPr>
          <w:bCs/>
          <w:iCs/>
          <w:szCs w:val="22"/>
          <w:u w:val="single"/>
          <w:lang w:val="sk-SK"/>
        </w:rPr>
        <w:t>granulocytóza/</w:t>
      </w:r>
      <w:r w:rsidR="009C51B7" w:rsidRPr="0012488B">
        <w:rPr>
          <w:bCs/>
          <w:iCs/>
          <w:szCs w:val="22"/>
          <w:u w:val="single"/>
          <w:lang w:val="sk-SK"/>
        </w:rPr>
        <w:t>t</w:t>
      </w:r>
      <w:r w:rsidRPr="0012488B">
        <w:rPr>
          <w:bCs/>
          <w:iCs/>
          <w:szCs w:val="22"/>
          <w:u w:val="single"/>
          <w:lang w:val="sk-SK"/>
        </w:rPr>
        <w:t>rombocytopénia/</w:t>
      </w:r>
      <w:r w:rsidR="009C51B7" w:rsidRPr="0012488B">
        <w:rPr>
          <w:bCs/>
          <w:iCs/>
          <w:szCs w:val="22"/>
          <w:u w:val="single"/>
          <w:lang w:val="sk-SK"/>
        </w:rPr>
        <w:t>a</w:t>
      </w:r>
      <w:r w:rsidRPr="0012488B">
        <w:rPr>
          <w:bCs/>
          <w:iCs/>
          <w:szCs w:val="22"/>
          <w:u w:val="single"/>
          <w:lang w:val="sk-SK"/>
        </w:rPr>
        <w:t>némia</w:t>
      </w:r>
    </w:p>
    <w:p w14:paraId="2CFE9F9D" w14:textId="77777777" w:rsidR="00D52504" w:rsidRPr="0012488B" w:rsidRDefault="00D52504" w:rsidP="00D52504">
      <w:pPr>
        <w:spacing w:line="240" w:lineRule="auto"/>
        <w:rPr>
          <w:szCs w:val="22"/>
          <w:lang w:val="sk-SK"/>
        </w:rPr>
      </w:pPr>
      <w:r w:rsidRPr="0012488B">
        <w:rPr>
          <w:szCs w:val="22"/>
          <w:lang w:val="sk-SK"/>
        </w:rPr>
        <w:lastRenderedPageBreak/>
        <w:t>U pacientov užívajúcich ACE inhibítory bola zaznamenaná neutropénia/agranulocytóza, trombocytopénia a anémia. U pacientov s normálnou funkciou obličiek a bez ďalších komplikujúcich faktorov sa neutropénia vyskytuje zriedkavo. Perindopril sa má používať s najvyššou opatrnosťou u pacientov s kolagénovým vaskulárnym ochorením, u pacientov užívajúcich imunosupresívnu liečbu, alopurinol alebo prokaínamid, alebo pri kombinácii týchto komplikujúcich faktorov, najmä ak má pacient pre-existujúcu poruchu funkcie obličiek. U niektorých pacientov sa vyvinuli závažné infekcie, ktoré v niekoľkých prípadoch neodpovedali na intenzívnu antibiotickú liečbu. Ak sa perindopril používa u takýchto pacientov, odporúča sa pravidelne monitorovať počet leukocytov a pacientov poučiť, aby oznámili akýkoľvek náznak infekcie (napr. bolesť v krku, horúčka).</w:t>
      </w:r>
    </w:p>
    <w:p w14:paraId="3F3E0FF2" w14:textId="77777777" w:rsidR="00D52504" w:rsidRPr="0012488B" w:rsidRDefault="00D52504" w:rsidP="00D52504">
      <w:pPr>
        <w:spacing w:line="240" w:lineRule="auto"/>
        <w:rPr>
          <w:bCs/>
          <w:iCs/>
          <w:szCs w:val="22"/>
          <w:u w:val="single"/>
          <w:lang w:val="sk-SK"/>
        </w:rPr>
      </w:pPr>
    </w:p>
    <w:p w14:paraId="4AF67C72" w14:textId="77777777" w:rsidR="00D52504" w:rsidRPr="0012488B" w:rsidRDefault="00D52504" w:rsidP="00D52504">
      <w:pPr>
        <w:spacing w:line="240" w:lineRule="auto"/>
        <w:rPr>
          <w:bCs/>
          <w:iCs/>
          <w:szCs w:val="22"/>
          <w:u w:val="single"/>
          <w:lang w:val="sk-SK"/>
        </w:rPr>
      </w:pPr>
      <w:r w:rsidRPr="0012488B">
        <w:rPr>
          <w:bCs/>
          <w:iCs/>
          <w:szCs w:val="22"/>
          <w:u w:val="single"/>
          <w:lang w:val="sk-SK"/>
        </w:rPr>
        <w:t>Rasa</w:t>
      </w:r>
    </w:p>
    <w:p w14:paraId="6D1110D4" w14:textId="77777777" w:rsidR="00D52504" w:rsidRPr="0012488B" w:rsidRDefault="00D52504" w:rsidP="00D52504">
      <w:pPr>
        <w:spacing w:line="240" w:lineRule="auto"/>
        <w:rPr>
          <w:bCs/>
          <w:iCs/>
          <w:szCs w:val="22"/>
          <w:lang w:val="sk-SK"/>
        </w:rPr>
      </w:pPr>
      <w:r w:rsidRPr="0012488B">
        <w:rPr>
          <w:szCs w:val="22"/>
          <w:lang w:val="sk-SK"/>
        </w:rPr>
        <w:t>Inhibítory spôsobujú vyššie percento angioedému u pacientov čiernej rasy než u pacientov iných rás.</w:t>
      </w:r>
      <w:r w:rsidRPr="0012488B">
        <w:rPr>
          <w:bCs/>
          <w:iCs/>
          <w:szCs w:val="22"/>
          <w:lang w:val="sk-SK"/>
        </w:rPr>
        <w:t xml:space="preserve"> </w:t>
      </w:r>
    </w:p>
    <w:p w14:paraId="42BF990A" w14:textId="0DC083F4" w:rsidR="00D52504" w:rsidRPr="0012488B" w:rsidRDefault="00D52504" w:rsidP="00D52504">
      <w:pPr>
        <w:pStyle w:val="EMEAEnBodyText"/>
        <w:tabs>
          <w:tab w:val="left" w:pos="567"/>
        </w:tabs>
        <w:spacing w:before="0" w:after="0"/>
        <w:jc w:val="left"/>
        <w:rPr>
          <w:szCs w:val="22"/>
          <w:lang w:val="sk-SK"/>
        </w:rPr>
      </w:pPr>
      <w:r w:rsidRPr="0012488B">
        <w:rPr>
          <w:szCs w:val="22"/>
          <w:lang w:val="sk-SK"/>
        </w:rPr>
        <w:t xml:space="preserve">Podobne ako iné ACE inhibítory, aj perindopril môže byť menej účinný v znižovaní tlaku krvi u pacientov čiernej rasy v porovnaní s inými rasami, možno z dôvodu vyššej prevalencie stavov s nízkou </w:t>
      </w:r>
      <w:r w:rsidR="00767CA3" w:rsidRPr="0012488B">
        <w:rPr>
          <w:szCs w:val="22"/>
          <w:lang w:val="sk-SK"/>
        </w:rPr>
        <w:t xml:space="preserve">koncentráciou </w:t>
      </w:r>
      <w:r w:rsidRPr="0012488B">
        <w:rPr>
          <w:szCs w:val="22"/>
          <w:lang w:val="sk-SK"/>
        </w:rPr>
        <w:t>renínu v hypertenznej černošskej populácii.</w:t>
      </w:r>
    </w:p>
    <w:p w14:paraId="4B5EF092" w14:textId="77777777" w:rsidR="00D52504" w:rsidRPr="0012488B" w:rsidRDefault="00D52504" w:rsidP="00D52504">
      <w:pPr>
        <w:spacing w:line="240" w:lineRule="auto"/>
        <w:rPr>
          <w:szCs w:val="22"/>
          <w:u w:val="single"/>
          <w:lang w:val="sk-SK"/>
        </w:rPr>
      </w:pPr>
    </w:p>
    <w:p w14:paraId="143FE603" w14:textId="77777777" w:rsidR="00D52504" w:rsidRPr="0012488B" w:rsidRDefault="00D52504" w:rsidP="00D52504">
      <w:pPr>
        <w:spacing w:line="240" w:lineRule="auto"/>
        <w:rPr>
          <w:szCs w:val="22"/>
          <w:u w:val="single"/>
          <w:lang w:val="sk-SK"/>
        </w:rPr>
      </w:pPr>
      <w:r w:rsidRPr="0012488B">
        <w:rPr>
          <w:szCs w:val="22"/>
          <w:u w:val="single"/>
          <w:lang w:val="sk-SK"/>
        </w:rPr>
        <w:t>Kašeľ</w:t>
      </w:r>
    </w:p>
    <w:p w14:paraId="7267B3D0" w14:textId="795F57DD" w:rsidR="00D52504" w:rsidRPr="0012488B" w:rsidRDefault="00D52504" w:rsidP="00D52504">
      <w:pPr>
        <w:spacing w:line="240" w:lineRule="auto"/>
        <w:rPr>
          <w:szCs w:val="22"/>
          <w:lang w:val="sk-SK"/>
        </w:rPr>
      </w:pPr>
      <w:r w:rsidRPr="0012488B">
        <w:rPr>
          <w:szCs w:val="22"/>
          <w:lang w:val="sk-SK"/>
        </w:rPr>
        <w:t xml:space="preserve">Pri používaní ACE inhibítorov bol zaznamenaný kašeľ. Tento kašeľ je zvyčajne neproduktívny, </w:t>
      </w:r>
      <w:r w:rsidR="00176E50" w:rsidRPr="0012488B">
        <w:rPr>
          <w:szCs w:val="22"/>
          <w:lang w:val="sk-SK"/>
        </w:rPr>
        <w:t xml:space="preserve">perzistentný </w:t>
      </w:r>
      <w:r w:rsidRPr="0012488B">
        <w:rPr>
          <w:szCs w:val="22"/>
          <w:lang w:val="sk-SK"/>
        </w:rPr>
        <w:t>a ustupuje po ukončení liečby. Kašeľ vyvolaný ACE inhibítorm</w:t>
      </w:r>
      <w:r w:rsidR="00176E50" w:rsidRPr="0012488B">
        <w:rPr>
          <w:szCs w:val="22"/>
          <w:lang w:val="sk-SK"/>
        </w:rPr>
        <w:t>i</w:t>
      </w:r>
      <w:r w:rsidRPr="0012488B">
        <w:rPr>
          <w:szCs w:val="22"/>
          <w:lang w:val="sk-SK"/>
        </w:rPr>
        <w:t xml:space="preserve"> sa má brať do úvahy ako súčasť diferenciálnej diagnostiky kašľa.</w:t>
      </w:r>
    </w:p>
    <w:p w14:paraId="0F6A31A5" w14:textId="77777777" w:rsidR="00D52504" w:rsidRPr="0012488B" w:rsidRDefault="00D52504" w:rsidP="00D52504">
      <w:pPr>
        <w:spacing w:line="240" w:lineRule="auto"/>
        <w:rPr>
          <w:szCs w:val="22"/>
          <w:u w:val="single"/>
          <w:lang w:val="sk-SK"/>
        </w:rPr>
      </w:pPr>
    </w:p>
    <w:p w14:paraId="77FF3CD0" w14:textId="77777777" w:rsidR="00D52504" w:rsidRPr="0012488B" w:rsidRDefault="00D52504" w:rsidP="00D52504">
      <w:pPr>
        <w:spacing w:line="240" w:lineRule="auto"/>
        <w:rPr>
          <w:szCs w:val="22"/>
          <w:u w:val="single"/>
          <w:lang w:val="sk-SK"/>
        </w:rPr>
      </w:pPr>
      <w:r w:rsidRPr="0012488B">
        <w:rPr>
          <w:szCs w:val="22"/>
          <w:u w:val="single"/>
          <w:lang w:val="sk-SK"/>
        </w:rPr>
        <w:t>Operácia/anestézia</w:t>
      </w:r>
    </w:p>
    <w:p w14:paraId="15CCE868" w14:textId="59BAB9DC" w:rsidR="00D52504" w:rsidRPr="0012488B" w:rsidRDefault="00D52504" w:rsidP="00D52504">
      <w:pPr>
        <w:spacing w:line="240" w:lineRule="auto"/>
        <w:rPr>
          <w:szCs w:val="22"/>
          <w:lang w:val="sk-SK"/>
        </w:rPr>
      </w:pPr>
      <w:r w:rsidRPr="0012488B">
        <w:rPr>
          <w:szCs w:val="22"/>
          <w:lang w:val="sk-SK"/>
        </w:rPr>
        <w:t>U pacientov, ktorí sa podrobujú závažnému chirurgickému výkonu alebo počas anestézie látkami vyvolávajúcimi hypotenziu, môže P</w:t>
      </w:r>
      <w:r w:rsidRPr="0012488B">
        <w:rPr>
          <w:bCs/>
          <w:iCs/>
          <w:szCs w:val="22"/>
          <w:lang w:val="sk-SK"/>
        </w:rPr>
        <w:t>erindopril Actavis</w:t>
      </w:r>
      <w:r w:rsidRPr="0012488B">
        <w:rPr>
          <w:szCs w:val="22"/>
          <w:lang w:val="sk-SK"/>
        </w:rPr>
        <w:t xml:space="preserve"> blokovať sekundárnu tvorbu angiotenzínu II po kompenzačnom uvoľnení renínu. Liečba sa má </w:t>
      </w:r>
      <w:r w:rsidR="009D1BAA" w:rsidRPr="0012488B">
        <w:rPr>
          <w:szCs w:val="22"/>
          <w:lang w:val="sk-SK"/>
        </w:rPr>
        <w:t xml:space="preserve">ukončiť </w:t>
      </w:r>
      <w:r w:rsidRPr="0012488B">
        <w:rPr>
          <w:szCs w:val="22"/>
          <w:lang w:val="sk-SK"/>
        </w:rPr>
        <w:t>jeden deň pred chirurgickým výkonom. Ak sa vyskytne hypotenzia, ktorá je považovaná za dôsledok tohto mechanizmu, je možné ju korigovať zvýšením cirkulujúceho objemu.</w:t>
      </w:r>
    </w:p>
    <w:p w14:paraId="70FCA689" w14:textId="77777777" w:rsidR="00D52504" w:rsidRPr="0012488B" w:rsidRDefault="00D52504" w:rsidP="00D52504">
      <w:pPr>
        <w:pStyle w:val="Nadpis3"/>
        <w:spacing w:before="0" w:after="0" w:line="240" w:lineRule="auto"/>
        <w:rPr>
          <w:b w:val="0"/>
          <w:kern w:val="0"/>
          <w:sz w:val="22"/>
          <w:szCs w:val="22"/>
          <w:u w:val="single"/>
          <w:lang w:val="sk-SK" w:eastAsia="fr-FR"/>
        </w:rPr>
      </w:pPr>
      <w:bookmarkStart w:id="4" w:name="_Toc29797814"/>
      <w:bookmarkStart w:id="5" w:name="_Toc34031375"/>
    </w:p>
    <w:p w14:paraId="278DBDEC" w14:textId="77777777" w:rsidR="00D52504" w:rsidRPr="0012488B" w:rsidRDefault="00D52504" w:rsidP="00D52504">
      <w:pPr>
        <w:pStyle w:val="Nadpis3"/>
        <w:spacing w:before="0" w:after="0" w:line="240" w:lineRule="auto"/>
        <w:rPr>
          <w:b w:val="0"/>
          <w:kern w:val="0"/>
          <w:sz w:val="22"/>
          <w:szCs w:val="22"/>
          <w:u w:val="single"/>
          <w:lang w:val="sk-SK" w:eastAsia="fr-FR"/>
        </w:rPr>
      </w:pPr>
      <w:r w:rsidRPr="0012488B">
        <w:rPr>
          <w:b w:val="0"/>
          <w:kern w:val="0"/>
          <w:sz w:val="22"/>
          <w:szCs w:val="22"/>
          <w:u w:val="single"/>
          <w:lang w:val="sk-SK" w:eastAsia="fr-FR"/>
        </w:rPr>
        <w:t>Hyperkaliémia</w:t>
      </w:r>
      <w:bookmarkEnd w:id="4"/>
      <w:bookmarkEnd w:id="5"/>
    </w:p>
    <w:p w14:paraId="03BBCCCC" w14:textId="21048A79" w:rsidR="00D52504" w:rsidRPr="0012488B" w:rsidRDefault="00D52504" w:rsidP="00D52504">
      <w:pPr>
        <w:spacing w:line="240" w:lineRule="auto"/>
        <w:rPr>
          <w:szCs w:val="22"/>
          <w:lang w:val="sk-SK"/>
        </w:rPr>
      </w:pPr>
      <w:r w:rsidRPr="0012488B">
        <w:rPr>
          <w:szCs w:val="22"/>
          <w:lang w:val="sk-SK"/>
        </w:rPr>
        <w:t xml:space="preserve">Zvýšenie </w:t>
      </w:r>
      <w:r w:rsidR="005C1E64" w:rsidRPr="0012488B">
        <w:rPr>
          <w:szCs w:val="22"/>
          <w:lang w:val="sk-SK"/>
        </w:rPr>
        <w:t xml:space="preserve">koncentrácií </w:t>
      </w:r>
      <w:r w:rsidRPr="0012488B">
        <w:rPr>
          <w:szCs w:val="22"/>
          <w:lang w:val="sk-SK"/>
        </w:rPr>
        <w:t>draslíka v sére bolo pozorované u niektorých pacientov liečených ACE inhibítormi, vrátane perindoprilu. Medzi rizikové faktory výskytu hy</w:t>
      </w:r>
      <w:r w:rsidRPr="0012488B">
        <w:rPr>
          <w:bCs/>
          <w:iCs/>
          <w:szCs w:val="22"/>
          <w:lang w:val="sk-SK"/>
        </w:rPr>
        <w:t xml:space="preserve">perkaliémie patria renálna insuficiencia, zhoršenie renálnej funkcie, vek </w:t>
      </w:r>
      <w:r w:rsidR="005C1E64" w:rsidRPr="0012488B">
        <w:rPr>
          <w:bCs/>
          <w:iCs/>
          <w:szCs w:val="22"/>
          <w:lang w:val="sk-SK"/>
        </w:rPr>
        <w:t xml:space="preserve">(nad </w:t>
      </w:r>
      <w:r w:rsidRPr="0012488B">
        <w:rPr>
          <w:bCs/>
          <w:iCs/>
          <w:szCs w:val="22"/>
          <w:lang w:val="sk-SK"/>
        </w:rPr>
        <w:t xml:space="preserve">70 rokov), diabetes mellitus, pridružené udalosti, obzvlášť dehydratácia, akútna srdcová dekompenzácia, metabolická acidóza a súbežné užívanie </w:t>
      </w:r>
      <w:r w:rsidRPr="0012488B">
        <w:rPr>
          <w:szCs w:val="22"/>
          <w:lang w:val="sk-SK"/>
        </w:rPr>
        <w:t>draslík šetriacich diuretík (napr. spironolaktón, eplerenón, triamterén alebo amilorid), doplnkov draslíka alebo soľných náhrad s obsahom draslíka; alebo pacienti užívajúci iné lieky spôsobujúce zvýšenie hladín draslíka v sére (napr. heparín). Použitie doplnkov draslíka, draslík šetriacich diuretík alebo soľných náhrad s obsahom draslíka môže hlavne u pacientov s poruchou funkcie obličiek viesť k významnému nárastu draslíka v sére</w:t>
      </w:r>
      <w:r w:rsidRPr="0012488B">
        <w:rPr>
          <w:bCs/>
          <w:iCs/>
          <w:szCs w:val="22"/>
          <w:lang w:val="sk-SK"/>
        </w:rPr>
        <w:t xml:space="preserve">. Hyperkaliémia môže spôsobiť vážne, niekedy fatálne arytmie. </w:t>
      </w:r>
      <w:r w:rsidRPr="0012488B">
        <w:rPr>
          <w:szCs w:val="22"/>
          <w:lang w:val="sk-SK"/>
        </w:rPr>
        <w:t>Ak sa súbežné použitie vyššie uvedených látok považuje za potrebné, majú sa užívať s opatrnosťou a s častým sledovaním hladiny draslíka v sére (pozri časť 4.5).</w:t>
      </w:r>
    </w:p>
    <w:p w14:paraId="56AC5B37" w14:textId="77777777" w:rsidR="00D52504" w:rsidRPr="0012488B" w:rsidRDefault="00D52504" w:rsidP="00D52504">
      <w:pPr>
        <w:spacing w:line="240" w:lineRule="auto"/>
        <w:rPr>
          <w:bCs/>
          <w:iCs/>
          <w:szCs w:val="22"/>
          <w:u w:val="single"/>
          <w:lang w:val="sk-SK"/>
        </w:rPr>
      </w:pPr>
    </w:p>
    <w:p w14:paraId="2D343428" w14:textId="77777777" w:rsidR="00D52504" w:rsidRPr="0012488B" w:rsidRDefault="00D52504" w:rsidP="00D52504">
      <w:pPr>
        <w:spacing w:line="240" w:lineRule="auto"/>
        <w:rPr>
          <w:szCs w:val="22"/>
          <w:u w:val="single"/>
          <w:lang w:val="sk-SK" w:eastAsia="fr-FR"/>
        </w:rPr>
      </w:pPr>
      <w:r w:rsidRPr="0012488B">
        <w:rPr>
          <w:szCs w:val="22"/>
          <w:u w:val="single"/>
          <w:lang w:val="sk-SK" w:eastAsia="fr-FR"/>
        </w:rPr>
        <w:t>Diabetickí pacienti</w:t>
      </w:r>
    </w:p>
    <w:p w14:paraId="46C1C0F1" w14:textId="77777777" w:rsidR="00D52504" w:rsidRPr="0012488B" w:rsidRDefault="00D52504" w:rsidP="00D52504">
      <w:pPr>
        <w:spacing w:line="240" w:lineRule="auto"/>
        <w:rPr>
          <w:szCs w:val="22"/>
          <w:lang w:val="sk-SK"/>
        </w:rPr>
      </w:pPr>
      <w:r w:rsidRPr="0012488B">
        <w:rPr>
          <w:szCs w:val="22"/>
          <w:lang w:val="sk-SK"/>
        </w:rPr>
        <w:t>U pacientov s diabetom liečených perorálnymi antidiabetikami alebo inzulínom má byť počas prvého mesiaca liečby ACE inhibítorom starostlivo monitorovaná glykémia (pozri časť 4.5).</w:t>
      </w:r>
    </w:p>
    <w:p w14:paraId="1213B24C" w14:textId="77777777" w:rsidR="00D52504" w:rsidRPr="0012488B" w:rsidRDefault="00D52504" w:rsidP="00D52504">
      <w:pPr>
        <w:spacing w:line="240" w:lineRule="auto"/>
        <w:rPr>
          <w:bCs/>
          <w:iCs/>
          <w:szCs w:val="22"/>
          <w:u w:val="single"/>
          <w:lang w:val="sk-SK"/>
        </w:rPr>
      </w:pPr>
    </w:p>
    <w:p w14:paraId="18ABD1CC" w14:textId="77777777" w:rsidR="00D52504" w:rsidRPr="0012488B" w:rsidRDefault="00D52504" w:rsidP="00D52504">
      <w:pPr>
        <w:spacing w:line="240" w:lineRule="auto"/>
        <w:rPr>
          <w:bCs/>
          <w:iCs/>
          <w:szCs w:val="22"/>
          <w:u w:val="single"/>
          <w:lang w:val="sk-SK"/>
        </w:rPr>
      </w:pPr>
      <w:r w:rsidRPr="0012488B">
        <w:rPr>
          <w:bCs/>
          <w:iCs/>
          <w:szCs w:val="22"/>
          <w:u w:val="single"/>
          <w:lang w:val="sk-SK"/>
        </w:rPr>
        <w:t>Lítium</w:t>
      </w:r>
    </w:p>
    <w:p w14:paraId="129C3DD4" w14:textId="77777777" w:rsidR="00D52504" w:rsidRPr="0012488B" w:rsidRDefault="00D52504" w:rsidP="00D52504">
      <w:pPr>
        <w:spacing w:line="240" w:lineRule="auto"/>
        <w:rPr>
          <w:szCs w:val="22"/>
          <w:lang w:val="sk-SK"/>
        </w:rPr>
      </w:pPr>
      <w:r w:rsidRPr="0012488B">
        <w:rPr>
          <w:szCs w:val="22"/>
          <w:lang w:val="sk-SK"/>
        </w:rPr>
        <w:t>Všeobecne sa kombinácia lítia a perindoprilu neodporúča (pozri časť 4.5).</w:t>
      </w:r>
    </w:p>
    <w:p w14:paraId="0EFCA2C5" w14:textId="77777777" w:rsidR="00D52504" w:rsidRPr="0012488B" w:rsidRDefault="00D52504" w:rsidP="00D52504">
      <w:pPr>
        <w:spacing w:line="240" w:lineRule="auto"/>
        <w:rPr>
          <w:bCs/>
          <w:iCs/>
          <w:szCs w:val="22"/>
          <w:u w:val="single"/>
          <w:lang w:val="sk-SK"/>
        </w:rPr>
      </w:pPr>
    </w:p>
    <w:p w14:paraId="0CFD0E40" w14:textId="46411435" w:rsidR="00D52504" w:rsidRPr="0012488B" w:rsidRDefault="00D52504" w:rsidP="00D52504">
      <w:pPr>
        <w:spacing w:line="240" w:lineRule="auto"/>
        <w:rPr>
          <w:bCs/>
          <w:iCs/>
          <w:szCs w:val="22"/>
          <w:u w:val="single"/>
          <w:lang w:val="sk-SK"/>
        </w:rPr>
      </w:pPr>
      <w:r w:rsidRPr="0012488B">
        <w:rPr>
          <w:bCs/>
          <w:szCs w:val="22"/>
          <w:u w:val="single"/>
          <w:lang w:val="sk-SK"/>
        </w:rPr>
        <w:t xml:space="preserve">Draslík šetriace </w:t>
      </w:r>
      <w:r w:rsidR="002637D8" w:rsidRPr="0012488B">
        <w:rPr>
          <w:bCs/>
          <w:szCs w:val="22"/>
          <w:u w:val="single"/>
          <w:lang w:val="sk-SK"/>
        </w:rPr>
        <w:t>diuretiká</w:t>
      </w:r>
      <w:r w:rsidRPr="0012488B">
        <w:rPr>
          <w:bCs/>
          <w:szCs w:val="22"/>
          <w:u w:val="single"/>
          <w:lang w:val="sk-SK"/>
        </w:rPr>
        <w:t>, doplnky draslíka alebo soľné náhrady s obsahom draslíka</w:t>
      </w:r>
    </w:p>
    <w:p w14:paraId="631866F1" w14:textId="49B0FD56" w:rsidR="00D52504" w:rsidRPr="0012488B" w:rsidRDefault="00D52504" w:rsidP="00D52504">
      <w:pPr>
        <w:spacing w:line="240" w:lineRule="auto"/>
        <w:rPr>
          <w:szCs w:val="22"/>
          <w:lang w:val="sk-SK"/>
        </w:rPr>
      </w:pPr>
      <w:r w:rsidRPr="0012488B">
        <w:rPr>
          <w:szCs w:val="22"/>
          <w:lang w:val="sk-SK"/>
        </w:rPr>
        <w:t xml:space="preserve">Všeobecne sa kombinácia perindoprilu a draslík šetriacich </w:t>
      </w:r>
      <w:r w:rsidR="002637D8" w:rsidRPr="0012488B">
        <w:rPr>
          <w:szCs w:val="22"/>
          <w:lang w:val="sk-SK"/>
        </w:rPr>
        <w:t>diuretík</w:t>
      </w:r>
      <w:r w:rsidRPr="0012488B">
        <w:rPr>
          <w:szCs w:val="22"/>
          <w:lang w:val="sk-SK"/>
        </w:rPr>
        <w:t>, doplnkov draslíka alebo soľných náhrad s obsahom draslíka neodporúča (pozri časť 4.5).</w:t>
      </w:r>
    </w:p>
    <w:p w14:paraId="3A322682" w14:textId="77777777" w:rsidR="00D52504" w:rsidRPr="0012488B" w:rsidRDefault="00D52504" w:rsidP="00D52504">
      <w:pPr>
        <w:spacing w:line="240" w:lineRule="auto"/>
        <w:rPr>
          <w:szCs w:val="22"/>
          <w:lang w:val="sk-SK"/>
        </w:rPr>
      </w:pPr>
    </w:p>
    <w:p w14:paraId="30FC25D7" w14:textId="77777777" w:rsidR="00D52504" w:rsidRPr="0012488B" w:rsidRDefault="00D52504" w:rsidP="00D52504">
      <w:pPr>
        <w:pStyle w:val="Texttelo"/>
        <w:rPr>
          <w:rFonts w:ascii="Times New Roman" w:hAnsi="Times New Roman"/>
          <w:color w:val="auto"/>
          <w:spacing w:val="0"/>
          <w:sz w:val="22"/>
          <w:szCs w:val="22"/>
          <w:u w:val="single"/>
          <w:lang w:val="sk-SK"/>
        </w:rPr>
      </w:pPr>
      <w:r w:rsidRPr="0012488B">
        <w:rPr>
          <w:rFonts w:ascii="Times New Roman" w:hAnsi="Times New Roman"/>
          <w:color w:val="auto"/>
          <w:spacing w:val="0"/>
          <w:sz w:val="22"/>
          <w:szCs w:val="22"/>
          <w:u w:val="single"/>
          <w:lang w:val="sk-SK"/>
        </w:rPr>
        <w:t>Duálna inhibícia systému renín-angiotenzín-aldosterón (RAAS)</w:t>
      </w:r>
    </w:p>
    <w:p w14:paraId="54447010" w14:textId="0DB616A2" w:rsidR="00D52504" w:rsidRPr="0012488B" w:rsidRDefault="00D52504" w:rsidP="00D52504">
      <w:pPr>
        <w:pStyle w:val="Texttelo"/>
        <w:rPr>
          <w:rFonts w:ascii="Times New Roman" w:hAnsi="Times New Roman"/>
          <w:color w:val="auto"/>
          <w:spacing w:val="0"/>
          <w:sz w:val="22"/>
          <w:szCs w:val="22"/>
          <w:lang w:val="sk-SK"/>
        </w:rPr>
      </w:pPr>
      <w:r w:rsidRPr="0012488B">
        <w:rPr>
          <w:rFonts w:ascii="Times New Roman" w:hAnsi="Times New Roman"/>
          <w:color w:val="auto"/>
          <w:spacing w:val="0"/>
          <w:sz w:val="22"/>
          <w:szCs w:val="22"/>
          <w:lang w:val="sk-SK"/>
        </w:rPr>
        <w:t>Preukázalo sa, že súbežné použitie ACE inhibítorov, blokátorov receptorov angiotenzínu II alebo aliskir</w:t>
      </w:r>
      <w:r w:rsidR="00D77292" w:rsidRPr="0012488B">
        <w:rPr>
          <w:rFonts w:ascii="Times New Roman" w:hAnsi="Times New Roman"/>
          <w:color w:val="auto"/>
          <w:spacing w:val="0"/>
          <w:sz w:val="22"/>
          <w:szCs w:val="22"/>
          <w:lang w:val="sk-SK"/>
        </w:rPr>
        <w:t>é</w:t>
      </w:r>
      <w:r w:rsidRPr="0012488B">
        <w:rPr>
          <w:rFonts w:ascii="Times New Roman" w:hAnsi="Times New Roman"/>
          <w:color w:val="auto"/>
          <w:spacing w:val="0"/>
          <w:sz w:val="22"/>
          <w:szCs w:val="22"/>
          <w:lang w:val="sk-SK"/>
        </w:rPr>
        <w:t>nu zvyšuje riziko hypotenzie, hyperkaliémie a zníženia funkcie obličiek (vrátane akútneho zlyhania obličiek). Duálna inhibícia RAAS kombinovaným použitím ACE inhibítorov, blokátorov receptorov angiotenzínu II alebo aliskir</w:t>
      </w:r>
      <w:r w:rsidR="00D77292" w:rsidRPr="0012488B">
        <w:rPr>
          <w:rFonts w:ascii="Times New Roman" w:hAnsi="Times New Roman"/>
          <w:color w:val="auto"/>
          <w:spacing w:val="0"/>
          <w:sz w:val="22"/>
          <w:szCs w:val="22"/>
          <w:lang w:val="sk-SK"/>
        </w:rPr>
        <w:t>é</w:t>
      </w:r>
      <w:r w:rsidRPr="0012488B">
        <w:rPr>
          <w:rFonts w:ascii="Times New Roman" w:hAnsi="Times New Roman"/>
          <w:color w:val="auto"/>
          <w:spacing w:val="0"/>
          <w:sz w:val="22"/>
          <w:szCs w:val="22"/>
          <w:lang w:val="sk-SK"/>
        </w:rPr>
        <w:t>nu sa preto neodporúča (pozri časti 4.5 a 5.1).</w:t>
      </w:r>
    </w:p>
    <w:p w14:paraId="608BF02D" w14:textId="77777777" w:rsidR="00D52504" w:rsidRPr="0012488B" w:rsidRDefault="00D52504" w:rsidP="00D52504">
      <w:pPr>
        <w:pStyle w:val="Texttelo"/>
        <w:rPr>
          <w:rFonts w:ascii="Times New Roman" w:hAnsi="Times New Roman"/>
          <w:color w:val="auto"/>
          <w:spacing w:val="0"/>
          <w:sz w:val="22"/>
          <w:szCs w:val="22"/>
          <w:lang w:val="sk-SK"/>
        </w:rPr>
      </w:pPr>
      <w:r w:rsidRPr="0012488B">
        <w:rPr>
          <w:rFonts w:ascii="Times New Roman" w:hAnsi="Times New Roman"/>
          <w:color w:val="auto"/>
          <w:spacing w:val="0"/>
          <w:sz w:val="22"/>
          <w:szCs w:val="22"/>
          <w:lang w:val="sk-SK"/>
        </w:rPr>
        <w:lastRenderedPageBreak/>
        <w:t>Ak sa liečba duálnou inhibíciou považuje za absolútne nevyhnutnú, má sa podať iba pod dohľadom odborníka a u pacienta sa má často a dôsledne kontrolovať funkcia obličiek, elektrolyty a krvný tlak.</w:t>
      </w:r>
    </w:p>
    <w:p w14:paraId="7389CA6F" w14:textId="77777777" w:rsidR="00D52504" w:rsidRPr="0012488B" w:rsidRDefault="00D52504" w:rsidP="00D52504">
      <w:pPr>
        <w:pStyle w:val="Texttelo"/>
        <w:rPr>
          <w:rFonts w:ascii="Times New Roman" w:hAnsi="Times New Roman"/>
          <w:color w:val="auto"/>
          <w:spacing w:val="0"/>
          <w:sz w:val="22"/>
          <w:szCs w:val="22"/>
          <w:lang w:val="sk-SK"/>
        </w:rPr>
      </w:pPr>
      <w:r w:rsidRPr="0012488B">
        <w:rPr>
          <w:rFonts w:ascii="Times New Roman" w:hAnsi="Times New Roman"/>
          <w:color w:val="auto"/>
          <w:spacing w:val="0"/>
          <w:sz w:val="22"/>
          <w:szCs w:val="22"/>
          <w:lang w:val="sk-SK"/>
        </w:rPr>
        <w:t>ACE inhibítory a blokátory receptorov angiotenzínu II sa nemajú súbežne používať u pacientov s diabetickou nefropatiou.</w:t>
      </w:r>
    </w:p>
    <w:p w14:paraId="0827E73C" w14:textId="77777777" w:rsidR="00D52504" w:rsidRPr="0012488B" w:rsidRDefault="00D52504" w:rsidP="00D52504">
      <w:pPr>
        <w:spacing w:line="240" w:lineRule="auto"/>
        <w:rPr>
          <w:szCs w:val="22"/>
          <w:lang w:val="sk-SK"/>
        </w:rPr>
      </w:pPr>
    </w:p>
    <w:p w14:paraId="7DDE9347" w14:textId="77777777" w:rsidR="00D52504" w:rsidRPr="0012488B" w:rsidRDefault="00D52504" w:rsidP="00D52504">
      <w:pPr>
        <w:spacing w:line="240" w:lineRule="auto"/>
        <w:rPr>
          <w:szCs w:val="22"/>
          <w:u w:val="single"/>
          <w:lang w:val="sk-SK"/>
        </w:rPr>
      </w:pPr>
      <w:r w:rsidRPr="0012488B">
        <w:rPr>
          <w:szCs w:val="22"/>
          <w:u w:val="single"/>
          <w:lang w:val="sk-SK"/>
        </w:rPr>
        <w:t>Gravidita</w:t>
      </w:r>
    </w:p>
    <w:p w14:paraId="5EC50A9E" w14:textId="77777777" w:rsidR="00D52504" w:rsidRPr="0012488B" w:rsidRDefault="00D52504" w:rsidP="00D52504">
      <w:pPr>
        <w:spacing w:line="240" w:lineRule="auto"/>
        <w:rPr>
          <w:szCs w:val="22"/>
          <w:lang w:val="sk-SK"/>
        </w:rPr>
      </w:pPr>
      <w:r w:rsidRPr="0012488B">
        <w:rPr>
          <w:szCs w:val="22"/>
          <w:lang w:val="sk-SK"/>
        </w:rPr>
        <w:t>ACE inhibítory  sa nemajú začať užívať počas gravidity. Pokiaľ sa pokračovanie v liečbe ACE inhibítorom  nepovažuje za nevyhnutné, pacientky, ktoré plánujú otehotnieť, majú prejsť na alternatívnu antihypertenznú liečbu, ktorá má stanovený profil bezpečnosti pre používanie v gravidite. V prípade diagnostikovanej gravidity sa má okamžite prerušiť liečba ACE inhibítormi a ak je to vhodné, čo najskôr začať alternatívnu liečbu (pozri časti 4.3 a 4.6).</w:t>
      </w:r>
    </w:p>
    <w:p w14:paraId="48354B1B" w14:textId="77777777" w:rsidR="00D52504" w:rsidRPr="0012488B" w:rsidRDefault="00D52504" w:rsidP="00D52504">
      <w:pPr>
        <w:spacing w:line="240" w:lineRule="auto"/>
        <w:rPr>
          <w:szCs w:val="22"/>
          <w:lang w:val="sk-SK"/>
        </w:rPr>
      </w:pPr>
    </w:p>
    <w:p w14:paraId="3F8F2061" w14:textId="77777777" w:rsidR="00D52504" w:rsidRPr="0012488B" w:rsidRDefault="00D52504" w:rsidP="00D52504">
      <w:pPr>
        <w:spacing w:line="240" w:lineRule="auto"/>
        <w:rPr>
          <w:szCs w:val="22"/>
          <w:lang w:val="sk-SK"/>
        </w:rPr>
      </w:pPr>
      <w:r w:rsidRPr="0012488B">
        <w:rPr>
          <w:szCs w:val="22"/>
          <w:u w:val="single"/>
          <w:lang w:val="sk-SK"/>
        </w:rPr>
        <w:t>Pomocné látky</w:t>
      </w:r>
    </w:p>
    <w:p w14:paraId="70D9ED58" w14:textId="77777777" w:rsidR="00A93A78" w:rsidRPr="0012488B" w:rsidRDefault="00A93A78" w:rsidP="00A93A78">
      <w:pPr>
        <w:spacing w:line="240" w:lineRule="auto"/>
        <w:rPr>
          <w:bCs/>
          <w:iCs/>
          <w:szCs w:val="22"/>
          <w:lang w:val="sk-SK"/>
        </w:rPr>
      </w:pPr>
      <w:r w:rsidRPr="0012488B">
        <w:rPr>
          <w:lang w:val="pt-PT"/>
        </w:rPr>
        <w:t xml:space="preserve">Pacienti so zriedkavými dedičnými problémami </w:t>
      </w:r>
      <w:r w:rsidRPr="0012488B">
        <w:t>galaktózovej intolerancie, lapónskeho deficitu laktázy alebo glukózo-galaktózovej malabsorpcie nesmú</w:t>
      </w:r>
      <w:r w:rsidRPr="0012488B">
        <w:rPr>
          <w:lang w:val="pt-PT"/>
        </w:rPr>
        <w:t xml:space="preserve"> užívať tento liek. </w:t>
      </w:r>
      <w:r w:rsidRPr="0012488B" w:rsidDel="006F19AF">
        <w:rPr>
          <w:bCs/>
          <w:iCs/>
          <w:szCs w:val="22"/>
          <w:lang w:val="sk-SK"/>
        </w:rPr>
        <w:t xml:space="preserve"> </w:t>
      </w:r>
    </w:p>
    <w:p w14:paraId="296EC749" w14:textId="77777777" w:rsidR="00D52504" w:rsidRPr="0012488B" w:rsidRDefault="00D52504" w:rsidP="00D52504">
      <w:pPr>
        <w:spacing w:line="240" w:lineRule="auto"/>
        <w:rPr>
          <w:b/>
          <w:szCs w:val="22"/>
          <w:lang w:val="sk-SK"/>
        </w:rPr>
      </w:pPr>
    </w:p>
    <w:p w14:paraId="19E01044" w14:textId="77777777" w:rsidR="00D52504" w:rsidRPr="0012488B" w:rsidRDefault="00D52504" w:rsidP="00D52504">
      <w:pPr>
        <w:spacing w:line="240" w:lineRule="auto"/>
        <w:rPr>
          <w:b/>
          <w:szCs w:val="22"/>
          <w:lang w:val="sk-SK"/>
        </w:rPr>
      </w:pPr>
      <w:r w:rsidRPr="0012488B">
        <w:rPr>
          <w:b/>
          <w:szCs w:val="22"/>
          <w:lang w:val="sk-SK"/>
        </w:rPr>
        <w:t>4.5</w:t>
      </w:r>
      <w:r w:rsidRPr="0012488B">
        <w:rPr>
          <w:b/>
          <w:szCs w:val="22"/>
          <w:lang w:val="sk-SK"/>
        </w:rPr>
        <w:tab/>
        <w:t>Liekové a iné interakcie</w:t>
      </w:r>
    </w:p>
    <w:p w14:paraId="43DCC4E3" w14:textId="77777777" w:rsidR="00D52504" w:rsidRPr="0012488B" w:rsidRDefault="00D52504" w:rsidP="00D52504">
      <w:pPr>
        <w:rPr>
          <w:b/>
          <w:i/>
          <w:szCs w:val="22"/>
          <w:u w:val="single"/>
        </w:rPr>
      </w:pPr>
    </w:p>
    <w:p w14:paraId="077A1D8C" w14:textId="77777777" w:rsidR="00D52504" w:rsidRPr="0012488B" w:rsidRDefault="00D52504" w:rsidP="00D52504">
      <w:pPr>
        <w:spacing w:line="240" w:lineRule="auto"/>
        <w:rPr>
          <w:szCs w:val="22"/>
          <w:u w:val="single"/>
          <w:lang w:val="sk-SK"/>
        </w:rPr>
      </w:pPr>
      <w:r w:rsidRPr="0012488B">
        <w:rPr>
          <w:b/>
          <w:szCs w:val="22"/>
          <w:u w:val="single"/>
          <w:lang w:val="sk-SK"/>
        </w:rPr>
        <w:t>Lieky indukujúce hyperkaliémiu</w:t>
      </w:r>
    </w:p>
    <w:p w14:paraId="72CC389B" w14:textId="77777777" w:rsidR="00D52504" w:rsidRPr="0012488B" w:rsidRDefault="00D52504" w:rsidP="00D52504">
      <w:pPr>
        <w:spacing w:line="240" w:lineRule="auto"/>
        <w:rPr>
          <w:szCs w:val="22"/>
          <w:lang w:val="sk-SK"/>
        </w:rPr>
      </w:pPr>
      <w:r w:rsidRPr="0012488B">
        <w:rPr>
          <w:szCs w:val="22"/>
          <w:lang w:val="sk-SK"/>
        </w:rPr>
        <w:t>Niektoré lieky alebo terapeutické skupiny môžu zvýšiť výskyt hyperkaliémie: draselné soli, draslík šetriace diuretiká, antagonisty receptorov angiotenzínu-II, NSA, heparíny, imunosupresíva ako cyklosporín alebo takrolimus, trimetoprim. Kombinácia týchto liekov zvyšuje riziko hyperkaliémie.</w:t>
      </w:r>
    </w:p>
    <w:p w14:paraId="1FA48DB8" w14:textId="77777777" w:rsidR="00D52504" w:rsidRPr="0012488B" w:rsidRDefault="00D52504" w:rsidP="00D52504">
      <w:pPr>
        <w:spacing w:line="240" w:lineRule="auto"/>
        <w:rPr>
          <w:szCs w:val="22"/>
          <w:lang w:val="sk-SK"/>
        </w:rPr>
      </w:pPr>
    </w:p>
    <w:p w14:paraId="06DD859E" w14:textId="77777777" w:rsidR="00D52504" w:rsidRPr="0012488B" w:rsidRDefault="00D52504" w:rsidP="00D52504">
      <w:pPr>
        <w:rPr>
          <w:b/>
          <w:szCs w:val="22"/>
          <w:u w:val="single"/>
        </w:rPr>
      </w:pPr>
      <w:r w:rsidRPr="0012488B">
        <w:rPr>
          <w:b/>
          <w:szCs w:val="22"/>
          <w:u w:val="single"/>
        </w:rPr>
        <w:t>Duálna inhibícia systému renín-angiotenzín-aldosterón (RAAS)</w:t>
      </w:r>
      <w:r w:rsidRPr="0012488B" w:rsidDel="009F0294">
        <w:rPr>
          <w:b/>
          <w:szCs w:val="22"/>
          <w:u w:val="single"/>
        </w:rPr>
        <w:t xml:space="preserve"> </w:t>
      </w:r>
    </w:p>
    <w:p w14:paraId="7B5BB398" w14:textId="6814A6DF" w:rsidR="00D52504" w:rsidRPr="0012488B" w:rsidRDefault="00D52504" w:rsidP="00D52504">
      <w:pPr>
        <w:rPr>
          <w:szCs w:val="22"/>
          <w:lang w:val="sk-SK"/>
        </w:rPr>
      </w:pPr>
      <w:r w:rsidRPr="0012488B">
        <w:rPr>
          <w:szCs w:val="22"/>
          <w:lang w:val="sk-SK"/>
        </w:rPr>
        <w:t>Údaje z klinických skúšaní ukázali, že duálna inhibícia systému renín-angiotenzín-aldosterón (RAAS) kombinovaným použitím ACE inhibítorov, blokátorov receptorov angiotenzínu II alebo aliskir</w:t>
      </w:r>
      <w:r w:rsidR="00D77292" w:rsidRPr="0012488B">
        <w:rPr>
          <w:szCs w:val="22"/>
          <w:lang w:val="sk-SK"/>
        </w:rPr>
        <w:t>é</w:t>
      </w:r>
      <w:r w:rsidRPr="0012488B">
        <w:rPr>
          <w:szCs w:val="22"/>
          <w:lang w:val="sk-SK"/>
        </w:rPr>
        <w:t xml:space="preserve">nu sa spája s vyššou frekvenciou nežiaducich </w:t>
      </w:r>
      <w:r w:rsidR="00A93A78" w:rsidRPr="0012488B">
        <w:rPr>
          <w:szCs w:val="22"/>
          <w:lang w:val="sk-SK"/>
        </w:rPr>
        <w:t>účinkov</w:t>
      </w:r>
      <w:r w:rsidRPr="0012488B">
        <w:rPr>
          <w:szCs w:val="22"/>
          <w:lang w:val="sk-SK"/>
        </w:rPr>
        <w:t>, ako sú hypotenzia, hyperkaliémia a znížená funkcia obličiek (vrátane akútneho zlyhania obličiek), v porovnaní s použitím látky ovplyvňujúcej RAAS v monoterapii (pozri časti 4.3, 4.4 a 5.1).</w:t>
      </w:r>
    </w:p>
    <w:p w14:paraId="0805CD13" w14:textId="77777777" w:rsidR="00D52504" w:rsidRPr="0012488B" w:rsidRDefault="00D52504" w:rsidP="00D52504">
      <w:pPr>
        <w:spacing w:line="240" w:lineRule="auto"/>
        <w:rPr>
          <w:szCs w:val="22"/>
          <w:lang w:val="sk-SK"/>
        </w:rPr>
      </w:pPr>
    </w:p>
    <w:p w14:paraId="6199194F" w14:textId="77777777" w:rsidR="00D52504" w:rsidRPr="0012488B" w:rsidRDefault="00D52504" w:rsidP="00D52504">
      <w:pPr>
        <w:spacing w:line="240" w:lineRule="auto"/>
        <w:rPr>
          <w:szCs w:val="22"/>
          <w:u w:val="single"/>
          <w:lang w:val="sk-SK"/>
        </w:rPr>
      </w:pPr>
      <w:r w:rsidRPr="0012488B">
        <w:rPr>
          <w:b/>
          <w:szCs w:val="22"/>
          <w:u w:val="single"/>
          <w:lang w:val="sk-SK"/>
        </w:rPr>
        <w:t>Súbežné použitie, ktoré sa neodporúča (pozri časť 4.4)</w:t>
      </w:r>
    </w:p>
    <w:p w14:paraId="496CC982" w14:textId="77777777" w:rsidR="00D52504" w:rsidRPr="0012488B" w:rsidRDefault="00D52504" w:rsidP="00D52504">
      <w:pPr>
        <w:spacing w:line="240" w:lineRule="auto"/>
        <w:rPr>
          <w:szCs w:val="22"/>
          <w:u w:val="single"/>
          <w:lang w:val="sk-SK"/>
        </w:rPr>
      </w:pPr>
    </w:p>
    <w:p w14:paraId="6D7B69F3" w14:textId="77777777" w:rsidR="00D52504" w:rsidRPr="0012488B" w:rsidRDefault="00D52504" w:rsidP="00D52504">
      <w:pPr>
        <w:tabs>
          <w:tab w:val="clear" w:pos="567"/>
          <w:tab w:val="left" w:pos="1650"/>
        </w:tabs>
        <w:spacing w:line="240" w:lineRule="auto"/>
        <w:rPr>
          <w:bCs/>
          <w:szCs w:val="22"/>
          <w:lang w:val="sk-SK" w:eastAsia="cs-CZ"/>
        </w:rPr>
      </w:pPr>
      <w:r w:rsidRPr="0012488B">
        <w:rPr>
          <w:bCs/>
          <w:szCs w:val="22"/>
          <w:u w:val="single"/>
          <w:lang w:val="sk-SK" w:eastAsia="cs-CZ"/>
        </w:rPr>
        <w:t>Estramustín</w:t>
      </w:r>
    </w:p>
    <w:p w14:paraId="329C746F" w14:textId="77777777" w:rsidR="00D52504" w:rsidRPr="0012488B" w:rsidRDefault="00D52504" w:rsidP="00D52504">
      <w:pPr>
        <w:spacing w:line="240" w:lineRule="auto"/>
        <w:rPr>
          <w:bCs/>
          <w:szCs w:val="22"/>
          <w:lang w:val="sk-SK" w:eastAsia="cs-CZ"/>
        </w:rPr>
      </w:pPr>
      <w:r w:rsidRPr="0012488B">
        <w:rPr>
          <w:bCs/>
          <w:szCs w:val="22"/>
          <w:lang w:val="sk-SK" w:eastAsia="cs-CZ"/>
        </w:rPr>
        <w:t>Riziko zvýšenia nežiaducich účinkov ako angioneurotický edém (angioedém).</w:t>
      </w:r>
    </w:p>
    <w:p w14:paraId="372B8231" w14:textId="77777777" w:rsidR="00D52504" w:rsidRPr="0012488B" w:rsidRDefault="00D52504" w:rsidP="00D52504">
      <w:pPr>
        <w:spacing w:line="240" w:lineRule="auto"/>
        <w:rPr>
          <w:bCs/>
          <w:szCs w:val="22"/>
          <w:lang w:val="sk-SK" w:eastAsia="cs-CZ"/>
        </w:rPr>
      </w:pPr>
    </w:p>
    <w:p w14:paraId="1B2E70AA" w14:textId="77777777" w:rsidR="00D52504" w:rsidRPr="0012488B" w:rsidRDefault="00D52504" w:rsidP="00D52504">
      <w:pPr>
        <w:pStyle w:val="Nadpis4"/>
        <w:spacing w:line="240" w:lineRule="auto"/>
        <w:jc w:val="left"/>
        <w:rPr>
          <w:b w:val="0"/>
          <w:bCs/>
          <w:noProof w:val="0"/>
          <w:szCs w:val="22"/>
          <w:u w:val="single"/>
          <w:lang w:val="sk-SK"/>
        </w:rPr>
      </w:pPr>
      <w:r w:rsidRPr="0012488B">
        <w:rPr>
          <w:b w:val="0"/>
          <w:bCs/>
          <w:noProof w:val="0"/>
          <w:szCs w:val="22"/>
          <w:u w:val="single"/>
          <w:lang w:val="sk-SK"/>
        </w:rPr>
        <w:t>Draslík šetriace diuretiká (napr. triamterén, amilorid), soli draslíka</w:t>
      </w:r>
    </w:p>
    <w:p w14:paraId="5FA4DB95" w14:textId="77777777" w:rsidR="00D52504" w:rsidRPr="0012488B" w:rsidRDefault="00D52504" w:rsidP="00D52504">
      <w:pPr>
        <w:tabs>
          <w:tab w:val="left" w:pos="0"/>
        </w:tabs>
        <w:spacing w:line="240" w:lineRule="auto"/>
        <w:rPr>
          <w:szCs w:val="22"/>
          <w:lang w:val="sk-SK"/>
        </w:rPr>
      </w:pPr>
      <w:r w:rsidRPr="0012488B">
        <w:rPr>
          <w:szCs w:val="22"/>
          <w:lang w:val="sk-SK"/>
        </w:rPr>
        <w:t>Hyperkaliémia (potenciálne smrteľná), najmä v spojení s poruchou funkcie obličiek (aditívne hyperkalemické účinky).</w:t>
      </w:r>
    </w:p>
    <w:p w14:paraId="5288DB50" w14:textId="77777777" w:rsidR="00D52504" w:rsidRPr="0012488B" w:rsidRDefault="00D52504" w:rsidP="00D52504">
      <w:pPr>
        <w:tabs>
          <w:tab w:val="left" w:pos="0"/>
        </w:tabs>
        <w:spacing w:line="240" w:lineRule="auto"/>
        <w:rPr>
          <w:szCs w:val="22"/>
          <w:lang w:val="sk-SK"/>
        </w:rPr>
      </w:pPr>
      <w:r w:rsidRPr="0012488B">
        <w:rPr>
          <w:szCs w:val="22"/>
          <w:lang w:val="sk-SK"/>
        </w:rPr>
        <w:t>Kombinácia perindoprilu s vyššie uvedenými liekmi sa neodporúča (pozri časť 4.4). Ak je ich súbežné použitie rovnako indikované, majú byť používané s opatrnosťou a pri častom monitorovaní hladín draslíka v sére. Pre použitie spironolaktónu u srdcového zlyhania, pozri nižšie.</w:t>
      </w:r>
    </w:p>
    <w:p w14:paraId="67527363" w14:textId="77777777" w:rsidR="00D52504" w:rsidRPr="0012488B" w:rsidRDefault="00D52504" w:rsidP="00D52504">
      <w:pPr>
        <w:spacing w:line="240" w:lineRule="auto"/>
        <w:rPr>
          <w:szCs w:val="22"/>
          <w:u w:val="single"/>
          <w:lang w:val="sk-SK"/>
        </w:rPr>
      </w:pPr>
    </w:p>
    <w:p w14:paraId="6121894F" w14:textId="77777777" w:rsidR="00D52504" w:rsidRPr="0012488B" w:rsidRDefault="00D52504" w:rsidP="00D52504">
      <w:pPr>
        <w:tabs>
          <w:tab w:val="left" w:pos="0"/>
        </w:tabs>
        <w:spacing w:line="240" w:lineRule="auto"/>
        <w:rPr>
          <w:bCs/>
          <w:szCs w:val="22"/>
          <w:u w:val="single"/>
          <w:lang w:val="sk-SK"/>
        </w:rPr>
      </w:pPr>
      <w:r w:rsidRPr="0012488B">
        <w:rPr>
          <w:bCs/>
          <w:szCs w:val="22"/>
          <w:u w:val="single"/>
          <w:lang w:val="sk-SK"/>
        </w:rPr>
        <w:t>Lítium</w:t>
      </w:r>
    </w:p>
    <w:p w14:paraId="5E9D8E90" w14:textId="77777777" w:rsidR="00D52504" w:rsidRPr="0012488B" w:rsidRDefault="00D52504" w:rsidP="00D52504">
      <w:pPr>
        <w:autoSpaceDE w:val="0"/>
        <w:autoSpaceDN w:val="0"/>
        <w:adjustRightInd w:val="0"/>
        <w:spacing w:line="240" w:lineRule="auto"/>
        <w:rPr>
          <w:szCs w:val="22"/>
          <w:lang w:val="sk-SK"/>
        </w:rPr>
      </w:pPr>
      <w:r w:rsidRPr="0012488B">
        <w:rPr>
          <w:szCs w:val="22"/>
          <w:lang w:val="sk-SK"/>
        </w:rPr>
        <w:t>Počas súbežného podávania lítia s ACE inhibítormi boli zaznamenané reverzibilné zvýšenia sérových koncentrácií lítia a jeho toxicity. Použitie perindoprilu spolu s lítiom sa neodporúča, ale ak sa potvrdí, že táto kombinácia je nutná, majú sa starostlivo monitorovať hladiny lítia v sére (pozri časť 4.4).</w:t>
      </w:r>
    </w:p>
    <w:p w14:paraId="5D73159C" w14:textId="77777777" w:rsidR="00D52504" w:rsidRPr="0012488B" w:rsidRDefault="00D52504" w:rsidP="00D52504">
      <w:pPr>
        <w:spacing w:line="240" w:lineRule="auto"/>
        <w:rPr>
          <w:szCs w:val="22"/>
          <w:u w:val="single"/>
          <w:lang w:val="sk-SK"/>
        </w:rPr>
      </w:pPr>
    </w:p>
    <w:p w14:paraId="2310DFB5" w14:textId="77777777" w:rsidR="00D52504" w:rsidRPr="0012488B" w:rsidRDefault="00D52504" w:rsidP="00D52504">
      <w:pPr>
        <w:spacing w:line="240" w:lineRule="auto"/>
        <w:rPr>
          <w:b/>
          <w:szCs w:val="22"/>
          <w:u w:val="single"/>
          <w:lang w:val="sk-SK"/>
        </w:rPr>
      </w:pPr>
      <w:r w:rsidRPr="0012488B">
        <w:rPr>
          <w:b/>
          <w:szCs w:val="22"/>
          <w:u w:val="single"/>
          <w:lang w:val="sk-SK"/>
        </w:rPr>
        <w:t>Súbežné použitie, ktoré si vyžaduje osobitnú starostlivosť</w:t>
      </w:r>
    </w:p>
    <w:p w14:paraId="5962FB05" w14:textId="77777777" w:rsidR="00D52504" w:rsidRPr="0012488B" w:rsidRDefault="00D52504" w:rsidP="00D52504">
      <w:pPr>
        <w:spacing w:line="240" w:lineRule="auto"/>
        <w:rPr>
          <w:szCs w:val="22"/>
          <w:u w:val="single"/>
          <w:lang w:val="sk-SK"/>
        </w:rPr>
      </w:pPr>
    </w:p>
    <w:p w14:paraId="4544C79B" w14:textId="77777777" w:rsidR="00D52504" w:rsidRPr="0012488B" w:rsidRDefault="00D52504" w:rsidP="00D52504">
      <w:pPr>
        <w:spacing w:line="240" w:lineRule="auto"/>
        <w:rPr>
          <w:szCs w:val="22"/>
          <w:lang w:val="sk-SK"/>
        </w:rPr>
      </w:pPr>
      <w:r w:rsidRPr="0012488B">
        <w:rPr>
          <w:szCs w:val="22"/>
          <w:u w:val="single"/>
          <w:lang w:val="sk-SK"/>
        </w:rPr>
        <w:t>Antidiabetiká (inzulíny, perorálne hypoglykemizujúce látky)</w:t>
      </w:r>
    </w:p>
    <w:p w14:paraId="7AAA6883" w14:textId="77777777" w:rsidR="00D52504" w:rsidRPr="0012488B" w:rsidRDefault="00D52504" w:rsidP="00D52504">
      <w:pPr>
        <w:spacing w:line="240" w:lineRule="auto"/>
        <w:rPr>
          <w:szCs w:val="22"/>
          <w:lang w:val="sk-SK"/>
        </w:rPr>
      </w:pPr>
      <w:r w:rsidRPr="0012488B">
        <w:rPr>
          <w:szCs w:val="22"/>
          <w:lang w:val="sk-SK"/>
        </w:rPr>
        <w:t>Epidemiologické štúdie naznačili, že súbežné podávanie ACE inhibítorov a antidiabetík (inzulíny, perorálne hypoglykemizujúce látky) môže spôsobiť zvýšenie účinku na zníženie hladiny glukózy v krvi s rizikom vzniku hypoglykémie. Tento jav sa zdá byť pravdepodobnejší počas prvých týždňov kombinovanej liečby a u pacientov s poruchou funkcie obličiek.</w:t>
      </w:r>
    </w:p>
    <w:p w14:paraId="7678564F" w14:textId="77777777" w:rsidR="00D52504" w:rsidRPr="0012488B" w:rsidRDefault="00D52504" w:rsidP="00D52504">
      <w:pPr>
        <w:spacing w:line="240" w:lineRule="auto"/>
        <w:rPr>
          <w:szCs w:val="22"/>
          <w:lang w:val="sk-SK"/>
        </w:rPr>
      </w:pPr>
    </w:p>
    <w:p w14:paraId="0194041F" w14:textId="77777777" w:rsidR="00D52504" w:rsidRPr="0012488B" w:rsidRDefault="00D52504" w:rsidP="00D52504">
      <w:pPr>
        <w:spacing w:line="240" w:lineRule="auto"/>
        <w:rPr>
          <w:szCs w:val="22"/>
          <w:lang w:val="sk-SK"/>
        </w:rPr>
      </w:pPr>
      <w:r w:rsidRPr="0012488B">
        <w:rPr>
          <w:szCs w:val="22"/>
          <w:u w:val="single"/>
          <w:lang w:val="sk-SK"/>
        </w:rPr>
        <w:t>Baklofén</w:t>
      </w:r>
    </w:p>
    <w:p w14:paraId="266ED0A3" w14:textId="77777777" w:rsidR="00D52504" w:rsidRPr="0012488B" w:rsidRDefault="00D52504" w:rsidP="00D52504">
      <w:pPr>
        <w:spacing w:line="240" w:lineRule="auto"/>
        <w:rPr>
          <w:szCs w:val="22"/>
          <w:lang w:val="sk-SK"/>
        </w:rPr>
      </w:pPr>
      <w:r w:rsidRPr="0012488B">
        <w:rPr>
          <w:szCs w:val="22"/>
          <w:lang w:val="sk-SK"/>
        </w:rPr>
        <w:lastRenderedPageBreak/>
        <w:t>Zvýšený antihypertenzný účinok. Monitorovanie krvného tlaku a v prípade potreby úprava dávky antihypertenzíva.</w:t>
      </w:r>
    </w:p>
    <w:p w14:paraId="0446B99D" w14:textId="77777777" w:rsidR="00D52504" w:rsidRPr="0012488B" w:rsidRDefault="00D52504" w:rsidP="00D52504">
      <w:pPr>
        <w:spacing w:line="240" w:lineRule="auto"/>
        <w:rPr>
          <w:szCs w:val="22"/>
          <w:lang w:val="sk-SK"/>
        </w:rPr>
      </w:pPr>
    </w:p>
    <w:p w14:paraId="284B6416" w14:textId="77777777" w:rsidR="00D52504" w:rsidRPr="0012488B" w:rsidRDefault="00D52504" w:rsidP="00D52504">
      <w:pPr>
        <w:spacing w:line="240" w:lineRule="auto"/>
        <w:rPr>
          <w:szCs w:val="22"/>
          <w:lang w:val="sk-SK"/>
        </w:rPr>
      </w:pPr>
      <w:r w:rsidRPr="0012488B">
        <w:rPr>
          <w:szCs w:val="22"/>
          <w:u w:val="single"/>
          <w:lang w:val="sk-SK"/>
        </w:rPr>
        <w:t>Diuretiká nešetriace draslík</w:t>
      </w:r>
    </w:p>
    <w:p w14:paraId="6F4B69FB" w14:textId="77777777" w:rsidR="00D52504" w:rsidRPr="0012488B" w:rsidRDefault="00D52504" w:rsidP="00D52504">
      <w:pPr>
        <w:spacing w:line="240" w:lineRule="auto"/>
        <w:rPr>
          <w:szCs w:val="22"/>
          <w:lang w:val="sk-SK"/>
        </w:rPr>
      </w:pPr>
      <w:r w:rsidRPr="0012488B">
        <w:rPr>
          <w:szCs w:val="22"/>
          <w:lang w:val="sk-SK"/>
        </w:rPr>
        <w:t>U pacientov užívajúcich diuretiká a najmä u tých, ktorí majú depléciu objemu a/alebo solí, môže dôjsť k nadmernému poklesu krvného tlaku po začatí liečby ACE inhibítorom. Možnosť hypotenzných účinkov sa môže znížiť vysadením diuretika, zvýšením objemu alebo príjmu solí pred začatím liečby nízkymi a postupne sa zvyšujúcimi dávkami perindoprilu.</w:t>
      </w:r>
    </w:p>
    <w:p w14:paraId="3B2DBD67" w14:textId="77777777" w:rsidR="00D52504" w:rsidRPr="0012488B" w:rsidRDefault="00D52504" w:rsidP="00D52504">
      <w:pPr>
        <w:spacing w:line="240" w:lineRule="auto"/>
        <w:rPr>
          <w:szCs w:val="22"/>
          <w:lang w:val="sk-SK"/>
        </w:rPr>
      </w:pPr>
      <w:r w:rsidRPr="0012488B">
        <w:rPr>
          <w:szCs w:val="22"/>
          <w:lang w:val="sk-SK"/>
        </w:rPr>
        <w:t>Pri arteriálnej hypertenzii, kedy predchádzajúca liečba diuretikom môže spôsobiť depléciu solí/objemu, sa buď musí pred začatím liečby ACE inhibítorom vysadiť diuretikum, a v takom prípade sa potom môže znovu použiť diuretikum nešetriace draslík, alebo sa musí začať liečba ACE inhibítorom s nízkou a postupne sa zvyšujúcou dávkou.</w:t>
      </w:r>
    </w:p>
    <w:p w14:paraId="64C7FA59" w14:textId="77777777" w:rsidR="00D52504" w:rsidRPr="0012488B" w:rsidRDefault="00D52504" w:rsidP="00D52504">
      <w:pPr>
        <w:spacing w:line="240" w:lineRule="auto"/>
        <w:rPr>
          <w:szCs w:val="22"/>
          <w:lang w:val="sk-SK"/>
        </w:rPr>
      </w:pPr>
      <w:r w:rsidRPr="0012488B">
        <w:rPr>
          <w:szCs w:val="22"/>
          <w:lang w:val="sk-SK"/>
        </w:rPr>
        <w:t>Pri kongestívnom srdcovom zlyhaní liečenom diuretikom sa má začať liečba ACE inhibítorom s veľmi nízkou dávkou, prípadne po znížení dávky pridaného diuretika nešetriaceho draslík.</w:t>
      </w:r>
    </w:p>
    <w:p w14:paraId="66DC11AE" w14:textId="77777777" w:rsidR="00D52504" w:rsidRPr="0012488B" w:rsidRDefault="00D52504" w:rsidP="00D52504">
      <w:pPr>
        <w:tabs>
          <w:tab w:val="left" w:pos="0"/>
        </w:tabs>
        <w:spacing w:line="240" w:lineRule="auto"/>
        <w:rPr>
          <w:bCs/>
          <w:szCs w:val="22"/>
          <w:u w:val="single"/>
          <w:lang w:val="sk-SK"/>
        </w:rPr>
      </w:pPr>
      <w:r w:rsidRPr="0012488B">
        <w:rPr>
          <w:szCs w:val="22"/>
          <w:lang w:val="sk-SK"/>
        </w:rPr>
        <w:t>Vo všetkých prípadoch sa musí monitorovať funkcia obličiek (hladiny kreatinínu) počas prvých niekoľkých týždňov liečby ACE inhibítorom .</w:t>
      </w:r>
    </w:p>
    <w:p w14:paraId="239F28E3" w14:textId="77777777" w:rsidR="00D52504" w:rsidRPr="0012488B" w:rsidRDefault="00D52504" w:rsidP="00D52504">
      <w:pPr>
        <w:tabs>
          <w:tab w:val="left" w:pos="0"/>
        </w:tabs>
        <w:spacing w:line="240" w:lineRule="auto"/>
        <w:rPr>
          <w:bCs/>
          <w:szCs w:val="22"/>
          <w:u w:val="single"/>
          <w:lang w:val="sk-SK"/>
        </w:rPr>
      </w:pPr>
    </w:p>
    <w:p w14:paraId="2BF05CCA" w14:textId="77777777" w:rsidR="00D52504" w:rsidRPr="0012488B" w:rsidRDefault="00D52504" w:rsidP="00D52504">
      <w:pPr>
        <w:tabs>
          <w:tab w:val="left" w:pos="0"/>
        </w:tabs>
        <w:spacing w:line="240" w:lineRule="auto"/>
        <w:rPr>
          <w:bCs/>
          <w:szCs w:val="22"/>
          <w:u w:val="single"/>
          <w:lang w:val="sk-SK"/>
        </w:rPr>
      </w:pPr>
      <w:r w:rsidRPr="0012488B">
        <w:rPr>
          <w:bCs/>
          <w:szCs w:val="22"/>
          <w:u w:val="single"/>
          <w:lang w:val="sk-SK"/>
        </w:rPr>
        <w:t>Draslík šetriace diuretiká (eplerenón, spironolaktón)</w:t>
      </w:r>
    </w:p>
    <w:p w14:paraId="3F24806F" w14:textId="77777777" w:rsidR="00D52504" w:rsidRPr="0012488B" w:rsidRDefault="00D52504" w:rsidP="00D52504">
      <w:pPr>
        <w:spacing w:line="240" w:lineRule="auto"/>
        <w:rPr>
          <w:szCs w:val="22"/>
          <w:lang w:val="sk-SK"/>
        </w:rPr>
      </w:pPr>
      <w:r w:rsidRPr="0012488B">
        <w:rPr>
          <w:szCs w:val="22"/>
          <w:lang w:val="sk-SK"/>
        </w:rPr>
        <w:t>Eplerenón a spironolaktón v dávkach medzi 12,5 mg až 50 mg denne a nízke dávky ACE inhibítorov:</w:t>
      </w:r>
    </w:p>
    <w:p w14:paraId="765FEE00" w14:textId="77777777" w:rsidR="00D52504" w:rsidRPr="0012488B" w:rsidRDefault="00D52504" w:rsidP="00D52504">
      <w:pPr>
        <w:spacing w:line="240" w:lineRule="auto"/>
        <w:rPr>
          <w:szCs w:val="22"/>
          <w:lang w:val="sk-SK"/>
        </w:rPr>
      </w:pPr>
      <w:r w:rsidRPr="0012488B">
        <w:rPr>
          <w:szCs w:val="22"/>
          <w:lang w:val="sk-SK"/>
        </w:rPr>
        <w:t>Pri liečbe srdcového zlyhania triedy II - IV (NYHA) s ejekčnou frakciou &lt; 40 % a predtým liečbou ACE inhibítormi a slučkovými diuretikami je riziko hyperkaliémie potenciálne smrteľné, najmä v prípade nedodržania preskripčných odporúčaní týkajúcich sa tejto kombinácie.</w:t>
      </w:r>
    </w:p>
    <w:p w14:paraId="593A615F" w14:textId="77777777" w:rsidR="00D52504" w:rsidRPr="0012488B" w:rsidRDefault="00D52504" w:rsidP="00D52504">
      <w:pPr>
        <w:spacing w:line="240" w:lineRule="auto"/>
        <w:rPr>
          <w:szCs w:val="22"/>
          <w:lang w:val="sk-SK"/>
        </w:rPr>
      </w:pPr>
      <w:r w:rsidRPr="0012488B">
        <w:rPr>
          <w:szCs w:val="22"/>
          <w:lang w:val="sk-SK"/>
        </w:rPr>
        <w:t>Pred začatím liečby touto kombináciou skontrolujte absenciu hyperkaliémie a poruchy funkcie obličiek.</w:t>
      </w:r>
    </w:p>
    <w:p w14:paraId="2FB65E97" w14:textId="77777777" w:rsidR="00D52504" w:rsidRPr="0012488B" w:rsidRDefault="00D52504" w:rsidP="00D52504">
      <w:pPr>
        <w:spacing w:line="240" w:lineRule="auto"/>
        <w:rPr>
          <w:szCs w:val="22"/>
          <w:lang w:val="sk-SK"/>
        </w:rPr>
      </w:pPr>
      <w:r w:rsidRPr="0012488B">
        <w:rPr>
          <w:szCs w:val="22"/>
          <w:lang w:val="sk-SK"/>
        </w:rPr>
        <w:t>Dôkladné monitorovanie kaliémie a kreatinémie sa odporúča v prvom mesiaci liečby raz týždenne na začiatku a potom raz za mesiac.</w:t>
      </w:r>
    </w:p>
    <w:p w14:paraId="0257A1F9" w14:textId="77777777" w:rsidR="00D52504" w:rsidRPr="0012488B" w:rsidRDefault="00D52504" w:rsidP="00D52504">
      <w:pPr>
        <w:tabs>
          <w:tab w:val="left" w:pos="0"/>
        </w:tabs>
        <w:spacing w:line="240" w:lineRule="auto"/>
        <w:rPr>
          <w:bCs/>
          <w:szCs w:val="22"/>
          <w:u w:val="single"/>
          <w:lang w:val="sk-SK"/>
        </w:rPr>
      </w:pPr>
    </w:p>
    <w:p w14:paraId="76ED7C22" w14:textId="4073951A" w:rsidR="00D52504" w:rsidRPr="0012488B" w:rsidRDefault="009D5995" w:rsidP="00D52504">
      <w:pPr>
        <w:tabs>
          <w:tab w:val="left" w:pos="0"/>
        </w:tabs>
        <w:spacing w:line="240" w:lineRule="auto"/>
        <w:rPr>
          <w:bCs/>
          <w:szCs w:val="22"/>
          <w:u w:val="single"/>
          <w:lang w:val="sk-SK"/>
        </w:rPr>
      </w:pPr>
      <w:r w:rsidRPr="0012488B">
        <w:rPr>
          <w:szCs w:val="22"/>
          <w:u w:val="single"/>
          <w:lang w:val="sk-SK"/>
        </w:rPr>
        <w:t>N</w:t>
      </w:r>
      <w:r w:rsidR="00D52504" w:rsidRPr="0012488B">
        <w:rPr>
          <w:szCs w:val="22"/>
          <w:u w:val="single"/>
          <w:lang w:val="sk-SK"/>
        </w:rPr>
        <w:t xml:space="preserve">esteroidné protizápalové lieky (NSAIDs), vrátane kyseliny acetylsalicylovej </w:t>
      </w:r>
      <w:r w:rsidR="00D52504" w:rsidRPr="0012488B">
        <w:rPr>
          <w:szCs w:val="22"/>
          <w:u w:val="single"/>
          <w:lang w:val="sk-SK"/>
        </w:rPr>
        <w:sym w:font="Symbol" w:char="F0B3"/>
      </w:r>
      <w:r w:rsidR="00D52504" w:rsidRPr="0012488B">
        <w:rPr>
          <w:szCs w:val="22"/>
          <w:u w:val="single"/>
          <w:lang w:val="sk-SK"/>
        </w:rPr>
        <w:t xml:space="preserve"> 3 g/deň</w:t>
      </w:r>
    </w:p>
    <w:p w14:paraId="0FC02AC7" w14:textId="4008ABC1" w:rsidR="00D52504" w:rsidRPr="0012488B" w:rsidRDefault="00D52504" w:rsidP="00D52504">
      <w:pPr>
        <w:tabs>
          <w:tab w:val="left" w:pos="0"/>
        </w:tabs>
        <w:spacing w:line="240" w:lineRule="auto"/>
        <w:rPr>
          <w:szCs w:val="22"/>
          <w:lang w:val="sk-SK"/>
        </w:rPr>
      </w:pPr>
      <w:r w:rsidRPr="0012488B">
        <w:rPr>
          <w:szCs w:val="22"/>
          <w:lang w:val="sk-SK"/>
        </w:rPr>
        <w:t>Ak sa ACE inhibítory podávajú súbežne s  nesteroidnými protizápalovými liekmi</w:t>
      </w:r>
    </w:p>
    <w:p w14:paraId="5A35D99A" w14:textId="77777777" w:rsidR="00D52504" w:rsidRPr="0012488B" w:rsidRDefault="00D52504" w:rsidP="00D52504">
      <w:pPr>
        <w:tabs>
          <w:tab w:val="left" w:pos="0"/>
        </w:tabs>
        <w:spacing w:line="240" w:lineRule="auto"/>
        <w:rPr>
          <w:szCs w:val="22"/>
          <w:lang w:val="sk-SK"/>
        </w:rPr>
      </w:pPr>
      <w:r w:rsidRPr="0012488B" w:rsidDel="00AF1ED1">
        <w:rPr>
          <w:szCs w:val="22"/>
          <w:lang w:val="sk-SK"/>
        </w:rPr>
        <w:t xml:space="preserve"> </w:t>
      </w:r>
      <w:r w:rsidRPr="0012488B">
        <w:rPr>
          <w:szCs w:val="22"/>
          <w:lang w:val="sk-SK"/>
        </w:rPr>
        <w:t>(t.j. kyselina acetylsalicylová v protizápalových dávkovacích režimoch, COX-2 inhibítory a neselektívne NSAIDs), môže dôjsť k oslabeniu antihypertenzného účinku. Súbežné užívanie ACE inhibítorov a NSAIDs môže viesť k zvýšenému riziku zhoršenia funkcie obličiek, vrátane možnosti akútneho renálneho zlyhania, a k zvýšeniu sérových hladín draslíka, predovšetkým u pacientov s pre-existujúcim oslabením funkcie obličiek. Táto kombinácia sa má podávať opatrne, predovšetkým u starších pacientov. Pacienti majú byť primerane hydratovaní a má sa zvážiť monitorovanie renálnych funkcií po začatí súbežnej liečby a potom v pravidelných intervaloch.</w:t>
      </w:r>
    </w:p>
    <w:p w14:paraId="5EE9C375" w14:textId="77777777" w:rsidR="00D52504" w:rsidRPr="0012488B" w:rsidRDefault="00D52504" w:rsidP="00D52504">
      <w:pPr>
        <w:spacing w:line="240" w:lineRule="auto"/>
        <w:rPr>
          <w:szCs w:val="22"/>
          <w:lang w:val="sk-SK"/>
        </w:rPr>
      </w:pPr>
    </w:p>
    <w:p w14:paraId="48FC4987" w14:textId="77777777" w:rsidR="00D52504" w:rsidRPr="0012488B" w:rsidRDefault="00D52504" w:rsidP="00D52504">
      <w:pPr>
        <w:tabs>
          <w:tab w:val="left" w:pos="0"/>
        </w:tabs>
        <w:spacing w:line="240" w:lineRule="auto"/>
        <w:ind w:left="357" w:hanging="357"/>
        <w:rPr>
          <w:bCs/>
          <w:szCs w:val="22"/>
          <w:u w:val="single"/>
          <w:lang w:val="sk-SK"/>
        </w:rPr>
      </w:pPr>
      <w:r w:rsidRPr="0012488B">
        <w:rPr>
          <w:b/>
          <w:szCs w:val="22"/>
          <w:u w:val="single"/>
          <w:lang w:val="sk-SK"/>
        </w:rPr>
        <w:t>Súbežné použitie, ktoré vyžaduje určitú starostlivosť</w:t>
      </w:r>
    </w:p>
    <w:p w14:paraId="119D9AB6" w14:textId="77777777" w:rsidR="00D52504" w:rsidRPr="0012488B" w:rsidRDefault="00D52504" w:rsidP="00D52504">
      <w:pPr>
        <w:tabs>
          <w:tab w:val="left" w:pos="0"/>
        </w:tabs>
        <w:spacing w:line="240" w:lineRule="auto"/>
        <w:ind w:left="357" w:hanging="357"/>
        <w:rPr>
          <w:szCs w:val="22"/>
          <w:u w:val="single"/>
          <w:lang w:val="sk-SK"/>
        </w:rPr>
      </w:pPr>
    </w:p>
    <w:p w14:paraId="6644E359" w14:textId="77777777" w:rsidR="00D52504" w:rsidRPr="0012488B" w:rsidRDefault="00D52504" w:rsidP="00D52504">
      <w:pPr>
        <w:tabs>
          <w:tab w:val="left" w:pos="0"/>
        </w:tabs>
        <w:spacing w:line="240" w:lineRule="auto"/>
        <w:ind w:left="357" w:hanging="357"/>
        <w:rPr>
          <w:bCs/>
          <w:szCs w:val="22"/>
          <w:u w:val="single"/>
          <w:lang w:val="sk-SK"/>
        </w:rPr>
      </w:pPr>
      <w:r w:rsidRPr="0012488B">
        <w:rPr>
          <w:szCs w:val="22"/>
          <w:u w:val="single"/>
          <w:lang w:val="sk-SK"/>
        </w:rPr>
        <w:t>Antihypertenzíva a vazodilatanciá</w:t>
      </w:r>
    </w:p>
    <w:p w14:paraId="7BD2C61D" w14:textId="77777777" w:rsidR="00D52504" w:rsidRPr="0012488B" w:rsidRDefault="00D52504" w:rsidP="00D52504">
      <w:pPr>
        <w:spacing w:line="240" w:lineRule="auto"/>
        <w:rPr>
          <w:szCs w:val="22"/>
          <w:lang w:val="sk-SK"/>
        </w:rPr>
      </w:pPr>
      <w:r w:rsidRPr="0012488B">
        <w:rPr>
          <w:szCs w:val="22"/>
          <w:lang w:val="sk-SK"/>
        </w:rPr>
        <w:t>Súbežné použitie týchto liekov môže zvyšovať hypotenzný účinok perindoprilu. Súbežné použitie s nitroglycerínom a inými nitrátmi alebo inými vazodilatanciami môže viesť k ďalšiemu zníženiu tlaku krvi.</w:t>
      </w:r>
    </w:p>
    <w:p w14:paraId="60073F3E" w14:textId="77777777" w:rsidR="00D52504" w:rsidRPr="0012488B" w:rsidRDefault="00D52504" w:rsidP="00D52504">
      <w:pPr>
        <w:pStyle w:val="nr2g"/>
        <w:tabs>
          <w:tab w:val="left" w:pos="0"/>
        </w:tabs>
        <w:ind w:left="0"/>
        <w:jc w:val="left"/>
        <w:rPr>
          <w:bCs/>
          <w:sz w:val="22"/>
          <w:szCs w:val="22"/>
          <w:u w:val="single"/>
          <w:lang w:val="sk-SK"/>
        </w:rPr>
      </w:pPr>
    </w:p>
    <w:p w14:paraId="11121F58" w14:textId="77777777" w:rsidR="005642DA" w:rsidRPr="0012488B" w:rsidRDefault="005642DA" w:rsidP="005642DA">
      <w:pPr>
        <w:tabs>
          <w:tab w:val="clear" w:pos="567"/>
        </w:tabs>
        <w:spacing w:line="240" w:lineRule="auto"/>
        <w:jc w:val="both"/>
        <w:rPr>
          <w:szCs w:val="22"/>
          <w:lang w:val="sk-SK" w:eastAsia="cs-CZ"/>
        </w:rPr>
      </w:pPr>
      <w:r w:rsidRPr="0012488B">
        <w:rPr>
          <w:szCs w:val="22"/>
          <w:u w:val="single"/>
          <w:lang w:val="sk-SK" w:eastAsia="cs-CZ"/>
        </w:rPr>
        <w:t>Gliptíny (linagliptín, saxagliptín, sitagliptín, vildagliptín)</w:t>
      </w:r>
    </w:p>
    <w:p w14:paraId="7F492312" w14:textId="5E6FC8E8" w:rsidR="005642DA" w:rsidRPr="0012488B" w:rsidRDefault="005642DA" w:rsidP="005642DA">
      <w:pPr>
        <w:pStyle w:val="nr2g"/>
        <w:tabs>
          <w:tab w:val="left" w:pos="0"/>
        </w:tabs>
        <w:ind w:left="0"/>
        <w:jc w:val="left"/>
        <w:rPr>
          <w:sz w:val="22"/>
          <w:szCs w:val="22"/>
          <w:lang w:val="sk-SK" w:eastAsia="cs-CZ"/>
        </w:rPr>
      </w:pPr>
      <w:r w:rsidRPr="0012488B">
        <w:rPr>
          <w:sz w:val="22"/>
          <w:szCs w:val="22"/>
          <w:lang w:val="sk-SK" w:eastAsia="cs-CZ"/>
        </w:rPr>
        <w:t>Zvýšen</w:t>
      </w:r>
      <w:r w:rsidR="00864DF6" w:rsidRPr="0012488B">
        <w:rPr>
          <w:sz w:val="22"/>
          <w:szCs w:val="22"/>
          <w:lang w:val="sk-SK" w:eastAsia="cs-CZ"/>
        </w:rPr>
        <w:t>ie</w:t>
      </w:r>
      <w:r w:rsidRPr="0012488B">
        <w:rPr>
          <w:sz w:val="22"/>
          <w:szCs w:val="22"/>
          <w:lang w:val="sk-SK" w:eastAsia="cs-CZ"/>
        </w:rPr>
        <w:t xml:space="preserve"> rizik</w:t>
      </w:r>
      <w:r w:rsidR="00864DF6" w:rsidRPr="0012488B">
        <w:rPr>
          <w:sz w:val="22"/>
          <w:szCs w:val="22"/>
          <w:lang w:val="sk-SK" w:eastAsia="cs-CZ"/>
        </w:rPr>
        <w:t>a</w:t>
      </w:r>
      <w:r w:rsidRPr="0012488B">
        <w:rPr>
          <w:sz w:val="22"/>
          <w:szCs w:val="22"/>
          <w:lang w:val="sk-SK" w:eastAsia="cs-CZ"/>
        </w:rPr>
        <w:t xml:space="preserve"> angioedému, vzhľadom</w:t>
      </w:r>
      <w:r w:rsidR="00864DF6" w:rsidRPr="0012488B">
        <w:rPr>
          <w:sz w:val="22"/>
          <w:szCs w:val="22"/>
          <w:lang w:val="sk-SK" w:eastAsia="cs-CZ"/>
        </w:rPr>
        <w:t xml:space="preserve"> na gliptínom spôsobené zníženie aktivity</w:t>
      </w:r>
      <w:r w:rsidRPr="0012488B">
        <w:rPr>
          <w:sz w:val="22"/>
          <w:szCs w:val="22"/>
          <w:lang w:val="sk-SK" w:eastAsia="cs-CZ"/>
        </w:rPr>
        <w:t xml:space="preserve">  dipeptidylpeptidáz</w:t>
      </w:r>
      <w:r w:rsidR="00864DF6" w:rsidRPr="0012488B">
        <w:rPr>
          <w:sz w:val="22"/>
          <w:szCs w:val="22"/>
          <w:lang w:val="sk-SK" w:eastAsia="cs-CZ"/>
        </w:rPr>
        <w:t>y</w:t>
      </w:r>
      <w:r w:rsidRPr="0012488B">
        <w:rPr>
          <w:sz w:val="22"/>
          <w:szCs w:val="22"/>
          <w:lang w:val="sk-SK" w:eastAsia="cs-CZ"/>
        </w:rPr>
        <w:t xml:space="preserve"> IV (DPP-IV) u pacientov súbežne liečených inhibítorom ACE.</w:t>
      </w:r>
    </w:p>
    <w:p w14:paraId="33D35AE8" w14:textId="77777777" w:rsidR="00D52504" w:rsidRPr="0012488B" w:rsidRDefault="00D52504" w:rsidP="00D52504">
      <w:pPr>
        <w:pStyle w:val="Hlavika"/>
        <w:tabs>
          <w:tab w:val="left" w:pos="540"/>
        </w:tabs>
        <w:rPr>
          <w:rFonts w:ascii="Times New Roman" w:hAnsi="Times New Roman"/>
          <w:bCs/>
          <w:iCs/>
          <w:sz w:val="22"/>
          <w:szCs w:val="22"/>
          <w:u w:val="single"/>
          <w:lang w:val="sk-SK"/>
        </w:rPr>
      </w:pPr>
    </w:p>
    <w:p w14:paraId="4E534960" w14:textId="7194210D" w:rsidR="00D52504" w:rsidRPr="0012488B" w:rsidRDefault="00D52504" w:rsidP="00D52504">
      <w:pPr>
        <w:pStyle w:val="Hlavika"/>
        <w:tabs>
          <w:tab w:val="left" w:pos="540"/>
        </w:tabs>
        <w:rPr>
          <w:rFonts w:ascii="Times New Roman" w:hAnsi="Times New Roman"/>
          <w:bCs/>
          <w:iCs/>
          <w:sz w:val="22"/>
          <w:szCs w:val="22"/>
          <w:u w:val="single"/>
          <w:lang w:val="sk-SK"/>
        </w:rPr>
      </w:pPr>
      <w:r w:rsidRPr="0012488B">
        <w:rPr>
          <w:rFonts w:ascii="Times New Roman" w:hAnsi="Times New Roman"/>
          <w:sz w:val="22"/>
          <w:szCs w:val="22"/>
          <w:u w:val="single"/>
          <w:lang w:val="sk-SK"/>
        </w:rPr>
        <w:t>Tricyklické antidepresíva/</w:t>
      </w:r>
      <w:r w:rsidR="009D5995" w:rsidRPr="0012488B">
        <w:rPr>
          <w:rFonts w:ascii="Times New Roman" w:hAnsi="Times New Roman"/>
          <w:sz w:val="22"/>
          <w:szCs w:val="22"/>
          <w:u w:val="single"/>
          <w:lang w:val="sk-SK"/>
        </w:rPr>
        <w:t>a</w:t>
      </w:r>
      <w:r w:rsidRPr="0012488B">
        <w:rPr>
          <w:rFonts w:ascii="Times New Roman" w:hAnsi="Times New Roman"/>
          <w:sz w:val="22"/>
          <w:szCs w:val="22"/>
          <w:u w:val="single"/>
          <w:lang w:val="sk-SK"/>
        </w:rPr>
        <w:t>ntipsychotiká/</w:t>
      </w:r>
      <w:r w:rsidR="009D5995" w:rsidRPr="0012488B">
        <w:rPr>
          <w:rFonts w:ascii="Times New Roman" w:hAnsi="Times New Roman"/>
          <w:sz w:val="22"/>
          <w:szCs w:val="22"/>
          <w:u w:val="single"/>
          <w:lang w:val="sk-SK"/>
        </w:rPr>
        <w:t>a</w:t>
      </w:r>
      <w:r w:rsidRPr="0012488B">
        <w:rPr>
          <w:rFonts w:ascii="Times New Roman" w:hAnsi="Times New Roman"/>
          <w:sz w:val="22"/>
          <w:szCs w:val="22"/>
          <w:u w:val="single"/>
          <w:lang w:val="sk-SK"/>
        </w:rPr>
        <w:t>nestetiká</w:t>
      </w:r>
    </w:p>
    <w:p w14:paraId="6C32D292" w14:textId="77777777" w:rsidR="00D52504" w:rsidRPr="0012488B" w:rsidRDefault="00D52504" w:rsidP="00D52504">
      <w:pPr>
        <w:tabs>
          <w:tab w:val="left" w:pos="540"/>
        </w:tabs>
        <w:spacing w:line="240" w:lineRule="auto"/>
        <w:rPr>
          <w:szCs w:val="22"/>
          <w:lang w:val="sk-SK"/>
        </w:rPr>
      </w:pPr>
      <w:r w:rsidRPr="0012488B">
        <w:rPr>
          <w:szCs w:val="22"/>
          <w:lang w:val="sk-SK"/>
        </w:rPr>
        <w:t>Súbežné použitie určitých anestetík, tricyklických antidepresív a antipsychotík spolu s ACE inhibítormi  môže viesť k ďalšiemu zníženiu tlaku krvi (pozri časť 4.4).</w:t>
      </w:r>
    </w:p>
    <w:p w14:paraId="74C51E0D" w14:textId="77777777" w:rsidR="00D52504" w:rsidRPr="0012488B" w:rsidRDefault="00D52504" w:rsidP="00D52504">
      <w:pPr>
        <w:pStyle w:val="Nadpis5"/>
        <w:spacing w:line="240" w:lineRule="auto"/>
        <w:jc w:val="left"/>
        <w:rPr>
          <w:szCs w:val="22"/>
          <w:u w:val="single"/>
          <w:lang w:val="sk-SK"/>
        </w:rPr>
      </w:pPr>
    </w:p>
    <w:p w14:paraId="491ED208" w14:textId="77777777" w:rsidR="00D52504" w:rsidRPr="0012488B" w:rsidRDefault="00D52504" w:rsidP="00D52504">
      <w:pPr>
        <w:pStyle w:val="Nadpis5"/>
        <w:spacing w:line="240" w:lineRule="auto"/>
        <w:jc w:val="left"/>
        <w:rPr>
          <w:szCs w:val="22"/>
          <w:u w:val="single"/>
          <w:lang w:val="sk-SK"/>
        </w:rPr>
      </w:pPr>
      <w:r w:rsidRPr="0012488B">
        <w:rPr>
          <w:szCs w:val="22"/>
          <w:u w:val="single"/>
          <w:lang w:val="sk-SK"/>
        </w:rPr>
        <w:t>Sympatomimetiká</w:t>
      </w:r>
    </w:p>
    <w:p w14:paraId="3E6C59BE" w14:textId="77777777" w:rsidR="00D52504" w:rsidRPr="0012488B" w:rsidRDefault="00D52504" w:rsidP="00D52504">
      <w:pPr>
        <w:pStyle w:val="EMEAEnBodyText"/>
        <w:tabs>
          <w:tab w:val="left" w:pos="0"/>
          <w:tab w:val="left" w:pos="567"/>
        </w:tabs>
        <w:spacing w:before="0" w:after="0"/>
        <w:jc w:val="left"/>
        <w:rPr>
          <w:bCs/>
          <w:iCs/>
          <w:szCs w:val="22"/>
          <w:lang w:val="sk-SK"/>
        </w:rPr>
      </w:pPr>
      <w:r w:rsidRPr="0012488B">
        <w:rPr>
          <w:szCs w:val="22"/>
          <w:lang w:val="sk-SK"/>
        </w:rPr>
        <w:t>Sympatomimetiká môžu znížiť antihypertenzný účinok ACE inhibítorov</w:t>
      </w:r>
      <w:r w:rsidRPr="0012488B">
        <w:rPr>
          <w:bCs/>
          <w:iCs/>
          <w:szCs w:val="22"/>
          <w:lang w:val="sk-SK"/>
        </w:rPr>
        <w:t>.</w:t>
      </w:r>
    </w:p>
    <w:p w14:paraId="5DBBA9E2" w14:textId="77777777" w:rsidR="00D52504" w:rsidRPr="0012488B" w:rsidRDefault="00D52504" w:rsidP="00D52504">
      <w:pPr>
        <w:pStyle w:val="nr2g"/>
        <w:tabs>
          <w:tab w:val="left" w:pos="0"/>
        </w:tabs>
        <w:ind w:left="0"/>
        <w:jc w:val="left"/>
        <w:rPr>
          <w:bCs/>
          <w:iCs/>
          <w:sz w:val="22"/>
          <w:szCs w:val="22"/>
          <w:u w:val="single"/>
          <w:lang w:val="sk-SK"/>
        </w:rPr>
      </w:pPr>
    </w:p>
    <w:p w14:paraId="03713778" w14:textId="77777777" w:rsidR="00D52504" w:rsidRPr="0012488B" w:rsidRDefault="00D52504" w:rsidP="00D52504">
      <w:pPr>
        <w:pStyle w:val="EMEAEnBodyText"/>
        <w:tabs>
          <w:tab w:val="left" w:pos="567"/>
        </w:tabs>
        <w:spacing w:before="0" w:after="0"/>
        <w:jc w:val="left"/>
        <w:rPr>
          <w:szCs w:val="22"/>
          <w:u w:val="single"/>
          <w:lang w:val="sk-SK"/>
        </w:rPr>
      </w:pPr>
      <w:r w:rsidRPr="0012488B">
        <w:rPr>
          <w:szCs w:val="22"/>
          <w:u w:val="single"/>
          <w:lang w:val="sk-SK"/>
        </w:rPr>
        <w:t>Zlato</w:t>
      </w:r>
    </w:p>
    <w:p w14:paraId="2969AD71" w14:textId="0794256A" w:rsidR="00D52504" w:rsidRPr="0012488B" w:rsidRDefault="00D52504" w:rsidP="00D52504">
      <w:pPr>
        <w:pStyle w:val="EMEAEnBodyText"/>
        <w:tabs>
          <w:tab w:val="left" w:pos="567"/>
        </w:tabs>
        <w:spacing w:before="0" w:after="0"/>
        <w:jc w:val="left"/>
        <w:rPr>
          <w:szCs w:val="22"/>
          <w:lang w:val="sk-SK"/>
        </w:rPr>
      </w:pPr>
      <w:r w:rsidRPr="0012488B">
        <w:rPr>
          <w:szCs w:val="22"/>
          <w:lang w:val="sk-SK"/>
        </w:rPr>
        <w:t>Nitritoidné reakcie (symptómy zahŕňajú červen</w:t>
      </w:r>
      <w:r w:rsidR="00864DF6" w:rsidRPr="0012488B">
        <w:rPr>
          <w:szCs w:val="22"/>
          <w:lang w:val="sk-SK"/>
        </w:rPr>
        <w:t>e</w:t>
      </w:r>
      <w:r w:rsidRPr="0012488B">
        <w:rPr>
          <w:szCs w:val="22"/>
          <w:lang w:val="sk-SK"/>
        </w:rPr>
        <w:t>nie tváre, nauzeu, vracanie a hypotenziu) boli zriedkavo hlásené u pacientov liečených</w:t>
      </w:r>
      <w:r w:rsidR="009D5995" w:rsidRPr="0012488B">
        <w:rPr>
          <w:szCs w:val="22"/>
          <w:lang w:val="sk-SK"/>
        </w:rPr>
        <w:t xml:space="preserve"> súbežne</w:t>
      </w:r>
      <w:r w:rsidRPr="0012488B">
        <w:rPr>
          <w:szCs w:val="22"/>
          <w:lang w:val="sk-SK"/>
        </w:rPr>
        <w:t xml:space="preserve"> injekčným zlatom (aurotiomalát sodný) a ACE inhibítormi vrátane perindoprilu.</w:t>
      </w:r>
    </w:p>
    <w:p w14:paraId="562FA064" w14:textId="77777777" w:rsidR="00D52504" w:rsidRPr="0012488B" w:rsidRDefault="00D52504" w:rsidP="00D52504">
      <w:pPr>
        <w:spacing w:line="240" w:lineRule="auto"/>
        <w:rPr>
          <w:b/>
          <w:szCs w:val="22"/>
          <w:lang w:val="sk-SK"/>
        </w:rPr>
      </w:pPr>
    </w:p>
    <w:p w14:paraId="7C28FC15" w14:textId="77777777" w:rsidR="00D52504" w:rsidRPr="0012488B" w:rsidRDefault="00D52504" w:rsidP="00D52504">
      <w:pPr>
        <w:spacing w:line="240" w:lineRule="auto"/>
        <w:rPr>
          <w:b/>
          <w:szCs w:val="22"/>
          <w:lang w:val="sk-SK"/>
        </w:rPr>
      </w:pPr>
      <w:r w:rsidRPr="0012488B">
        <w:rPr>
          <w:b/>
          <w:szCs w:val="22"/>
          <w:lang w:val="sk-SK"/>
        </w:rPr>
        <w:t>4.6</w:t>
      </w:r>
      <w:r w:rsidRPr="0012488B">
        <w:rPr>
          <w:b/>
          <w:szCs w:val="22"/>
          <w:lang w:val="sk-SK"/>
        </w:rPr>
        <w:tab/>
        <w:t>Fertilita, gravidita a laktácia</w:t>
      </w:r>
    </w:p>
    <w:p w14:paraId="4B5BB713" w14:textId="77777777" w:rsidR="00D52504" w:rsidRPr="0012488B" w:rsidRDefault="00D52504" w:rsidP="00D52504">
      <w:pPr>
        <w:spacing w:line="240" w:lineRule="auto"/>
        <w:rPr>
          <w:bCs/>
          <w:szCs w:val="22"/>
          <w:u w:val="single"/>
          <w:lang w:val="sk-SK"/>
        </w:rPr>
      </w:pPr>
    </w:p>
    <w:p w14:paraId="188B4113" w14:textId="77777777" w:rsidR="00D52504" w:rsidRPr="0012488B" w:rsidRDefault="00D52504" w:rsidP="00D52504">
      <w:pPr>
        <w:spacing w:line="240" w:lineRule="auto"/>
        <w:rPr>
          <w:bCs/>
          <w:szCs w:val="22"/>
          <w:u w:val="single"/>
          <w:lang w:val="sk-SK"/>
        </w:rPr>
      </w:pPr>
      <w:r w:rsidRPr="0012488B">
        <w:rPr>
          <w:bCs/>
          <w:szCs w:val="22"/>
          <w:u w:val="single"/>
          <w:lang w:val="sk-SK"/>
        </w:rPr>
        <w:t>Gravidita</w:t>
      </w:r>
    </w:p>
    <w:p w14:paraId="314C4255" w14:textId="77777777" w:rsidR="00D52504" w:rsidRPr="0012488B" w:rsidRDefault="00D52504" w:rsidP="00D52504">
      <w:pPr>
        <w:spacing w:line="240" w:lineRule="auto"/>
        <w:rPr>
          <w:bCs/>
          <w:szCs w:val="22"/>
          <w:u w:val="single"/>
          <w:lang w:val="sk-SK"/>
        </w:rPr>
      </w:pPr>
    </w:p>
    <w:p w14:paraId="559974D8" w14:textId="77777777" w:rsidR="00D52504" w:rsidRPr="0012488B" w:rsidRDefault="00D52504" w:rsidP="00D52504">
      <w:pPr>
        <w:pBdr>
          <w:top w:val="single" w:sz="4" w:space="1" w:color="auto"/>
          <w:left w:val="single" w:sz="4" w:space="4" w:color="auto"/>
          <w:bottom w:val="single" w:sz="4" w:space="1" w:color="auto"/>
          <w:right w:val="single" w:sz="4" w:space="4" w:color="auto"/>
        </w:pBdr>
        <w:spacing w:line="240" w:lineRule="auto"/>
        <w:rPr>
          <w:bCs/>
          <w:szCs w:val="22"/>
          <w:lang w:val="sk-SK"/>
        </w:rPr>
      </w:pPr>
      <w:r w:rsidRPr="0012488B">
        <w:rPr>
          <w:bCs/>
          <w:szCs w:val="22"/>
          <w:lang w:val="sk-SK"/>
        </w:rPr>
        <w:t xml:space="preserve">Používanie ACE inhibítorov sa neodporúča počas prvého trimestra gravidity (pozri časť 4.4). Používanie ACE inhibítorov </w:t>
      </w:r>
      <w:r w:rsidRPr="0012488B">
        <w:rPr>
          <w:szCs w:val="22"/>
          <w:lang w:val="sk-SK"/>
        </w:rPr>
        <w:t>je kontraindikované počas 2. a 3. trimestra gravidity (pozri časti 4.3 a 4.4).</w:t>
      </w:r>
    </w:p>
    <w:p w14:paraId="7B24649F" w14:textId="77777777" w:rsidR="00D52504" w:rsidRPr="0012488B" w:rsidRDefault="00D52504" w:rsidP="00D52504">
      <w:pPr>
        <w:spacing w:line="240" w:lineRule="auto"/>
        <w:rPr>
          <w:szCs w:val="22"/>
          <w:lang w:val="sk-SK"/>
        </w:rPr>
      </w:pPr>
    </w:p>
    <w:p w14:paraId="3E352604" w14:textId="57259838" w:rsidR="00D52504" w:rsidRPr="0012488B" w:rsidRDefault="00D52504" w:rsidP="00D52504">
      <w:pPr>
        <w:spacing w:line="240" w:lineRule="auto"/>
        <w:rPr>
          <w:szCs w:val="22"/>
          <w:lang w:val="sk-SK"/>
        </w:rPr>
      </w:pPr>
      <w:r w:rsidRPr="0012488B">
        <w:rPr>
          <w:szCs w:val="22"/>
          <w:lang w:val="sk-SK"/>
        </w:rPr>
        <w:t xml:space="preserve">Epidemiologický dôkaz týkajúci sa rizika </w:t>
      </w:r>
      <w:r w:rsidR="005642DA" w:rsidRPr="0012488B">
        <w:rPr>
          <w:szCs w:val="22"/>
          <w:lang w:val="sk-SK"/>
        </w:rPr>
        <w:t>teratogenit</w:t>
      </w:r>
      <w:r w:rsidR="00864DF6" w:rsidRPr="0012488B">
        <w:rPr>
          <w:szCs w:val="22"/>
          <w:lang w:val="sk-SK"/>
        </w:rPr>
        <w:t>y</w:t>
      </w:r>
      <w:r w:rsidR="005642DA" w:rsidRPr="0012488B">
        <w:rPr>
          <w:szCs w:val="22"/>
          <w:lang w:val="sk-SK"/>
        </w:rPr>
        <w:t xml:space="preserve"> </w:t>
      </w:r>
      <w:r w:rsidRPr="0012488B">
        <w:rPr>
          <w:szCs w:val="22"/>
          <w:lang w:val="sk-SK"/>
        </w:rPr>
        <w:t xml:space="preserve">po expozícii ACE inhibítorom počas prvého trimestra gravidity nebol presvedčivý; malé zvýšenie rizika však nemožno vylúčiť. Pokiaľ sa pokračovanie v liečbe ACE inhibítorom nepovažuje za nevyhnutné, pacientky, ktoré plánujú otehotnieť, majú prejsť na alternatívnu antihypertenznú liečbu, ktorá má stanovený profil bezpečnosti </w:t>
      </w:r>
      <w:r w:rsidR="005642DA" w:rsidRPr="0012488B">
        <w:rPr>
          <w:szCs w:val="22"/>
          <w:lang w:val="sk-SK"/>
        </w:rPr>
        <w:t xml:space="preserve">na </w:t>
      </w:r>
      <w:r w:rsidRPr="0012488B">
        <w:rPr>
          <w:szCs w:val="22"/>
          <w:lang w:val="sk-SK"/>
        </w:rPr>
        <w:t>používanie v gravidite. V prípade diagnostikovanej gravidity sa má okamžite prerušiť liečba ACE inhibítormi a ak je to vhodné, začať alternatívnu liečbu.</w:t>
      </w:r>
    </w:p>
    <w:p w14:paraId="180043D8" w14:textId="37F77F27" w:rsidR="00D52504" w:rsidRPr="0012488B" w:rsidRDefault="00D52504" w:rsidP="00D52504">
      <w:pPr>
        <w:spacing w:line="240" w:lineRule="auto"/>
        <w:rPr>
          <w:szCs w:val="22"/>
          <w:lang w:val="sk-SK"/>
        </w:rPr>
      </w:pPr>
      <w:r w:rsidRPr="0012488B">
        <w:rPr>
          <w:szCs w:val="22"/>
          <w:lang w:val="sk-SK"/>
        </w:rPr>
        <w:t>Je známe, že expozícia liečb</w:t>
      </w:r>
      <w:r w:rsidR="005642DA" w:rsidRPr="0012488B">
        <w:rPr>
          <w:szCs w:val="22"/>
          <w:lang w:val="sk-SK"/>
        </w:rPr>
        <w:t>e</w:t>
      </w:r>
      <w:r w:rsidRPr="0012488B">
        <w:rPr>
          <w:szCs w:val="22"/>
          <w:lang w:val="sk-SK"/>
        </w:rPr>
        <w:t xml:space="preserve"> ACE inhibítorom počas druhého a tretieho trimestra vyvoláva </w:t>
      </w:r>
      <w:r w:rsidR="00FA4D87" w:rsidRPr="0012488B">
        <w:rPr>
          <w:szCs w:val="22"/>
          <w:lang w:val="sk-SK"/>
        </w:rPr>
        <w:t xml:space="preserve">u ľudí </w:t>
      </w:r>
      <w:r w:rsidRPr="0012488B">
        <w:rPr>
          <w:szCs w:val="22"/>
          <w:lang w:val="sk-SK"/>
        </w:rPr>
        <w:t>fetotoxicitu (znížené renálne funkcie, oligohydramnion, spomalenie osifikácie lebky) a neonatálnu toxicitu (renálne zlyhanie, hypotenzia, hyperkaliémia) (pozri časť 5.3). Ak by došlo k expozícii ACE inhibítor</w:t>
      </w:r>
      <w:r w:rsidR="00205CB7" w:rsidRPr="0012488B">
        <w:rPr>
          <w:szCs w:val="22"/>
          <w:lang w:val="sk-SK"/>
        </w:rPr>
        <w:t>u</w:t>
      </w:r>
      <w:r w:rsidRPr="0012488B">
        <w:rPr>
          <w:szCs w:val="22"/>
          <w:lang w:val="sk-SK"/>
        </w:rPr>
        <w:t xml:space="preserve"> od druhého trimestra gravidity, odporúča sa vykonať ultrazvukovú kontrolu renálnych funkcií a lebky. </w:t>
      </w:r>
    </w:p>
    <w:p w14:paraId="5D376785" w14:textId="77777777" w:rsidR="00D52504" w:rsidRPr="0012488B" w:rsidRDefault="00D52504" w:rsidP="00D52504">
      <w:pPr>
        <w:spacing w:line="240" w:lineRule="auto"/>
        <w:rPr>
          <w:szCs w:val="22"/>
          <w:lang w:val="sk-SK"/>
        </w:rPr>
      </w:pPr>
      <w:r w:rsidRPr="0012488B">
        <w:rPr>
          <w:szCs w:val="22"/>
          <w:lang w:val="sk-SK"/>
        </w:rPr>
        <w:t>U dojčiat, ktorých matky užívali ACE inhibítory, sa má starostlivo sledovať hypotenzia (pozri tiež časti 4.3 a 4.4).</w:t>
      </w:r>
    </w:p>
    <w:p w14:paraId="318B400B" w14:textId="77777777" w:rsidR="00D52504" w:rsidRPr="0012488B" w:rsidRDefault="00D52504" w:rsidP="00D52504">
      <w:pPr>
        <w:spacing w:line="240" w:lineRule="auto"/>
        <w:rPr>
          <w:bCs/>
          <w:szCs w:val="22"/>
          <w:u w:val="single"/>
          <w:lang w:val="sk-SK"/>
        </w:rPr>
      </w:pPr>
    </w:p>
    <w:p w14:paraId="4624C0F6" w14:textId="77777777" w:rsidR="00D52504" w:rsidRPr="0012488B" w:rsidRDefault="00D52504" w:rsidP="00D52504">
      <w:pPr>
        <w:spacing w:line="240" w:lineRule="auto"/>
        <w:rPr>
          <w:bCs/>
          <w:szCs w:val="22"/>
          <w:u w:val="single"/>
          <w:lang w:val="sk-SK"/>
        </w:rPr>
      </w:pPr>
      <w:r w:rsidRPr="0012488B">
        <w:rPr>
          <w:bCs/>
          <w:szCs w:val="22"/>
          <w:u w:val="single"/>
          <w:lang w:val="sk-SK"/>
        </w:rPr>
        <w:t>Dojčenie</w:t>
      </w:r>
    </w:p>
    <w:p w14:paraId="0B0B647A" w14:textId="77777777" w:rsidR="00D52504" w:rsidRPr="0012488B" w:rsidRDefault="00D52504" w:rsidP="00D52504">
      <w:pPr>
        <w:spacing w:line="240" w:lineRule="auto"/>
        <w:rPr>
          <w:szCs w:val="22"/>
          <w:lang w:val="sk-SK"/>
        </w:rPr>
      </w:pPr>
      <w:r w:rsidRPr="0012488B">
        <w:rPr>
          <w:szCs w:val="22"/>
          <w:lang w:val="sk-SK"/>
        </w:rPr>
        <w:t>Pretože nie sú dostupné žiadne informácie týkajúce sa užívania P</w:t>
      </w:r>
      <w:r w:rsidRPr="0012488B">
        <w:rPr>
          <w:bCs/>
          <w:iCs/>
          <w:szCs w:val="22"/>
          <w:lang w:val="sk-SK"/>
        </w:rPr>
        <w:t xml:space="preserve">erindoprilu Actavis </w:t>
      </w:r>
      <w:r w:rsidRPr="0012488B">
        <w:rPr>
          <w:szCs w:val="22"/>
          <w:lang w:val="sk-SK"/>
        </w:rPr>
        <w:t>počas dojčenia, P</w:t>
      </w:r>
      <w:r w:rsidRPr="0012488B">
        <w:rPr>
          <w:bCs/>
          <w:iCs/>
          <w:szCs w:val="22"/>
          <w:lang w:val="sk-SK"/>
        </w:rPr>
        <w:t xml:space="preserve">erindopril Actavis </w:t>
      </w:r>
      <w:r w:rsidRPr="0012488B">
        <w:rPr>
          <w:szCs w:val="22"/>
          <w:lang w:val="sk-SK"/>
        </w:rPr>
        <w:t>sa neodporúča a uprednostňuje sa alternatívna liečba s lepšie stanoveným profilom bezpečnosti počas dojčenia, najmä počas dojčenia novorodenca alebo predčasne narodeného dieťaťa.</w:t>
      </w:r>
    </w:p>
    <w:p w14:paraId="4F1A5E42" w14:textId="77777777" w:rsidR="00D52504" w:rsidRPr="0012488B" w:rsidRDefault="00D52504" w:rsidP="00D52504">
      <w:pPr>
        <w:spacing w:line="240" w:lineRule="auto"/>
        <w:rPr>
          <w:szCs w:val="22"/>
          <w:lang w:val="sk-SK"/>
        </w:rPr>
      </w:pPr>
    </w:p>
    <w:p w14:paraId="419EDDD2" w14:textId="77777777" w:rsidR="00D52504" w:rsidRPr="0012488B" w:rsidRDefault="00D52504" w:rsidP="00D52504">
      <w:pPr>
        <w:spacing w:line="240" w:lineRule="auto"/>
        <w:rPr>
          <w:szCs w:val="22"/>
          <w:lang w:val="sk-SK"/>
        </w:rPr>
      </w:pPr>
      <w:r w:rsidRPr="0012488B">
        <w:rPr>
          <w:szCs w:val="22"/>
          <w:u w:val="single"/>
          <w:lang w:val="sk-SK"/>
        </w:rPr>
        <w:t>Fertilita</w:t>
      </w:r>
    </w:p>
    <w:p w14:paraId="06B0A4F3" w14:textId="77777777" w:rsidR="00D52504" w:rsidRPr="0012488B" w:rsidRDefault="00D52504" w:rsidP="00D52504">
      <w:pPr>
        <w:spacing w:line="240" w:lineRule="auto"/>
        <w:rPr>
          <w:szCs w:val="22"/>
          <w:lang w:val="sk-SK"/>
        </w:rPr>
      </w:pPr>
      <w:r w:rsidRPr="0012488B">
        <w:rPr>
          <w:szCs w:val="22"/>
          <w:lang w:val="sk-SK"/>
        </w:rPr>
        <w:t>Nepozoroval sa žiadny účinok na reprodukčnú schopnosť alebo fertilitu.</w:t>
      </w:r>
    </w:p>
    <w:p w14:paraId="41B4A1B8" w14:textId="77777777" w:rsidR="00D52504" w:rsidRPr="0012488B" w:rsidRDefault="00D52504" w:rsidP="00D52504">
      <w:pPr>
        <w:spacing w:line="240" w:lineRule="auto"/>
        <w:rPr>
          <w:szCs w:val="22"/>
          <w:lang w:val="sk-SK"/>
        </w:rPr>
      </w:pPr>
    </w:p>
    <w:p w14:paraId="49ACE676" w14:textId="77777777" w:rsidR="00D52504" w:rsidRPr="0012488B" w:rsidRDefault="00D52504" w:rsidP="00D52504">
      <w:pPr>
        <w:spacing w:line="240" w:lineRule="auto"/>
        <w:rPr>
          <w:b/>
          <w:szCs w:val="22"/>
          <w:lang w:val="sk-SK"/>
        </w:rPr>
      </w:pPr>
      <w:r w:rsidRPr="0012488B">
        <w:rPr>
          <w:b/>
          <w:szCs w:val="22"/>
          <w:lang w:val="sk-SK"/>
        </w:rPr>
        <w:t>4.7</w:t>
      </w:r>
      <w:r w:rsidRPr="0012488B">
        <w:rPr>
          <w:b/>
          <w:szCs w:val="22"/>
          <w:lang w:val="sk-SK"/>
        </w:rPr>
        <w:tab/>
        <w:t>Ovplyvnenie schopnosti viesť vozidlá a obsluhovať stroje</w:t>
      </w:r>
    </w:p>
    <w:p w14:paraId="091215D0" w14:textId="77777777" w:rsidR="00D52504" w:rsidRPr="0012488B" w:rsidRDefault="00D52504" w:rsidP="00D52504">
      <w:pPr>
        <w:spacing w:line="240" w:lineRule="auto"/>
        <w:rPr>
          <w:bCs/>
          <w:iCs/>
          <w:szCs w:val="22"/>
          <w:lang w:val="sk-SK"/>
        </w:rPr>
      </w:pPr>
    </w:p>
    <w:p w14:paraId="15DB70FB" w14:textId="77777777" w:rsidR="00D52504" w:rsidRPr="0012488B" w:rsidRDefault="00D52504" w:rsidP="00D52504">
      <w:pPr>
        <w:spacing w:line="240" w:lineRule="auto"/>
        <w:rPr>
          <w:szCs w:val="22"/>
          <w:lang w:val="sk-SK"/>
        </w:rPr>
      </w:pPr>
      <w:r w:rsidRPr="0012488B">
        <w:rPr>
          <w:szCs w:val="22"/>
          <w:lang w:val="sk-SK"/>
        </w:rPr>
        <w:t>P</w:t>
      </w:r>
      <w:r w:rsidRPr="0012488B">
        <w:rPr>
          <w:bCs/>
          <w:iCs/>
          <w:szCs w:val="22"/>
          <w:lang w:val="sk-SK"/>
        </w:rPr>
        <w:t xml:space="preserve">erindopril Actavis </w:t>
      </w:r>
      <w:r w:rsidRPr="0012488B">
        <w:rPr>
          <w:szCs w:val="22"/>
          <w:lang w:val="sk-SK"/>
        </w:rPr>
        <w:t>nemá žiadny vplyv na schopnosť viesť vozidlá a obsluhovať stroje, ale u niektorých pacientov sa môžu vyskytnúť individuálne reakcie súvisiace s nízkym tlakom krvi, najmä na začiatku liečby alebo v kombinácii s inými antihypertenzívami.</w:t>
      </w:r>
    </w:p>
    <w:p w14:paraId="1E8A0B4D" w14:textId="77777777" w:rsidR="00D52504" w:rsidRPr="0012488B" w:rsidRDefault="00D52504" w:rsidP="00D52504">
      <w:pPr>
        <w:spacing w:line="240" w:lineRule="auto"/>
        <w:rPr>
          <w:szCs w:val="22"/>
          <w:lang w:val="sk-SK"/>
        </w:rPr>
      </w:pPr>
    </w:p>
    <w:p w14:paraId="30E052B4" w14:textId="77777777" w:rsidR="00D52504" w:rsidRPr="0012488B" w:rsidRDefault="00D52504" w:rsidP="00D52504">
      <w:pPr>
        <w:spacing w:line="240" w:lineRule="auto"/>
        <w:rPr>
          <w:szCs w:val="22"/>
          <w:lang w:val="sk-SK"/>
        </w:rPr>
      </w:pPr>
      <w:r w:rsidRPr="0012488B">
        <w:rPr>
          <w:szCs w:val="22"/>
          <w:lang w:val="sk-SK"/>
        </w:rPr>
        <w:t>V dôsledku toho môže byť schopnosť viesť vozidlá alebo obsluhovať stroje znížená.</w:t>
      </w:r>
    </w:p>
    <w:p w14:paraId="28D1930B" w14:textId="77777777" w:rsidR="00D52504" w:rsidRPr="0012488B" w:rsidRDefault="00D52504" w:rsidP="00D52504">
      <w:pPr>
        <w:spacing w:line="240" w:lineRule="auto"/>
        <w:rPr>
          <w:szCs w:val="22"/>
          <w:lang w:val="sk-SK"/>
        </w:rPr>
      </w:pPr>
    </w:p>
    <w:p w14:paraId="0B02C3B3" w14:textId="77777777" w:rsidR="00D52504" w:rsidRPr="0012488B" w:rsidRDefault="00D52504" w:rsidP="00D52504">
      <w:pPr>
        <w:spacing w:line="240" w:lineRule="auto"/>
        <w:rPr>
          <w:b/>
          <w:szCs w:val="22"/>
          <w:lang w:val="sk-SK"/>
        </w:rPr>
      </w:pPr>
      <w:r w:rsidRPr="0012488B">
        <w:rPr>
          <w:b/>
          <w:szCs w:val="22"/>
          <w:lang w:val="sk-SK"/>
        </w:rPr>
        <w:t>4.8</w:t>
      </w:r>
      <w:r w:rsidRPr="0012488B">
        <w:rPr>
          <w:b/>
          <w:szCs w:val="22"/>
          <w:lang w:val="sk-SK"/>
        </w:rPr>
        <w:tab/>
        <w:t>Nežiaduce účinky</w:t>
      </w:r>
    </w:p>
    <w:p w14:paraId="041A4E12" w14:textId="77777777" w:rsidR="00D52504" w:rsidRPr="0012488B" w:rsidRDefault="00D52504" w:rsidP="00D52504">
      <w:pPr>
        <w:spacing w:line="240" w:lineRule="auto"/>
        <w:rPr>
          <w:bCs/>
          <w:iCs/>
          <w:szCs w:val="22"/>
          <w:lang w:val="sk-SK"/>
        </w:rPr>
      </w:pPr>
    </w:p>
    <w:p w14:paraId="0031CA2E" w14:textId="77777777" w:rsidR="00D52504" w:rsidRPr="0012488B" w:rsidRDefault="00D52504" w:rsidP="00D52504">
      <w:pPr>
        <w:tabs>
          <w:tab w:val="clear" w:pos="567"/>
        </w:tabs>
        <w:spacing w:line="240" w:lineRule="auto"/>
        <w:rPr>
          <w:szCs w:val="22"/>
          <w:u w:val="single"/>
          <w:lang w:val="sk-SK"/>
        </w:rPr>
      </w:pPr>
      <w:r w:rsidRPr="0012488B">
        <w:rPr>
          <w:szCs w:val="22"/>
          <w:u w:val="single"/>
          <w:lang w:val="sk-SK"/>
        </w:rPr>
        <w:t>Súhrn bezpečnostného profilu</w:t>
      </w:r>
    </w:p>
    <w:p w14:paraId="1125FEB0" w14:textId="77777777" w:rsidR="00D52504" w:rsidRPr="0012488B" w:rsidRDefault="00D52504" w:rsidP="00D52504">
      <w:pPr>
        <w:spacing w:line="240" w:lineRule="auto"/>
        <w:rPr>
          <w:szCs w:val="22"/>
          <w:lang w:val="sk-SK"/>
        </w:rPr>
      </w:pPr>
      <w:r w:rsidRPr="0012488B">
        <w:rPr>
          <w:szCs w:val="22"/>
          <w:lang w:val="sk-SK"/>
        </w:rPr>
        <w:t>Bezpečnostný profil perindoprilu je zhodný s bezpečnostným profilom ACE inhibítorov:</w:t>
      </w:r>
    </w:p>
    <w:p w14:paraId="79A84D59" w14:textId="77777777" w:rsidR="00D52504" w:rsidRPr="0012488B" w:rsidRDefault="00D52504" w:rsidP="00D52504">
      <w:pPr>
        <w:spacing w:line="240" w:lineRule="auto"/>
        <w:rPr>
          <w:szCs w:val="22"/>
          <w:lang w:val="sk-SK"/>
        </w:rPr>
      </w:pPr>
    </w:p>
    <w:p w14:paraId="48AC4C5E" w14:textId="1E5D0D50" w:rsidR="00D52504" w:rsidRPr="0012488B" w:rsidRDefault="00D52504" w:rsidP="00D52504">
      <w:pPr>
        <w:spacing w:line="240" w:lineRule="auto"/>
        <w:rPr>
          <w:szCs w:val="22"/>
          <w:lang w:val="sk-SK"/>
        </w:rPr>
      </w:pPr>
      <w:r w:rsidRPr="0012488B">
        <w:rPr>
          <w:szCs w:val="22"/>
          <w:lang w:val="sk-SK"/>
        </w:rPr>
        <w:t>Medzi najčastejšie nežiaduce účinky hlásené v klinických skúšaniach a pozorované pri perindoprile patria: závrat, bolesť hlavy, parestézi</w:t>
      </w:r>
      <w:r w:rsidR="00532B18" w:rsidRPr="0012488B">
        <w:rPr>
          <w:szCs w:val="22"/>
          <w:lang w:val="sk-SK"/>
        </w:rPr>
        <w:t>e</w:t>
      </w:r>
      <w:r w:rsidRPr="0012488B">
        <w:rPr>
          <w:szCs w:val="22"/>
          <w:lang w:val="sk-SK"/>
        </w:rPr>
        <w:t>, vertigo, poruchy zraku, tinnitus, hypotenzia, kašeľ, dyspnoe, bolesť brucha, zápcha, hnačka, dysgeúzia, dyspepsia, nauzea, vracanie, pruritus, vyrážka, svalové kŕče a asténia.</w:t>
      </w:r>
    </w:p>
    <w:p w14:paraId="14FA99ED" w14:textId="77777777" w:rsidR="00D52504" w:rsidRPr="0012488B" w:rsidRDefault="00D52504" w:rsidP="00D52504">
      <w:pPr>
        <w:spacing w:line="240" w:lineRule="auto"/>
        <w:rPr>
          <w:szCs w:val="22"/>
          <w:lang w:val="sk-SK"/>
        </w:rPr>
      </w:pPr>
    </w:p>
    <w:p w14:paraId="6CEFE286" w14:textId="72D46E42" w:rsidR="00D52504" w:rsidRPr="0012488B" w:rsidRDefault="00D52504" w:rsidP="00D52504">
      <w:pPr>
        <w:spacing w:line="240" w:lineRule="auto"/>
        <w:rPr>
          <w:szCs w:val="22"/>
          <w:u w:val="single"/>
          <w:lang w:val="sk-SK"/>
        </w:rPr>
      </w:pPr>
      <w:r w:rsidRPr="0012488B">
        <w:rPr>
          <w:szCs w:val="22"/>
          <w:u w:val="single"/>
          <w:lang w:val="sk-SK"/>
        </w:rPr>
        <w:t xml:space="preserve">Tabuľkový zoznam nežiaducich </w:t>
      </w:r>
      <w:r w:rsidR="00205CB7" w:rsidRPr="0012488B">
        <w:rPr>
          <w:szCs w:val="22"/>
          <w:u w:val="single"/>
          <w:lang w:val="sk-SK"/>
        </w:rPr>
        <w:t>účinkov</w:t>
      </w:r>
    </w:p>
    <w:p w14:paraId="49D22F2E" w14:textId="77777777" w:rsidR="00D52504" w:rsidRPr="0012488B" w:rsidRDefault="00D52504" w:rsidP="00D52504">
      <w:pPr>
        <w:spacing w:line="240" w:lineRule="auto"/>
        <w:rPr>
          <w:szCs w:val="22"/>
          <w:lang w:val="sk-SK"/>
        </w:rPr>
      </w:pPr>
      <w:r w:rsidRPr="0012488B">
        <w:rPr>
          <w:szCs w:val="22"/>
          <w:lang w:val="sk-SK"/>
        </w:rPr>
        <w:t>Počas klinických skúšaní a/alebo postmarketingového použitia s perindoprilom boli pozorované nasledujúce nežiaduce účinky, ktoré sú zoradené podľa nasledujúcej frekvencie:</w:t>
      </w:r>
    </w:p>
    <w:p w14:paraId="1F68E555" w14:textId="5557F24B" w:rsidR="00D52504" w:rsidRPr="0012488B" w:rsidRDefault="00D52504" w:rsidP="00D52504">
      <w:pPr>
        <w:spacing w:line="240" w:lineRule="auto"/>
        <w:rPr>
          <w:szCs w:val="22"/>
          <w:lang w:val="sk-SK"/>
        </w:rPr>
      </w:pPr>
      <w:r w:rsidRPr="0012488B">
        <w:rPr>
          <w:szCs w:val="22"/>
          <w:lang w:val="sk-SK"/>
        </w:rPr>
        <w:t>veľmi časté (</w:t>
      </w:r>
      <w:r w:rsidRPr="0012488B">
        <w:rPr>
          <w:bCs/>
          <w:iCs/>
          <w:szCs w:val="22"/>
          <w:lang w:val="sk-SK"/>
        </w:rPr>
        <w:sym w:font="Symbol" w:char="F0B3"/>
      </w:r>
      <w:r w:rsidR="00864DF6" w:rsidRPr="0012488B">
        <w:rPr>
          <w:bCs/>
          <w:iCs/>
          <w:szCs w:val="22"/>
          <w:lang w:val="sk-SK"/>
        </w:rPr>
        <w:t xml:space="preserve"> </w:t>
      </w:r>
      <w:r w:rsidRPr="0012488B">
        <w:rPr>
          <w:szCs w:val="22"/>
          <w:lang w:val="sk-SK"/>
        </w:rPr>
        <w:t>1/10); časté (</w:t>
      </w:r>
      <w:r w:rsidRPr="0012488B">
        <w:rPr>
          <w:bCs/>
          <w:iCs/>
          <w:szCs w:val="22"/>
          <w:lang w:val="sk-SK"/>
        </w:rPr>
        <w:sym w:font="Symbol" w:char="F0B3"/>
      </w:r>
      <w:r w:rsidR="00864DF6" w:rsidRPr="0012488B">
        <w:rPr>
          <w:bCs/>
          <w:iCs/>
          <w:szCs w:val="22"/>
          <w:lang w:val="sk-SK"/>
        </w:rPr>
        <w:t xml:space="preserve"> </w:t>
      </w:r>
      <w:r w:rsidRPr="0012488B">
        <w:rPr>
          <w:szCs w:val="22"/>
          <w:lang w:val="sk-SK"/>
        </w:rPr>
        <w:t>1/100 až &lt;</w:t>
      </w:r>
      <w:r w:rsidR="00864DF6" w:rsidRPr="0012488B">
        <w:rPr>
          <w:szCs w:val="22"/>
          <w:lang w:val="sk-SK"/>
        </w:rPr>
        <w:t xml:space="preserve"> </w:t>
      </w:r>
      <w:r w:rsidRPr="0012488B">
        <w:rPr>
          <w:szCs w:val="22"/>
          <w:lang w:val="sk-SK"/>
        </w:rPr>
        <w:t>1/10); menej časté (</w:t>
      </w:r>
      <w:r w:rsidRPr="0012488B">
        <w:rPr>
          <w:bCs/>
          <w:iCs/>
          <w:szCs w:val="22"/>
          <w:lang w:val="sk-SK"/>
        </w:rPr>
        <w:sym w:font="Symbol" w:char="F0B3"/>
      </w:r>
      <w:r w:rsidR="00864DF6" w:rsidRPr="0012488B">
        <w:rPr>
          <w:bCs/>
          <w:iCs/>
          <w:szCs w:val="22"/>
          <w:lang w:val="sk-SK"/>
        </w:rPr>
        <w:t xml:space="preserve"> </w:t>
      </w:r>
      <w:r w:rsidRPr="0012488B">
        <w:rPr>
          <w:szCs w:val="22"/>
          <w:lang w:val="sk-SK"/>
        </w:rPr>
        <w:t>1/1 000 až &lt;</w:t>
      </w:r>
      <w:r w:rsidR="00864DF6" w:rsidRPr="0012488B">
        <w:rPr>
          <w:szCs w:val="22"/>
          <w:lang w:val="sk-SK"/>
        </w:rPr>
        <w:t xml:space="preserve"> </w:t>
      </w:r>
      <w:r w:rsidRPr="0012488B">
        <w:rPr>
          <w:szCs w:val="22"/>
          <w:lang w:val="sk-SK"/>
        </w:rPr>
        <w:t>1/100); zriedkavé (</w:t>
      </w:r>
      <w:r w:rsidRPr="0012488B">
        <w:rPr>
          <w:bCs/>
          <w:iCs/>
          <w:szCs w:val="22"/>
          <w:lang w:val="sk-SK"/>
        </w:rPr>
        <w:sym w:font="Symbol" w:char="F0B3"/>
      </w:r>
      <w:r w:rsidR="00864DF6" w:rsidRPr="0012488B">
        <w:rPr>
          <w:bCs/>
          <w:iCs/>
          <w:szCs w:val="22"/>
          <w:lang w:val="sk-SK"/>
        </w:rPr>
        <w:t xml:space="preserve"> </w:t>
      </w:r>
      <w:r w:rsidRPr="0012488B">
        <w:rPr>
          <w:szCs w:val="22"/>
          <w:lang w:val="sk-SK"/>
        </w:rPr>
        <w:t>1/10 000 až &lt;</w:t>
      </w:r>
      <w:r w:rsidR="00864DF6" w:rsidRPr="0012488B">
        <w:rPr>
          <w:szCs w:val="22"/>
          <w:lang w:val="sk-SK"/>
        </w:rPr>
        <w:t xml:space="preserve"> </w:t>
      </w:r>
      <w:r w:rsidRPr="0012488B">
        <w:rPr>
          <w:szCs w:val="22"/>
          <w:lang w:val="sk-SK"/>
        </w:rPr>
        <w:t>1/1 000); veľmi zriedkavé (&lt;</w:t>
      </w:r>
      <w:r w:rsidR="00864DF6" w:rsidRPr="0012488B">
        <w:rPr>
          <w:szCs w:val="22"/>
          <w:lang w:val="sk-SK"/>
        </w:rPr>
        <w:t xml:space="preserve"> </w:t>
      </w:r>
      <w:r w:rsidRPr="0012488B">
        <w:rPr>
          <w:szCs w:val="22"/>
          <w:lang w:val="sk-SK"/>
        </w:rPr>
        <w:t>1/10 000); neznáme (z dostupných údajov)</w:t>
      </w:r>
      <w:r w:rsidRPr="0012488B">
        <w:rPr>
          <w:bCs/>
          <w:iCs/>
          <w:szCs w:val="22"/>
          <w:lang w:val="sk-SK"/>
        </w:rPr>
        <w:t>.</w:t>
      </w:r>
    </w:p>
    <w:p w14:paraId="1632BDC1" w14:textId="77777777" w:rsidR="00D52504" w:rsidRPr="0012488B" w:rsidRDefault="00D52504" w:rsidP="00D52504">
      <w:pPr>
        <w:spacing w:line="240" w:lineRule="auto"/>
        <w:rPr>
          <w:bCs/>
          <w:iCs/>
          <w:szCs w:val="22"/>
          <w:u w:val="single"/>
          <w:lang w:val="sk-SK"/>
        </w:rPr>
      </w:pPr>
    </w:p>
    <w:tbl>
      <w:tblPr>
        <w:tblW w:w="49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
        <w:gridCol w:w="2795"/>
        <w:gridCol w:w="19"/>
        <w:gridCol w:w="4786"/>
        <w:gridCol w:w="25"/>
        <w:gridCol w:w="1993"/>
        <w:gridCol w:w="14"/>
      </w:tblGrid>
      <w:tr w:rsidR="00D52504" w:rsidRPr="0012488B" w14:paraId="4F947FD7" w14:textId="77777777" w:rsidTr="004C045C">
        <w:trPr>
          <w:gridBefore w:val="1"/>
          <w:wBefore w:w="7" w:type="pct"/>
          <w:cantSplit/>
          <w:tblHeader/>
          <w:jc w:val="center"/>
        </w:trPr>
        <w:tc>
          <w:tcPr>
            <w:tcW w:w="1459" w:type="pct"/>
            <w:gridSpan w:val="2"/>
          </w:tcPr>
          <w:p w14:paraId="33A660B8" w14:textId="77777777" w:rsidR="00D52504" w:rsidRPr="0012488B" w:rsidRDefault="00D52504" w:rsidP="004C045C">
            <w:pPr>
              <w:spacing w:line="240" w:lineRule="auto"/>
              <w:jc w:val="center"/>
              <w:rPr>
                <w:b/>
                <w:bCs/>
                <w:szCs w:val="22"/>
                <w:lang w:val="sk-SK"/>
              </w:rPr>
            </w:pPr>
            <w:r w:rsidRPr="0012488B">
              <w:rPr>
                <w:b/>
                <w:bCs/>
                <w:szCs w:val="22"/>
                <w:lang w:val="sk-SK"/>
              </w:rPr>
              <w:t>Trieda orgánových systémov podľa MedDRA</w:t>
            </w:r>
          </w:p>
        </w:tc>
        <w:tc>
          <w:tcPr>
            <w:tcW w:w="2494" w:type="pct"/>
            <w:gridSpan w:val="2"/>
          </w:tcPr>
          <w:p w14:paraId="10D930E3" w14:textId="77777777" w:rsidR="00D52504" w:rsidRPr="0012488B" w:rsidRDefault="00D52504" w:rsidP="004C045C">
            <w:pPr>
              <w:spacing w:line="240" w:lineRule="auto"/>
              <w:jc w:val="center"/>
              <w:rPr>
                <w:b/>
                <w:bCs/>
                <w:szCs w:val="22"/>
                <w:lang w:val="sk-SK"/>
              </w:rPr>
            </w:pPr>
            <w:r w:rsidRPr="0012488B">
              <w:rPr>
                <w:b/>
                <w:bCs/>
                <w:szCs w:val="22"/>
                <w:lang w:val="sk-SK"/>
              </w:rPr>
              <w:t>Nežiaduce účinky</w:t>
            </w:r>
          </w:p>
        </w:tc>
        <w:tc>
          <w:tcPr>
            <w:tcW w:w="1040" w:type="pct"/>
            <w:gridSpan w:val="2"/>
          </w:tcPr>
          <w:p w14:paraId="77353739" w14:textId="77777777" w:rsidR="00D52504" w:rsidRPr="0012488B" w:rsidRDefault="00D52504" w:rsidP="004C045C">
            <w:pPr>
              <w:spacing w:line="240" w:lineRule="auto"/>
              <w:jc w:val="center"/>
              <w:rPr>
                <w:b/>
                <w:bCs/>
                <w:szCs w:val="22"/>
                <w:lang w:val="sk-SK"/>
              </w:rPr>
            </w:pPr>
            <w:r w:rsidRPr="0012488B">
              <w:rPr>
                <w:b/>
                <w:bCs/>
                <w:szCs w:val="22"/>
                <w:lang w:val="sk-SK"/>
              </w:rPr>
              <w:t>Frekvencia</w:t>
            </w:r>
          </w:p>
        </w:tc>
      </w:tr>
      <w:tr w:rsidR="00D52504" w:rsidRPr="0012488B" w14:paraId="51CADC70" w14:textId="77777777" w:rsidTr="004C045C">
        <w:trPr>
          <w:gridAfter w:val="1"/>
          <w:wAfter w:w="7" w:type="pct"/>
          <w:cantSplit/>
          <w:trHeight w:val="278"/>
          <w:jc w:val="center"/>
        </w:trPr>
        <w:tc>
          <w:tcPr>
            <w:tcW w:w="1456" w:type="pct"/>
            <w:gridSpan w:val="2"/>
            <w:vMerge w:val="restart"/>
          </w:tcPr>
          <w:p w14:paraId="0EF937F2" w14:textId="77777777" w:rsidR="00D52504" w:rsidRPr="0012488B" w:rsidRDefault="00D52504" w:rsidP="004C045C">
            <w:pPr>
              <w:spacing w:line="240" w:lineRule="auto"/>
              <w:rPr>
                <w:b/>
                <w:bCs/>
                <w:szCs w:val="22"/>
                <w:lang w:val="sk-SK"/>
              </w:rPr>
            </w:pPr>
            <w:r w:rsidRPr="0012488B">
              <w:rPr>
                <w:b/>
                <w:bCs/>
                <w:szCs w:val="22"/>
                <w:lang w:val="sk-SK"/>
              </w:rPr>
              <w:t xml:space="preserve">Poruchy krvi a lymfatického systému </w:t>
            </w:r>
          </w:p>
        </w:tc>
        <w:tc>
          <w:tcPr>
            <w:tcW w:w="2491" w:type="pct"/>
            <w:gridSpan w:val="2"/>
          </w:tcPr>
          <w:p w14:paraId="09E3F46B" w14:textId="5A96BCA8" w:rsidR="00D52504" w:rsidRPr="0012488B" w:rsidRDefault="00205CB7" w:rsidP="004C045C">
            <w:pPr>
              <w:spacing w:line="240" w:lineRule="auto"/>
              <w:rPr>
                <w:szCs w:val="22"/>
                <w:lang w:val="sk-SK"/>
              </w:rPr>
            </w:pPr>
            <w:r w:rsidRPr="0012488B">
              <w:rPr>
                <w:szCs w:val="22"/>
                <w:lang w:val="sk-SK"/>
              </w:rPr>
              <w:t>e</w:t>
            </w:r>
            <w:r w:rsidR="00D52504" w:rsidRPr="0012488B">
              <w:rPr>
                <w:szCs w:val="22"/>
                <w:lang w:val="sk-SK"/>
              </w:rPr>
              <w:t>ozinofília</w:t>
            </w:r>
          </w:p>
        </w:tc>
        <w:tc>
          <w:tcPr>
            <w:tcW w:w="1046" w:type="pct"/>
            <w:gridSpan w:val="2"/>
          </w:tcPr>
          <w:p w14:paraId="09245483" w14:textId="63D05B69"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7130F7FF" w14:textId="77777777" w:rsidTr="004C045C">
        <w:trPr>
          <w:gridAfter w:val="1"/>
          <w:wAfter w:w="7" w:type="pct"/>
          <w:cantSplit/>
          <w:trHeight w:val="278"/>
          <w:jc w:val="center"/>
        </w:trPr>
        <w:tc>
          <w:tcPr>
            <w:tcW w:w="1456" w:type="pct"/>
            <w:gridSpan w:val="2"/>
            <w:vMerge/>
          </w:tcPr>
          <w:p w14:paraId="6E778D07" w14:textId="77777777" w:rsidR="00D52504" w:rsidRPr="0012488B" w:rsidRDefault="00D52504" w:rsidP="004C045C">
            <w:pPr>
              <w:spacing w:line="240" w:lineRule="auto"/>
              <w:rPr>
                <w:b/>
                <w:bCs/>
                <w:szCs w:val="22"/>
                <w:lang w:val="sk-SK"/>
              </w:rPr>
            </w:pPr>
          </w:p>
        </w:tc>
        <w:tc>
          <w:tcPr>
            <w:tcW w:w="2491" w:type="pct"/>
            <w:gridSpan w:val="2"/>
          </w:tcPr>
          <w:p w14:paraId="7B6A254C" w14:textId="4B4FB7F1" w:rsidR="00D52504" w:rsidRPr="0012488B" w:rsidRDefault="00205CB7" w:rsidP="004C045C">
            <w:pPr>
              <w:spacing w:line="240" w:lineRule="auto"/>
              <w:rPr>
                <w:szCs w:val="22"/>
                <w:lang w:val="sk-SK"/>
              </w:rPr>
            </w:pPr>
            <w:r w:rsidRPr="0012488B">
              <w:rPr>
                <w:szCs w:val="22"/>
                <w:lang w:val="sk-SK"/>
              </w:rPr>
              <w:t>a</w:t>
            </w:r>
            <w:r w:rsidR="00D52504" w:rsidRPr="0012488B">
              <w:rPr>
                <w:szCs w:val="22"/>
                <w:lang w:val="sk-SK"/>
              </w:rPr>
              <w:t>granulocytóza alebo pancytopénia</w:t>
            </w:r>
          </w:p>
        </w:tc>
        <w:tc>
          <w:tcPr>
            <w:tcW w:w="1046" w:type="pct"/>
            <w:gridSpan w:val="2"/>
          </w:tcPr>
          <w:p w14:paraId="3225DA35" w14:textId="4C506880"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47FE15DA" w14:textId="77777777" w:rsidTr="004C045C">
        <w:trPr>
          <w:gridAfter w:val="1"/>
          <w:wAfter w:w="7" w:type="pct"/>
          <w:cantSplit/>
          <w:trHeight w:val="278"/>
          <w:jc w:val="center"/>
        </w:trPr>
        <w:tc>
          <w:tcPr>
            <w:tcW w:w="1456" w:type="pct"/>
            <w:gridSpan w:val="2"/>
            <w:vMerge/>
          </w:tcPr>
          <w:p w14:paraId="7EA6DC2E" w14:textId="77777777" w:rsidR="00D52504" w:rsidRPr="0012488B" w:rsidRDefault="00D52504" w:rsidP="004C045C">
            <w:pPr>
              <w:spacing w:line="240" w:lineRule="auto"/>
              <w:rPr>
                <w:szCs w:val="22"/>
                <w:lang w:val="sk-SK"/>
              </w:rPr>
            </w:pPr>
          </w:p>
        </w:tc>
        <w:tc>
          <w:tcPr>
            <w:tcW w:w="2491" w:type="pct"/>
            <w:gridSpan w:val="2"/>
          </w:tcPr>
          <w:p w14:paraId="6259DC4D" w14:textId="43C5C912"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 xml:space="preserve">níženie hemoglobínu a hematokritu </w:t>
            </w:r>
          </w:p>
        </w:tc>
        <w:tc>
          <w:tcPr>
            <w:tcW w:w="1046" w:type="pct"/>
            <w:gridSpan w:val="2"/>
          </w:tcPr>
          <w:p w14:paraId="2C655F19" w14:textId="15BF97D3"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1EA0E97C" w14:textId="77777777" w:rsidTr="004C045C">
        <w:trPr>
          <w:gridAfter w:val="1"/>
          <w:wAfter w:w="7" w:type="pct"/>
          <w:cantSplit/>
          <w:trHeight w:val="277"/>
          <w:jc w:val="center"/>
        </w:trPr>
        <w:tc>
          <w:tcPr>
            <w:tcW w:w="1456" w:type="pct"/>
            <w:gridSpan w:val="2"/>
            <w:vMerge/>
          </w:tcPr>
          <w:p w14:paraId="799928E1" w14:textId="77777777" w:rsidR="00D52504" w:rsidRPr="0012488B" w:rsidRDefault="00D52504" w:rsidP="004C045C">
            <w:pPr>
              <w:spacing w:line="240" w:lineRule="auto"/>
              <w:rPr>
                <w:szCs w:val="22"/>
                <w:lang w:val="sk-SK"/>
              </w:rPr>
            </w:pPr>
          </w:p>
        </w:tc>
        <w:tc>
          <w:tcPr>
            <w:tcW w:w="2491" w:type="pct"/>
            <w:gridSpan w:val="2"/>
          </w:tcPr>
          <w:p w14:paraId="03C23408" w14:textId="72303CC9" w:rsidR="00D52504" w:rsidRPr="0012488B" w:rsidRDefault="00205CB7" w:rsidP="00205CB7">
            <w:pPr>
              <w:spacing w:line="240" w:lineRule="auto"/>
              <w:rPr>
                <w:szCs w:val="22"/>
                <w:lang w:val="sk-SK"/>
              </w:rPr>
            </w:pPr>
            <w:r w:rsidRPr="0012488B">
              <w:rPr>
                <w:szCs w:val="22"/>
                <w:lang w:val="sk-SK"/>
              </w:rPr>
              <w:t>l</w:t>
            </w:r>
            <w:r w:rsidR="00D52504" w:rsidRPr="0012488B">
              <w:rPr>
                <w:szCs w:val="22"/>
                <w:lang w:val="sk-SK"/>
              </w:rPr>
              <w:t>eukopénia/neutropénia</w:t>
            </w:r>
          </w:p>
        </w:tc>
        <w:tc>
          <w:tcPr>
            <w:tcW w:w="1046" w:type="pct"/>
            <w:gridSpan w:val="2"/>
          </w:tcPr>
          <w:p w14:paraId="4C52C6C9" w14:textId="3F98E1A2"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3010BE39" w14:textId="77777777" w:rsidTr="004C045C">
        <w:trPr>
          <w:gridAfter w:val="1"/>
          <w:wAfter w:w="7" w:type="pct"/>
          <w:cantSplit/>
          <w:trHeight w:val="277"/>
          <w:jc w:val="center"/>
        </w:trPr>
        <w:tc>
          <w:tcPr>
            <w:tcW w:w="1456" w:type="pct"/>
            <w:gridSpan w:val="2"/>
            <w:vMerge/>
          </w:tcPr>
          <w:p w14:paraId="1E29F312" w14:textId="77777777" w:rsidR="00D52504" w:rsidRPr="0012488B" w:rsidRDefault="00D52504" w:rsidP="004C045C">
            <w:pPr>
              <w:spacing w:line="240" w:lineRule="auto"/>
              <w:rPr>
                <w:szCs w:val="22"/>
                <w:lang w:val="sk-SK"/>
              </w:rPr>
            </w:pPr>
          </w:p>
        </w:tc>
        <w:tc>
          <w:tcPr>
            <w:tcW w:w="2491" w:type="pct"/>
            <w:gridSpan w:val="2"/>
          </w:tcPr>
          <w:p w14:paraId="4A5EB5C8" w14:textId="6714CC01" w:rsidR="00D52504" w:rsidRPr="0012488B" w:rsidRDefault="00205CB7" w:rsidP="00205CB7">
            <w:pPr>
              <w:spacing w:line="240" w:lineRule="auto"/>
              <w:rPr>
                <w:szCs w:val="22"/>
                <w:lang w:val="sk-SK"/>
              </w:rPr>
            </w:pPr>
            <w:r w:rsidRPr="0012488B">
              <w:rPr>
                <w:szCs w:val="22"/>
                <w:lang w:val="sk-SK"/>
              </w:rPr>
              <w:t>h</w:t>
            </w:r>
            <w:r w:rsidR="00D52504" w:rsidRPr="0012488B">
              <w:rPr>
                <w:szCs w:val="22"/>
                <w:lang w:val="sk-SK"/>
              </w:rPr>
              <w:t>emolytická anémia u pacientov s kongenitálnou deficienciou G-6PDH (pozri časť 4.4)</w:t>
            </w:r>
          </w:p>
        </w:tc>
        <w:tc>
          <w:tcPr>
            <w:tcW w:w="1046" w:type="pct"/>
            <w:gridSpan w:val="2"/>
          </w:tcPr>
          <w:p w14:paraId="2E7094FF" w14:textId="23E33F7F"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2F34FFC9" w14:textId="77777777" w:rsidTr="004C045C">
        <w:trPr>
          <w:gridAfter w:val="1"/>
          <w:wAfter w:w="7" w:type="pct"/>
          <w:cantSplit/>
          <w:trHeight w:val="277"/>
          <w:jc w:val="center"/>
        </w:trPr>
        <w:tc>
          <w:tcPr>
            <w:tcW w:w="1456" w:type="pct"/>
            <w:gridSpan w:val="2"/>
            <w:vMerge/>
          </w:tcPr>
          <w:p w14:paraId="0D5E6468" w14:textId="77777777" w:rsidR="00D52504" w:rsidRPr="0012488B" w:rsidRDefault="00D52504" w:rsidP="004C045C">
            <w:pPr>
              <w:spacing w:line="240" w:lineRule="auto"/>
              <w:rPr>
                <w:szCs w:val="22"/>
                <w:lang w:val="sk-SK"/>
              </w:rPr>
            </w:pPr>
          </w:p>
        </w:tc>
        <w:tc>
          <w:tcPr>
            <w:tcW w:w="2491" w:type="pct"/>
            <w:gridSpan w:val="2"/>
          </w:tcPr>
          <w:p w14:paraId="793E9922" w14:textId="6007ABA6" w:rsidR="00D52504" w:rsidRPr="0012488B" w:rsidRDefault="00205CB7" w:rsidP="00205CB7">
            <w:pPr>
              <w:spacing w:line="240" w:lineRule="auto"/>
              <w:rPr>
                <w:szCs w:val="22"/>
                <w:lang w:val="sk-SK"/>
              </w:rPr>
            </w:pPr>
            <w:r w:rsidRPr="0012488B">
              <w:rPr>
                <w:szCs w:val="22"/>
                <w:lang w:val="sk-SK"/>
              </w:rPr>
              <w:t>t</w:t>
            </w:r>
            <w:r w:rsidR="00D52504" w:rsidRPr="0012488B">
              <w:rPr>
                <w:szCs w:val="22"/>
                <w:lang w:val="sk-SK"/>
              </w:rPr>
              <w:t>rombocytopénia</w:t>
            </w:r>
          </w:p>
        </w:tc>
        <w:tc>
          <w:tcPr>
            <w:tcW w:w="1046" w:type="pct"/>
            <w:gridSpan w:val="2"/>
          </w:tcPr>
          <w:p w14:paraId="7185A5C2" w14:textId="2150E835"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4677E2C4" w14:textId="77777777" w:rsidTr="004C045C">
        <w:trPr>
          <w:gridAfter w:val="1"/>
          <w:wAfter w:w="7" w:type="pct"/>
          <w:cantSplit/>
          <w:trHeight w:val="487"/>
          <w:jc w:val="center"/>
        </w:trPr>
        <w:tc>
          <w:tcPr>
            <w:tcW w:w="1456" w:type="pct"/>
            <w:gridSpan w:val="2"/>
            <w:vMerge w:val="restart"/>
          </w:tcPr>
          <w:p w14:paraId="1F4582AF" w14:textId="77777777" w:rsidR="00D52504" w:rsidRPr="0012488B" w:rsidRDefault="00D52504" w:rsidP="004C045C">
            <w:pPr>
              <w:spacing w:line="240" w:lineRule="auto"/>
              <w:rPr>
                <w:b/>
                <w:bCs/>
                <w:szCs w:val="22"/>
                <w:lang w:val="sk-SK"/>
              </w:rPr>
            </w:pPr>
            <w:r w:rsidRPr="0012488B">
              <w:rPr>
                <w:b/>
                <w:bCs/>
                <w:szCs w:val="22"/>
                <w:lang w:val="sk-SK"/>
              </w:rPr>
              <w:t>Poruchy metabolizmu a výživy</w:t>
            </w:r>
          </w:p>
        </w:tc>
        <w:tc>
          <w:tcPr>
            <w:tcW w:w="2491" w:type="pct"/>
            <w:gridSpan w:val="2"/>
          </w:tcPr>
          <w:p w14:paraId="48B3440C" w14:textId="37E8F81F" w:rsidR="00D52504" w:rsidRPr="0012488B" w:rsidRDefault="00205CB7" w:rsidP="004C045C">
            <w:pPr>
              <w:spacing w:line="240" w:lineRule="auto"/>
              <w:rPr>
                <w:szCs w:val="22"/>
                <w:lang w:val="sk-SK"/>
              </w:rPr>
            </w:pPr>
            <w:r w:rsidRPr="0012488B">
              <w:rPr>
                <w:szCs w:val="22"/>
                <w:lang w:val="sk-SK"/>
              </w:rPr>
              <w:t>h</w:t>
            </w:r>
            <w:r w:rsidR="00D52504" w:rsidRPr="0012488B">
              <w:rPr>
                <w:szCs w:val="22"/>
                <w:lang w:val="sk-SK"/>
              </w:rPr>
              <w:t>ypoglykémia (pozri časti 4.4 a 4.5)</w:t>
            </w:r>
          </w:p>
        </w:tc>
        <w:tc>
          <w:tcPr>
            <w:tcW w:w="1046" w:type="pct"/>
            <w:gridSpan w:val="2"/>
          </w:tcPr>
          <w:p w14:paraId="20465D59" w14:textId="7F837FF2"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B2BF2AE" w14:textId="77777777" w:rsidTr="004C045C">
        <w:trPr>
          <w:gridAfter w:val="1"/>
          <w:wAfter w:w="7" w:type="pct"/>
          <w:cantSplit/>
          <w:trHeight w:val="409"/>
          <w:jc w:val="center"/>
        </w:trPr>
        <w:tc>
          <w:tcPr>
            <w:tcW w:w="1456" w:type="pct"/>
            <w:gridSpan w:val="2"/>
            <w:vMerge/>
          </w:tcPr>
          <w:p w14:paraId="00436554" w14:textId="77777777" w:rsidR="00D52504" w:rsidRPr="0012488B" w:rsidRDefault="00D52504" w:rsidP="004C045C">
            <w:pPr>
              <w:spacing w:line="240" w:lineRule="auto"/>
              <w:rPr>
                <w:b/>
                <w:bCs/>
                <w:szCs w:val="22"/>
                <w:lang w:val="sk-SK"/>
              </w:rPr>
            </w:pPr>
          </w:p>
        </w:tc>
        <w:tc>
          <w:tcPr>
            <w:tcW w:w="2491" w:type="pct"/>
            <w:gridSpan w:val="2"/>
          </w:tcPr>
          <w:p w14:paraId="3492FF1D" w14:textId="72D05A13" w:rsidR="00D52504" w:rsidRPr="0012488B" w:rsidRDefault="00205CB7" w:rsidP="00205CB7">
            <w:pPr>
              <w:spacing w:line="240" w:lineRule="auto"/>
              <w:rPr>
                <w:szCs w:val="22"/>
                <w:lang w:val="sk-SK"/>
              </w:rPr>
            </w:pPr>
            <w:r w:rsidRPr="0012488B">
              <w:rPr>
                <w:szCs w:val="22"/>
                <w:lang w:val="sk-SK"/>
              </w:rPr>
              <w:t>h</w:t>
            </w:r>
            <w:r w:rsidR="00D52504" w:rsidRPr="0012488B">
              <w:rPr>
                <w:szCs w:val="22"/>
                <w:lang w:val="sk-SK"/>
              </w:rPr>
              <w:t xml:space="preserve">yperkaliémia, reverzibilná po </w:t>
            </w:r>
            <w:r w:rsidRPr="0012488B">
              <w:rPr>
                <w:szCs w:val="22"/>
                <w:lang w:val="sk-SK"/>
              </w:rPr>
              <w:t xml:space="preserve">prerušení </w:t>
            </w:r>
            <w:r w:rsidR="00D52504" w:rsidRPr="0012488B">
              <w:rPr>
                <w:szCs w:val="22"/>
                <w:lang w:val="sk-SK"/>
              </w:rPr>
              <w:t>(pozri časť 4.4)</w:t>
            </w:r>
          </w:p>
        </w:tc>
        <w:tc>
          <w:tcPr>
            <w:tcW w:w="1046" w:type="pct"/>
            <w:gridSpan w:val="2"/>
          </w:tcPr>
          <w:p w14:paraId="0651CCD6" w14:textId="3E1C9226"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7228BA77" w14:textId="77777777" w:rsidTr="004C045C">
        <w:trPr>
          <w:gridAfter w:val="1"/>
          <w:wAfter w:w="7" w:type="pct"/>
          <w:cantSplit/>
          <w:trHeight w:val="409"/>
          <w:jc w:val="center"/>
        </w:trPr>
        <w:tc>
          <w:tcPr>
            <w:tcW w:w="1456" w:type="pct"/>
            <w:gridSpan w:val="2"/>
            <w:vMerge/>
          </w:tcPr>
          <w:p w14:paraId="3009B4E2" w14:textId="77777777" w:rsidR="00D52504" w:rsidRPr="0012488B" w:rsidRDefault="00D52504" w:rsidP="004C045C">
            <w:pPr>
              <w:spacing w:line="240" w:lineRule="auto"/>
              <w:rPr>
                <w:b/>
                <w:bCs/>
                <w:szCs w:val="22"/>
                <w:lang w:val="sk-SK"/>
              </w:rPr>
            </w:pPr>
          </w:p>
        </w:tc>
        <w:tc>
          <w:tcPr>
            <w:tcW w:w="2491" w:type="pct"/>
            <w:gridSpan w:val="2"/>
          </w:tcPr>
          <w:p w14:paraId="7F6D1A5D" w14:textId="691F9066" w:rsidR="00D52504" w:rsidRPr="0012488B" w:rsidRDefault="00205CB7" w:rsidP="004C045C">
            <w:pPr>
              <w:spacing w:line="240" w:lineRule="auto"/>
              <w:rPr>
                <w:szCs w:val="22"/>
                <w:lang w:val="sk-SK"/>
              </w:rPr>
            </w:pPr>
            <w:r w:rsidRPr="0012488B">
              <w:rPr>
                <w:szCs w:val="22"/>
                <w:lang w:val="sk-SK"/>
              </w:rPr>
              <w:t>h</w:t>
            </w:r>
            <w:r w:rsidR="00D52504" w:rsidRPr="0012488B">
              <w:rPr>
                <w:szCs w:val="22"/>
                <w:lang w:val="sk-SK"/>
              </w:rPr>
              <w:t>yponatriémia</w:t>
            </w:r>
          </w:p>
        </w:tc>
        <w:tc>
          <w:tcPr>
            <w:tcW w:w="1046" w:type="pct"/>
            <w:gridSpan w:val="2"/>
          </w:tcPr>
          <w:p w14:paraId="179960F1" w14:textId="7AF375AA"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4250A6E8" w14:textId="77777777" w:rsidTr="004C045C">
        <w:trPr>
          <w:gridAfter w:val="1"/>
          <w:wAfter w:w="7" w:type="pct"/>
          <w:cantSplit/>
          <w:trHeight w:val="387"/>
          <w:jc w:val="center"/>
        </w:trPr>
        <w:tc>
          <w:tcPr>
            <w:tcW w:w="1456" w:type="pct"/>
            <w:gridSpan w:val="2"/>
            <w:vMerge w:val="restart"/>
          </w:tcPr>
          <w:p w14:paraId="1F865AEC" w14:textId="77777777" w:rsidR="00D52504" w:rsidRPr="0012488B" w:rsidRDefault="00D52504" w:rsidP="004C045C">
            <w:pPr>
              <w:spacing w:line="240" w:lineRule="auto"/>
              <w:rPr>
                <w:b/>
                <w:bCs/>
                <w:szCs w:val="22"/>
                <w:lang w:val="sk-SK"/>
              </w:rPr>
            </w:pPr>
            <w:r w:rsidRPr="0012488B">
              <w:rPr>
                <w:b/>
                <w:bCs/>
                <w:szCs w:val="22"/>
                <w:lang w:val="sk-SK"/>
              </w:rPr>
              <w:t>Psychické poruchy</w:t>
            </w:r>
          </w:p>
        </w:tc>
        <w:tc>
          <w:tcPr>
            <w:tcW w:w="2491" w:type="pct"/>
            <w:gridSpan w:val="2"/>
          </w:tcPr>
          <w:p w14:paraId="005AD499" w14:textId="68F5E813"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oruchy nálady</w:t>
            </w:r>
          </w:p>
        </w:tc>
        <w:tc>
          <w:tcPr>
            <w:tcW w:w="1046" w:type="pct"/>
            <w:gridSpan w:val="2"/>
          </w:tcPr>
          <w:p w14:paraId="379AA249" w14:textId="3CD521B4"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6A644348" w14:textId="77777777" w:rsidTr="004C045C">
        <w:trPr>
          <w:gridAfter w:val="1"/>
          <w:wAfter w:w="7" w:type="pct"/>
          <w:cantSplit/>
          <w:trHeight w:val="523"/>
          <w:jc w:val="center"/>
        </w:trPr>
        <w:tc>
          <w:tcPr>
            <w:tcW w:w="1456" w:type="pct"/>
            <w:gridSpan w:val="2"/>
            <w:vMerge/>
          </w:tcPr>
          <w:p w14:paraId="2B1FF916" w14:textId="77777777" w:rsidR="00D52504" w:rsidRPr="0012488B" w:rsidRDefault="00D52504" w:rsidP="004C045C">
            <w:pPr>
              <w:spacing w:line="240" w:lineRule="auto"/>
              <w:rPr>
                <w:b/>
                <w:bCs/>
                <w:szCs w:val="22"/>
                <w:lang w:val="sk-SK"/>
              </w:rPr>
            </w:pPr>
          </w:p>
        </w:tc>
        <w:tc>
          <w:tcPr>
            <w:tcW w:w="2491" w:type="pct"/>
            <w:gridSpan w:val="2"/>
          </w:tcPr>
          <w:p w14:paraId="04A37C90" w14:textId="577AD972"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oruchy spánku</w:t>
            </w:r>
          </w:p>
        </w:tc>
        <w:tc>
          <w:tcPr>
            <w:tcW w:w="1046" w:type="pct"/>
            <w:gridSpan w:val="2"/>
          </w:tcPr>
          <w:p w14:paraId="0EEE634D" w14:textId="1EF4C933"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7D83F8A4" w14:textId="77777777" w:rsidTr="004C045C">
        <w:trPr>
          <w:gridAfter w:val="1"/>
          <w:wAfter w:w="7" w:type="pct"/>
          <w:cantSplit/>
          <w:trHeight w:val="281"/>
          <w:jc w:val="center"/>
        </w:trPr>
        <w:tc>
          <w:tcPr>
            <w:tcW w:w="1456" w:type="pct"/>
            <w:gridSpan w:val="2"/>
            <w:vMerge w:val="restart"/>
          </w:tcPr>
          <w:p w14:paraId="237617D8" w14:textId="77777777" w:rsidR="00D52504" w:rsidRPr="0012488B" w:rsidRDefault="00D52504" w:rsidP="004C045C">
            <w:pPr>
              <w:spacing w:line="240" w:lineRule="auto"/>
              <w:rPr>
                <w:b/>
                <w:bCs/>
                <w:szCs w:val="22"/>
                <w:lang w:val="sk-SK"/>
              </w:rPr>
            </w:pPr>
            <w:r w:rsidRPr="0012488B">
              <w:rPr>
                <w:b/>
                <w:bCs/>
                <w:szCs w:val="22"/>
                <w:lang w:val="sk-SK"/>
              </w:rPr>
              <w:t>Poruchy nervového systému</w:t>
            </w:r>
          </w:p>
        </w:tc>
        <w:tc>
          <w:tcPr>
            <w:tcW w:w="2491" w:type="pct"/>
            <w:gridSpan w:val="2"/>
          </w:tcPr>
          <w:p w14:paraId="047D8886" w14:textId="2FD77AC0"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ávrat</w:t>
            </w:r>
            <w:r w:rsidR="0008253E" w:rsidRPr="0012488B">
              <w:rPr>
                <w:szCs w:val="22"/>
                <w:lang w:val="sk-SK"/>
              </w:rPr>
              <w:t>y</w:t>
            </w:r>
          </w:p>
        </w:tc>
        <w:tc>
          <w:tcPr>
            <w:tcW w:w="1046" w:type="pct"/>
            <w:gridSpan w:val="2"/>
          </w:tcPr>
          <w:p w14:paraId="5EEB21FE" w14:textId="788CEDB1"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642584B7" w14:textId="77777777" w:rsidTr="004C045C">
        <w:trPr>
          <w:gridAfter w:val="1"/>
          <w:wAfter w:w="7" w:type="pct"/>
          <w:cantSplit/>
          <w:trHeight w:val="505"/>
          <w:jc w:val="center"/>
        </w:trPr>
        <w:tc>
          <w:tcPr>
            <w:tcW w:w="1456" w:type="pct"/>
            <w:gridSpan w:val="2"/>
            <w:vMerge/>
          </w:tcPr>
          <w:p w14:paraId="4AE6B6F2" w14:textId="77777777" w:rsidR="00D52504" w:rsidRPr="0012488B" w:rsidRDefault="00D52504" w:rsidP="004C045C">
            <w:pPr>
              <w:spacing w:line="240" w:lineRule="auto"/>
              <w:rPr>
                <w:b/>
                <w:bCs/>
                <w:szCs w:val="22"/>
                <w:lang w:val="sk-SK"/>
              </w:rPr>
            </w:pPr>
          </w:p>
        </w:tc>
        <w:tc>
          <w:tcPr>
            <w:tcW w:w="2491" w:type="pct"/>
            <w:gridSpan w:val="2"/>
          </w:tcPr>
          <w:p w14:paraId="10053610" w14:textId="51878640" w:rsidR="00D52504" w:rsidRPr="0012488B" w:rsidRDefault="00205CB7" w:rsidP="004C045C">
            <w:pPr>
              <w:spacing w:line="240" w:lineRule="auto"/>
              <w:rPr>
                <w:szCs w:val="22"/>
                <w:lang w:val="sk-SK"/>
              </w:rPr>
            </w:pPr>
            <w:r w:rsidRPr="0012488B">
              <w:rPr>
                <w:szCs w:val="22"/>
                <w:lang w:val="sk-SK"/>
              </w:rPr>
              <w:t>b</w:t>
            </w:r>
            <w:r w:rsidR="00D52504" w:rsidRPr="0012488B">
              <w:rPr>
                <w:szCs w:val="22"/>
                <w:lang w:val="sk-SK"/>
              </w:rPr>
              <w:t>olesť hlavy</w:t>
            </w:r>
          </w:p>
        </w:tc>
        <w:tc>
          <w:tcPr>
            <w:tcW w:w="1046" w:type="pct"/>
            <w:gridSpan w:val="2"/>
          </w:tcPr>
          <w:p w14:paraId="32F7B69D" w14:textId="57363544"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49FEA25B" w14:textId="77777777" w:rsidTr="004C045C">
        <w:trPr>
          <w:gridAfter w:val="1"/>
          <w:wAfter w:w="7" w:type="pct"/>
          <w:cantSplit/>
          <w:trHeight w:val="471"/>
          <w:jc w:val="center"/>
        </w:trPr>
        <w:tc>
          <w:tcPr>
            <w:tcW w:w="1456" w:type="pct"/>
            <w:gridSpan w:val="2"/>
            <w:vMerge/>
          </w:tcPr>
          <w:p w14:paraId="0E615EF6" w14:textId="77777777" w:rsidR="00D52504" w:rsidRPr="0012488B" w:rsidRDefault="00D52504" w:rsidP="004C045C">
            <w:pPr>
              <w:spacing w:line="240" w:lineRule="auto"/>
              <w:rPr>
                <w:b/>
                <w:bCs/>
                <w:szCs w:val="22"/>
                <w:lang w:val="sk-SK"/>
              </w:rPr>
            </w:pPr>
          </w:p>
        </w:tc>
        <w:tc>
          <w:tcPr>
            <w:tcW w:w="2491" w:type="pct"/>
            <w:gridSpan w:val="2"/>
          </w:tcPr>
          <w:p w14:paraId="4884CE38" w14:textId="6ADA6091"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arestézi</w:t>
            </w:r>
            <w:r w:rsidR="00532B18" w:rsidRPr="0012488B">
              <w:rPr>
                <w:szCs w:val="22"/>
                <w:lang w:val="sk-SK"/>
              </w:rPr>
              <w:t>e</w:t>
            </w:r>
          </w:p>
        </w:tc>
        <w:tc>
          <w:tcPr>
            <w:tcW w:w="1046" w:type="pct"/>
            <w:gridSpan w:val="2"/>
          </w:tcPr>
          <w:p w14:paraId="29E825CB" w14:textId="56B78B11"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34DA9388" w14:textId="77777777" w:rsidTr="004C045C">
        <w:trPr>
          <w:gridAfter w:val="1"/>
          <w:wAfter w:w="7" w:type="pct"/>
          <w:cantSplit/>
          <w:trHeight w:val="79"/>
          <w:jc w:val="center"/>
        </w:trPr>
        <w:tc>
          <w:tcPr>
            <w:tcW w:w="1456" w:type="pct"/>
            <w:gridSpan w:val="2"/>
            <w:vMerge/>
          </w:tcPr>
          <w:p w14:paraId="48A74D15" w14:textId="77777777" w:rsidR="00D52504" w:rsidRPr="0012488B" w:rsidRDefault="00D52504" w:rsidP="004C045C">
            <w:pPr>
              <w:spacing w:line="240" w:lineRule="auto"/>
              <w:rPr>
                <w:b/>
                <w:bCs/>
                <w:szCs w:val="22"/>
                <w:lang w:val="sk-SK"/>
              </w:rPr>
            </w:pPr>
          </w:p>
        </w:tc>
        <w:tc>
          <w:tcPr>
            <w:tcW w:w="2491" w:type="pct"/>
            <w:gridSpan w:val="2"/>
          </w:tcPr>
          <w:p w14:paraId="5544F82B" w14:textId="5A5EF6B2" w:rsidR="00D52504" w:rsidRPr="0012488B" w:rsidRDefault="00205CB7" w:rsidP="004C045C">
            <w:pPr>
              <w:spacing w:line="240" w:lineRule="auto"/>
              <w:rPr>
                <w:szCs w:val="22"/>
                <w:lang w:val="sk-SK"/>
              </w:rPr>
            </w:pPr>
            <w:r w:rsidRPr="0012488B">
              <w:rPr>
                <w:szCs w:val="22"/>
                <w:lang w:val="sk-SK"/>
              </w:rPr>
              <w:t>v</w:t>
            </w:r>
            <w:r w:rsidR="00D52504" w:rsidRPr="0012488B">
              <w:rPr>
                <w:szCs w:val="22"/>
                <w:lang w:val="sk-SK"/>
              </w:rPr>
              <w:t>ertigo</w:t>
            </w:r>
          </w:p>
        </w:tc>
        <w:tc>
          <w:tcPr>
            <w:tcW w:w="1046" w:type="pct"/>
            <w:gridSpan w:val="2"/>
          </w:tcPr>
          <w:p w14:paraId="51F165C8" w14:textId="082AFD9C"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5375CB7F" w14:textId="77777777" w:rsidTr="004C045C">
        <w:trPr>
          <w:gridAfter w:val="1"/>
          <w:wAfter w:w="7" w:type="pct"/>
          <w:cantSplit/>
          <w:trHeight w:val="79"/>
          <w:jc w:val="center"/>
        </w:trPr>
        <w:tc>
          <w:tcPr>
            <w:tcW w:w="1456" w:type="pct"/>
            <w:gridSpan w:val="2"/>
            <w:vMerge/>
          </w:tcPr>
          <w:p w14:paraId="405A9522" w14:textId="77777777" w:rsidR="00D52504" w:rsidRPr="0012488B" w:rsidRDefault="00D52504" w:rsidP="004C045C">
            <w:pPr>
              <w:spacing w:line="240" w:lineRule="auto"/>
              <w:rPr>
                <w:b/>
                <w:bCs/>
                <w:szCs w:val="22"/>
                <w:lang w:val="sk-SK"/>
              </w:rPr>
            </w:pPr>
          </w:p>
        </w:tc>
        <w:tc>
          <w:tcPr>
            <w:tcW w:w="2491" w:type="pct"/>
            <w:gridSpan w:val="2"/>
          </w:tcPr>
          <w:p w14:paraId="6E181330" w14:textId="744FEF35" w:rsidR="00D52504" w:rsidRPr="0012488B" w:rsidRDefault="00205CB7" w:rsidP="004C045C">
            <w:pPr>
              <w:spacing w:line="240" w:lineRule="auto"/>
              <w:rPr>
                <w:szCs w:val="22"/>
                <w:lang w:val="sk-SK"/>
              </w:rPr>
            </w:pPr>
            <w:r w:rsidRPr="0012488B">
              <w:rPr>
                <w:szCs w:val="22"/>
                <w:lang w:val="sk-SK"/>
              </w:rPr>
              <w:t>s</w:t>
            </w:r>
            <w:r w:rsidR="00D52504" w:rsidRPr="0012488B">
              <w:rPr>
                <w:szCs w:val="22"/>
                <w:lang w:val="sk-SK"/>
              </w:rPr>
              <w:t>omnolencia</w:t>
            </w:r>
          </w:p>
        </w:tc>
        <w:tc>
          <w:tcPr>
            <w:tcW w:w="1046" w:type="pct"/>
            <w:gridSpan w:val="2"/>
          </w:tcPr>
          <w:p w14:paraId="2CA51079" w14:textId="3998C488"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D7B66C6" w14:textId="77777777" w:rsidTr="004C045C">
        <w:trPr>
          <w:gridAfter w:val="1"/>
          <w:wAfter w:w="7" w:type="pct"/>
          <w:cantSplit/>
          <w:trHeight w:val="79"/>
          <w:jc w:val="center"/>
        </w:trPr>
        <w:tc>
          <w:tcPr>
            <w:tcW w:w="1456" w:type="pct"/>
            <w:gridSpan w:val="2"/>
            <w:vMerge/>
          </w:tcPr>
          <w:p w14:paraId="690CA34C" w14:textId="77777777" w:rsidR="00D52504" w:rsidRPr="0012488B" w:rsidRDefault="00D52504" w:rsidP="004C045C">
            <w:pPr>
              <w:spacing w:line="240" w:lineRule="auto"/>
              <w:rPr>
                <w:b/>
                <w:bCs/>
                <w:szCs w:val="22"/>
                <w:lang w:val="sk-SK"/>
              </w:rPr>
            </w:pPr>
          </w:p>
        </w:tc>
        <w:tc>
          <w:tcPr>
            <w:tcW w:w="2491" w:type="pct"/>
            <w:gridSpan w:val="2"/>
          </w:tcPr>
          <w:p w14:paraId="24E1847C" w14:textId="34B86E0C" w:rsidR="00D52504" w:rsidRPr="0012488B" w:rsidRDefault="00205CB7" w:rsidP="004C045C">
            <w:pPr>
              <w:spacing w:line="240" w:lineRule="auto"/>
              <w:rPr>
                <w:szCs w:val="22"/>
                <w:lang w:val="sk-SK"/>
              </w:rPr>
            </w:pPr>
            <w:r w:rsidRPr="0012488B">
              <w:rPr>
                <w:szCs w:val="22"/>
                <w:lang w:val="sk-SK"/>
              </w:rPr>
              <w:t>s</w:t>
            </w:r>
            <w:r w:rsidR="00D52504" w:rsidRPr="0012488B">
              <w:rPr>
                <w:szCs w:val="22"/>
                <w:lang w:val="sk-SK"/>
              </w:rPr>
              <w:t>ynkopa</w:t>
            </w:r>
          </w:p>
        </w:tc>
        <w:tc>
          <w:tcPr>
            <w:tcW w:w="1046" w:type="pct"/>
            <w:gridSpan w:val="2"/>
          </w:tcPr>
          <w:p w14:paraId="7AA455C5" w14:textId="226297A1"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7ED8C8BB" w14:textId="77777777" w:rsidTr="004C045C">
        <w:trPr>
          <w:gridAfter w:val="1"/>
          <w:wAfter w:w="7" w:type="pct"/>
          <w:cantSplit/>
          <w:trHeight w:val="79"/>
          <w:jc w:val="center"/>
        </w:trPr>
        <w:tc>
          <w:tcPr>
            <w:tcW w:w="1456" w:type="pct"/>
            <w:gridSpan w:val="2"/>
            <w:vMerge/>
          </w:tcPr>
          <w:p w14:paraId="52226550" w14:textId="77777777" w:rsidR="00D52504" w:rsidRPr="0012488B" w:rsidRDefault="00D52504" w:rsidP="004C045C">
            <w:pPr>
              <w:spacing w:line="240" w:lineRule="auto"/>
              <w:rPr>
                <w:b/>
                <w:bCs/>
                <w:szCs w:val="22"/>
                <w:lang w:val="sk-SK"/>
              </w:rPr>
            </w:pPr>
          </w:p>
        </w:tc>
        <w:tc>
          <w:tcPr>
            <w:tcW w:w="2491" w:type="pct"/>
            <w:gridSpan w:val="2"/>
          </w:tcPr>
          <w:p w14:paraId="0C958E6C" w14:textId="3B5FCA17" w:rsidR="00D52504" w:rsidRPr="0012488B" w:rsidRDefault="00205CB7" w:rsidP="004C045C">
            <w:pPr>
              <w:spacing w:line="240" w:lineRule="auto"/>
              <w:rPr>
                <w:b/>
                <w:i/>
                <w:szCs w:val="22"/>
                <w:lang w:val="sk-SK"/>
              </w:rPr>
            </w:pPr>
            <w:r w:rsidRPr="0012488B">
              <w:rPr>
                <w:szCs w:val="22"/>
                <w:lang w:val="sk-SK"/>
              </w:rPr>
              <w:t>z</w:t>
            </w:r>
            <w:r w:rsidR="00D52504" w:rsidRPr="0012488B">
              <w:rPr>
                <w:szCs w:val="22"/>
                <w:lang w:val="sk-SK"/>
              </w:rPr>
              <w:t>mätenosť</w:t>
            </w:r>
          </w:p>
        </w:tc>
        <w:tc>
          <w:tcPr>
            <w:tcW w:w="1046" w:type="pct"/>
            <w:gridSpan w:val="2"/>
          </w:tcPr>
          <w:p w14:paraId="60858F56" w14:textId="64D89C96"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562FB522" w14:textId="77777777" w:rsidTr="004C045C">
        <w:trPr>
          <w:gridAfter w:val="1"/>
          <w:wAfter w:w="7" w:type="pct"/>
          <w:jc w:val="center"/>
        </w:trPr>
        <w:tc>
          <w:tcPr>
            <w:tcW w:w="1456" w:type="pct"/>
            <w:gridSpan w:val="2"/>
          </w:tcPr>
          <w:p w14:paraId="5D999CC0" w14:textId="77777777" w:rsidR="00D52504" w:rsidRPr="0012488B" w:rsidRDefault="00D52504" w:rsidP="004C045C">
            <w:pPr>
              <w:spacing w:line="240" w:lineRule="auto"/>
              <w:rPr>
                <w:b/>
                <w:bCs/>
                <w:szCs w:val="22"/>
                <w:lang w:val="sk-SK"/>
              </w:rPr>
            </w:pPr>
            <w:r w:rsidRPr="0012488B">
              <w:rPr>
                <w:b/>
                <w:bCs/>
                <w:szCs w:val="22"/>
                <w:lang w:val="sk-SK"/>
              </w:rPr>
              <w:t>Poruchy oka</w:t>
            </w:r>
          </w:p>
        </w:tc>
        <w:tc>
          <w:tcPr>
            <w:tcW w:w="2491" w:type="pct"/>
            <w:gridSpan w:val="2"/>
          </w:tcPr>
          <w:p w14:paraId="691F6477" w14:textId="64FC043A" w:rsidR="00D52504" w:rsidRPr="0012488B" w:rsidRDefault="00205CB7" w:rsidP="00205CB7">
            <w:pPr>
              <w:spacing w:line="240" w:lineRule="auto"/>
              <w:rPr>
                <w:szCs w:val="22"/>
                <w:lang w:val="sk-SK"/>
              </w:rPr>
            </w:pPr>
            <w:r w:rsidRPr="0012488B">
              <w:rPr>
                <w:szCs w:val="22"/>
                <w:lang w:val="sk-SK"/>
              </w:rPr>
              <w:t>p</w:t>
            </w:r>
            <w:r w:rsidR="00D52504" w:rsidRPr="0012488B">
              <w:rPr>
                <w:szCs w:val="22"/>
                <w:lang w:val="sk-SK"/>
              </w:rPr>
              <w:t>oruchy zraku</w:t>
            </w:r>
          </w:p>
        </w:tc>
        <w:tc>
          <w:tcPr>
            <w:tcW w:w="1046" w:type="pct"/>
            <w:gridSpan w:val="2"/>
          </w:tcPr>
          <w:p w14:paraId="745E0697" w14:textId="333B07D4"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18F49D7A" w14:textId="77777777" w:rsidTr="004C045C">
        <w:trPr>
          <w:gridAfter w:val="1"/>
          <w:wAfter w:w="7" w:type="pct"/>
          <w:jc w:val="center"/>
        </w:trPr>
        <w:tc>
          <w:tcPr>
            <w:tcW w:w="1456" w:type="pct"/>
            <w:gridSpan w:val="2"/>
          </w:tcPr>
          <w:p w14:paraId="7F44B0F0" w14:textId="77777777" w:rsidR="00D52504" w:rsidRPr="0012488B" w:rsidRDefault="00D52504" w:rsidP="004C045C">
            <w:pPr>
              <w:spacing w:line="240" w:lineRule="auto"/>
              <w:rPr>
                <w:b/>
                <w:bCs/>
                <w:szCs w:val="22"/>
                <w:lang w:val="sk-SK"/>
              </w:rPr>
            </w:pPr>
            <w:r w:rsidRPr="0012488B">
              <w:rPr>
                <w:b/>
                <w:bCs/>
                <w:szCs w:val="22"/>
                <w:lang w:val="sk-SK"/>
              </w:rPr>
              <w:t>Poruchy ucha a labyrintu</w:t>
            </w:r>
          </w:p>
        </w:tc>
        <w:tc>
          <w:tcPr>
            <w:tcW w:w="2491" w:type="pct"/>
            <w:gridSpan w:val="2"/>
          </w:tcPr>
          <w:p w14:paraId="0944F45B" w14:textId="7AA812EC" w:rsidR="00D52504" w:rsidRPr="0012488B" w:rsidRDefault="00205CB7" w:rsidP="00205CB7">
            <w:pPr>
              <w:spacing w:line="240" w:lineRule="auto"/>
              <w:rPr>
                <w:szCs w:val="22"/>
                <w:lang w:val="sk-SK"/>
              </w:rPr>
            </w:pPr>
            <w:r w:rsidRPr="0012488B">
              <w:rPr>
                <w:szCs w:val="22"/>
                <w:lang w:val="sk-SK"/>
              </w:rPr>
              <w:t>t</w:t>
            </w:r>
            <w:r w:rsidR="00D52504" w:rsidRPr="0012488B">
              <w:rPr>
                <w:szCs w:val="22"/>
                <w:lang w:val="sk-SK"/>
              </w:rPr>
              <w:t>innitus</w:t>
            </w:r>
          </w:p>
        </w:tc>
        <w:tc>
          <w:tcPr>
            <w:tcW w:w="1046" w:type="pct"/>
            <w:gridSpan w:val="2"/>
          </w:tcPr>
          <w:p w14:paraId="355F02A1" w14:textId="1CEAEFCE"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2388BBBC" w14:textId="77777777" w:rsidTr="004C045C">
        <w:trPr>
          <w:gridAfter w:val="1"/>
          <w:wAfter w:w="7" w:type="pct"/>
          <w:cantSplit/>
          <w:trHeight w:val="381"/>
          <w:jc w:val="center"/>
        </w:trPr>
        <w:tc>
          <w:tcPr>
            <w:tcW w:w="1456" w:type="pct"/>
            <w:gridSpan w:val="2"/>
            <w:vMerge w:val="restart"/>
          </w:tcPr>
          <w:p w14:paraId="7B4A13A1" w14:textId="77777777" w:rsidR="00D52504" w:rsidRPr="0012488B" w:rsidRDefault="00D52504" w:rsidP="004C045C">
            <w:pPr>
              <w:spacing w:line="240" w:lineRule="auto"/>
              <w:rPr>
                <w:b/>
                <w:bCs/>
                <w:szCs w:val="22"/>
                <w:lang w:val="sk-SK"/>
              </w:rPr>
            </w:pPr>
            <w:r w:rsidRPr="0012488B">
              <w:rPr>
                <w:b/>
                <w:bCs/>
                <w:szCs w:val="22"/>
                <w:lang w:val="sk-SK"/>
              </w:rPr>
              <w:t>Poruchy srdca a srdcovej činnosti</w:t>
            </w:r>
          </w:p>
        </w:tc>
        <w:tc>
          <w:tcPr>
            <w:tcW w:w="2491" w:type="pct"/>
            <w:gridSpan w:val="2"/>
          </w:tcPr>
          <w:p w14:paraId="63DFFE2C" w14:textId="7BFE8647" w:rsidR="00D52504" w:rsidRPr="0012488B" w:rsidRDefault="00205CB7" w:rsidP="00205CB7">
            <w:pPr>
              <w:spacing w:line="240" w:lineRule="auto"/>
              <w:rPr>
                <w:szCs w:val="22"/>
                <w:lang w:val="sk-SK"/>
              </w:rPr>
            </w:pPr>
            <w:r w:rsidRPr="0012488B">
              <w:rPr>
                <w:szCs w:val="22"/>
                <w:lang w:val="sk-SK"/>
              </w:rPr>
              <w:t>p</w:t>
            </w:r>
            <w:r w:rsidR="00D52504" w:rsidRPr="0012488B">
              <w:rPr>
                <w:szCs w:val="22"/>
                <w:lang w:val="sk-SK"/>
              </w:rPr>
              <w:t>alpitácie</w:t>
            </w:r>
          </w:p>
        </w:tc>
        <w:tc>
          <w:tcPr>
            <w:tcW w:w="1046" w:type="pct"/>
            <w:gridSpan w:val="2"/>
          </w:tcPr>
          <w:p w14:paraId="2326D366" w14:textId="6E7246D4"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6E9D44EA" w14:textId="77777777" w:rsidTr="004C045C">
        <w:trPr>
          <w:gridAfter w:val="1"/>
          <w:wAfter w:w="7" w:type="pct"/>
          <w:cantSplit/>
          <w:trHeight w:val="381"/>
          <w:jc w:val="center"/>
        </w:trPr>
        <w:tc>
          <w:tcPr>
            <w:tcW w:w="1456" w:type="pct"/>
            <w:gridSpan w:val="2"/>
            <w:vMerge/>
          </w:tcPr>
          <w:p w14:paraId="4F96E04E" w14:textId="77777777" w:rsidR="00D52504" w:rsidRPr="0012488B" w:rsidRDefault="00D52504" w:rsidP="004C045C">
            <w:pPr>
              <w:spacing w:line="240" w:lineRule="auto"/>
              <w:rPr>
                <w:b/>
                <w:bCs/>
                <w:szCs w:val="22"/>
                <w:lang w:val="sk-SK"/>
              </w:rPr>
            </w:pPr>
          </w:p>
        </w:tc>
        <w:tc>
          <w:tcPr>
            <w:tcW w:w="2491" w:type="pct"/>
            <w:gridSpan w:val="2"/>
          </w:tcPr>
          <w:p w14:paraId="6A27F556" w14:textId="311428BB" w:rsidR="00D52504" w:rsidRPr="0012488B" w:rsidRDefault="00205CB7" w:rsidP="004C045C">
            <w:pPr>
              <w:spacing w:line="240" w:lineRule="auto"/>
              <w:rPr>
                <w:szCs w:val="22"/>
                <w:lang w:val="sk-SK"/>
              </w:rPr>
            </w:pPr>
            <w:r w:rsidRPr="0012488B">
              <w:rPr>
                <w:szCs w:val="22"/>
                <w:lang w:val="sk-SK"/>
              </w:rPr>
              <w:t>t</w:t>
            </w:r>
            <w:r w:rsidR="00D52504" w:rsidRPr="0012488B">
              <w:rPr>
                <w:szCs w:val="22"/>
                <w:lang w:val="sk-SK"/>
              </w:rPr>
              <w:t>achykardia</w:t>
            </w:r>
          </w:p>
        </w:tc>
        <w:tc>
          <w:tcPr>
            <w:tcW w:w="1046" w:type="pct"/>
            <w:gridSpan w:val="2"/>
          </w:tcPr>
          <w:p w14:paraId="19FBDEC1" w14:textId="6D6B4F32"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EB8B78C" w14:textId="77777777" w:rsidTr="004C045C">
        <w:trPr>
          <w:gridAfter w:val="1"/>
          <w:wAfter w:w="7" w:type="pct"/>
          <w:cantSplit/>
          <w:trHeight w:val="381"/>
          <w:jc w:val="center"/>
        </w:trPr>
        <w:tc>
          <w:tcPr>
            <w:tcW w:w="1456" w:type="pct"/>
            <w:gridSpan w:val="2"/>
            <w:vMerge/>
          </w:tcPr>
          <w:p w14:paraId="2269A4B2" w14:textId="77777777" w:rsidR="00D52504" w:rsidRPr="0012488B" w:rsidRDefault="00D52504" w:rsidP="004C045C">
            <w:pPr>
              <w:spacing w:line="240" w:lineRule="auto"/>
              <w:rPr>
                <w:b/>
                <w:bCs/>
                <w:szCs w:val="22"/>
                <w:lang w:val="sk-SK"/>
              </w:rPr>
            </w:pPr>
          </w:p>
        </w:tc>
        <w:tc>
          <w:tcPr>
            <w:tcW w:w="2491" w:type="pct"/>
            <w:gridSpan w:val="2"/>
          </w:tcPr>
          <w:p w14:paraId="49DFF27E" w14:textId="48CA1305" w:rsidR="00D52504" w:rsidRPr="0012488B" w:rsidRDefault="00205CB7" w:rsidP="00205CB7">
            <w:pPr>
              <w:spacing w:line="240" w:lineRule="auto"/>
              <w:rPr>
                <w:szCs w:val="22"/>
                <w:lang w:val="sk-SK"/>
              </w:rPr>
            </w:pPr>
            <w:r w:rsidRPr="0012488B">
              <w:rPr>
                <w:szCs w:val="22"/>
                <w:lang w:val="sk-SK"/>
              </w:rPr>
              <w:t>a</w:t>
            </w:r>
            <w:r w:rsidR="00D52504" w:rsidRPr="0012488B">
              <w:rPr>
                <w:szCs w:val="22"/>
                <w:lang w:val="sk-SK"/>
              </w:rPr>
              <w:t>ngína pektoris (pozri časť 4.4)</w:t>
            </w:r>
          </w:p>
        </w:tc>
        <w:tc>
          <w:tcPr>
            <w:tcW w:w="1046" w:type="pct"/>
            <w:gridSpan w:val="2"/>
          </w:tcPr>
          <w:p w14:paraId="2F669D99" w14:textId="0B48895A"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4BFA9C5D" w14:textId="77777777" w:rsidTr="004C045C">
        <w:trPr>
          <w:gridAfter w:val="1"/>
          <w:wAfter w:w="7" w:type="pct"/>
          <w:cantSplit/>
          <w:trHeight w:val="54"/>
          <w:jc w:val="center"/>
        </w:trPr>
        <w:tc>
          <w:tcPr>
            <w:tcW w:w="1456" w:type="pct"/>
            <w:gridSpan w:val="2"/>
            <w:vMerge/>
          </w:tcPr>
          <w:p w14:paraId="5F663BD7" w14:textId="77777777" w:rsidR="00D52504" w:rsidRPr="0012488B" w:rsidRDefault="00D52504" w:rsidP="004C045C">
            <w:pPr>
              <w:spacing w:line="240" w:lineRule="auto"/>
              <w:rPr>
                <w:b/>
                <w:bCs/>
                <w:szCs w:val="22"/>
                <w:lang w:val="sk-SK"/>
              </w:rPr>
            </w:pPr>
          </w:p>
        </w:tc>
        <w:tc>
          <w:tcPr>
            <w:tcW w:w="2491" w:type="pct"/>
            <w:gridSpan w:val="2"/>
          </w:tcPr>
          <w:p w14:paraId="701299F8" w14:textId="78C9EFB3" w:rsidR="00D52504" w:rsidRPr="0012488B" w:rsidRDefault="00205CB7" w:rsidP="00205CB7">
            <w:pPr>
              <w:spacing w:line="240" w:lineRule="auto"/>
              <w:rPr>
                <w:szCs w:val="22"/>
                <w:lang w:val="sk-SK"/>
              </w:rPr>
            </w:pPr>
            <w:r w:rsidRPr="0012488B">
              <w:rPr>
                <w:szCs w:val="22"/>
                <w:lang w:val="sk-SK"/>
              </w:rPr>
              <w:t>a</w:t>
            </w:r>
            <w:r w:rsidR="00D52504" w:rsidRPr="0012488B">
              <w:rPr>
                <w:szCs w:val="22"/>
                <w:lang w:val="sk-SK"/>
              </w:rPr>
              <w:t>rytmia</w:t>
            </w:r>
          </w:p>
        </w:tc>
        <w:tc>
          <w:tcPr>
            <w:tcW w:w="1046" w:type="pct"/>
            <w:gridSpan w:val="2"/>
          </w:tcPr>
          <w:p w14:paraId="14A9AA65" w14:textId="75FD9418"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1132F378" w14:textId="77777777" w:rsidTr="004C045C">
        <w:trPr>
          <w:gridAfter w:val="1"/>
          <w:wAfter w:w="7" w:type="pct"/>
          <w:cantSplit/>
          <w:trHeight w:val="90"/>
          <w:jc w:val="center"/>
        </w:trPr>
        <w:tc>
          <w:tcPr>
            <w:tcW w:w="1456" w:type="pct"/>
            <w:gridSpan w:val="2"/>
            <w:vMerge/>
          </w:tcPr>
          <w:p w14:paraId="684D740C" w14:textId="77777777" w:rsidR="00D52504" w:rsidRPr="0012488B" w:rsidRDefault="00D52504" w:rsidP="004C045C">
            <w:pPr>
              <w:spacing w:line="240" w:lineRule="auto"/>
              <w:rPr>
                <w:b/>
                <w:bCs/>
                <w:szCs w:val="22"/>
                <w:lang w:val="sk-SK"/>
              </w:rPr>
            </w:pPr>
          </w:p>
        </w:tc>
        <w:tc>
          <w:tcPr>
            <w:tcW w:w="2491" w:type="pct"/>
            <w:gridSpan w:val="2"/>
          </w:tcPr>
          <w:p w14:paraId="7E69EF82" w14:textId="1C27567B" w:rsidR="00D52504" w:rsidRPr="0012488B" w:rsidRDefault="00205CB7" w:rsidP="004C045C">
            <w:pPr>
              <w:spacing w:line="240" w:lineRule="auto"/>
              <w:rPr>
                <w:szCs w:val="22"/>
                <w:lang w:val="sk-SK"/>
              </w:rPr>
            </w:pPr>
            <w:r w:rsidRPr="0012488B">
              <w:rPr>
                <w:szCs w:val="22"/>
                <w:lang w:val="sk-SK"/>
              </w:rPr>
              <w:t>i</w:t>
            </w:r>
            <w:r w:rsidR="00D52504" w:rsidRPr="0012488B">
              <w:rPr>
                <w:szCs w:val="22"/>
                <w:lang w:val="sk-SK"/>
              </w:rPr>
              <w:t>nfarkt myokardu, pravdepodobne sekundárny v dôsledku nadmernej hypotenzie u vysokorizikových pacientov (pozri časť 4.4)</w:t>
            </w:r>
          </w:p>
        </w:tc>
        <w:tc>
          <w:tcPr>
            <w:tcW w:w="1046" w:type="pct"/>
            <w:gridSpan w:val="2"/>
          </w:tcPr>
          <w:p w14:paraId="411657CC" w14:textId="2C2D669B"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174E0426" w14:textId="77777777" w:rsidTr="004C045C">
        <w:trPr>
          <w:gridAfter w:val="1"/>
          <w:wAfter w:w="7" w:type="pct"/>
          <w:cantSplit/>
          <w:trHeight w:val="451"/>
          <w:jc w:val="center"/>
        </w:trPr>
        <w:tc>
          <w:tcPr>
            <w:tcW w:w="1456" w:type="pct"/>
            <w:gridSpan w:val="2"/>
            <w:vMerge w:val="restart"/>
          </w:tcPr>
          <w:p w14:paraId="6AB30B92" w14:textId="77777777" w:rsidR="00D52504" w:rsidRPr="0012488B" w:rsidRDefault="00D52504" w:rsidP="004C045C">
            <w:pPr>
              <w:spacing w:line="240" w:lineRule="auto"/>
              <w:rPr>
                <w:b/>
                <w:bCs/>
                <w:szCs w:val="22"/>
                <w:lang w:val="sk-SK"/>
              </w:rPr>
            </w:pPr>
            <w:r w:rsidRPr="0012488B">
              <w:rPr>
                <w:b/>
                <w:bCs/>
                <w:szCs w:val="22"/>
                <w:lang w:val="sk-SK"/>
              </w:rPr>
              <w:t>Poruchy ciev</w:t>
            </w:r>
          </w:p>
        </w:tc>
        <w:tc>
          <w:tcPr>
            <w:tcW w:w="2491" w:type="pct"/>
            <w:gridSpan w:val="2"/>
          </w:tcPr>
          <w:p w14:paraId="71CFDD17" w14:textId="64C60B71" w:rsidR="00D52504" w:rsidRPr="0012488B" w:rsidRDefault="00205CB7" w:rsidP="004C045C">
            <w:pPr>
              <w:spacing w:line="240" w:lineRule="auto"/>
              <w:rPr>
                <w:szCs w:val="22"/>
                <w:lang w:val="sk-SK"/>
              </w:rPr>
            </w:pPr>
            <w:r w:rsidRPr="0012488B">
              <w:rPr>
                <w:szCs w:val="22"/>
                <w:lang w:val="sk-SK"/>
              </w:rPr>
              <w:t>h</w:t>
            </w:r>
            <w:r w:rsidR="00D52504" w:rsidRPr="0012488B">
              <w:rPr>
                <w:szCs w:val="22"/>
                <w:lang w:val="sk-SK"/>
              </w:rPr>
              <w:t>ypotenzia (a účinky súvisiace s hypotenziou)</w:t>
            </w:r>
          </w:p>
        </w:tc>
        <w:tc>
          <w:tcPr>
            <w:tcW w:w="1046" w:type="pct"/>
            <w:gridSpan w:val="2"/>
          </w:tcPr>
          <w:p w14:paraId="4E61C1A0" w14:textId="1CB1E4AA"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6620C7D0" w14:textId="77777777" w:rsidTr="004C045C">
        <w:trPr>
          <w:gridAfter w:val="1"/>
          <w:wAfter w:w="7" w:type="pct"/>
          <w:cantSplit/>
          <w:trHeight w:val="90"/>
          <w:jc w:val="center"/>
        </w:trPr>
        <w:tc>
          <w:tcPr>
            <w:tcW w:w="1456" w:type="pct"/>
            <w:gridSpan w:val="2"/>
            <w:vMerge/>
          </w:tcPr>
          <w:p w14:paraId="2701E44C" w14:textId="77777777" w:rsidR="00D52504" w:rsidRPr="0012488B" w:rsidRDefault="00D52504" w:rsidP="004C045C">
            <w:pPr>
              <w:spacing w:line="240" w:lineRule="auto"/>
              <w:rPr>
                <w:b/>
                <w:bCs/>
                <w:szCs w:val="22"/>
                <w:lang w:val="sk-SK"/>
              </w:rPr>
            </w:pPr>
          </w:p>
        </w:tc>
        <w:tc>
          <w:tcPr>
            <w:tcW w:w="2491" w:type="pct"/>
            <w:gridSpan w:val="2"/>
          </w:tcPr>
          <w:p w14:paraId="0E9FFDD2" w14:textId="6F9E15D6" w:rsidR="00D52504" w:rsidRPr="0012488B" w:rsidRDefault="00205CB7" w:rsidP="004C045C">
            <w:pPr>
              <w:spacing w:line="240" w:lineRule="auto"/>
              <w:rPr>
                <w:szCs w:val="22"/>
                <w:lang w:val="sk-SK"/>
              </w:rPr>
            </w:pPr>
            <w:r w:rsidRPr="0012488B">
              <w:rPr>
                <w:szCs w:val="22"/>
                <w:lang w:val="sk-SK"/>
              </w:rPr>
              <w:t>v</w:t>
            </w:r>
            <w:r w:rsidR="00D52504" w:rsidRPr="0012488B">
              <w:rPr>
                <w:szCs w:val="22"/>
                <w:lang w:val="sk-SK"/>
              </w:rPr>
              <w:t>askulitída</w:t>
            </w:r>
          </w:p>
        </w:tc>
        <w:tc>
          <w:tcPr>
            <w:tcW w:w="1046" w:type="pct"/>
            <w:gridSpan w:val="2"/>
          </w:tcPr>
          <w:p w14:paraId="2AD91C56" w14:textId="1EB8A8E8"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65248402" w14:textId="77777777" w:rsidTr="004C045C">
        <w:trPr>
          <w:gridAfter w:val="1"/>
          <w:wAfter w:w="7" w:type="pct"/>
          <w:cantSplit/>
          <w:trHeight w:val="90"/>
          <w:jc w:val="center"/>
        </w:trPr>
        <w:tc>
          <w:tcPr>
            <w:tcW w:w="1456" w:type="pct"/>
            <w:gridSpan w:val="2"/>
            <w:vMerge/>
          </w:tcPr>
          <w:p w14:paraId="129E55B9" w14:textId="77777777" w:rsidR="00D52504" w:rsidRPr="0012488B" w:rsidRDefault="00D52504" w:rsidP="004C045C">
            <w:pPr>
              <w:spacing w:line="240" w:lineRule="auto"/>
              <w:rPr>
                <w:b/>
                <w:bCs/>
                <w:szCs w:val="22"/>
                <w:lang w:val="sk-SK"/>
              </w:rPr>
            </w:pPr>
          </w:p>
        </w:tc>
        <w:tc>
          <w:tcPr>
            <w:tcW w:w="2491" w:type="pct"/>
            <w:gridSpan w:val="2"/>
          </w:tcPr>
          <w:p w14:paraId="5F4B67E8" w14:textId="2D3490FE" w:rsidR="00D52504" w:rsidRPr="0012488B" w:rsidRDefault="00205CB7" w:rsidP="004C045C">
            <w:pPr>
              <w:spacing w:line="240" w:lineRule="auto"/>
              <w:rPr>
                <w:szCs w:val="22"/>
                <w:lang w:val="sk-SK"/>
              </w:rPr>
            </w:pPr>
            <w:r w:rsidRPr="0012488B">
              <w:rPr>
                <w:szCs w:val="22"/>
                <w:lang w:val="sk-SK"/>
              </w:rPr>
              <w:t>m</w:t>
            </w:r>
            <w:r w:rsidR="00D52504" w:rsidRPr="0012488B">
              <w:rPr>
                <w:szCs w:val="22"/>
                <w:lang w:val="sk-SK"/>
              </w:rPr>
              <w:t>ozgová príhoda, pravdepodobne sekundárna v dôsledku nadmernej hypotenzie u vysokorizikových pacientov (pozri časť 4.4)</w:t>
            </w:r>
          </w:p>
        </w:tc>
        <w:tc>
          <w:tcPr>
            <w:tcW w:w="1046" w:type="pct"/>
            <w:gridSpan w:val="2"/>
          </w:tcPr>
          <w:p w14:paraId="6ADE16FB" w14:textId="54AB2967"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42E1D499" w14:textId="77777777" w:rsidTr="004C045C">
        <w:trPr>
          <w:gridAfter w:val="1"/>
          <w:wAfter w:w="7" w:type="pct"/>
          <w:cantSplit/>
          <w:trHeight w:val="324"/>
          <w:jc w:val="center"/>
        </w:trPr>
        <w:tc>
          <w:tcPr>
            <w:tcW w:w="1456" w:type="pct"/>
            <w:gridSpan w:val="2"/>
            <w:vMerge w:val="restart"/>
          </w:tcPr>
          <w:p w14:paraId="44E91F10" w14:textId="77777777" w:rsidR="00D52504" w:rsidRPr="0012488B" w:rsidRDefault="00D52504" w:rsidP="004C045C">
            <w:pPr>
              <w:spacing w:line="240" w:lineRule="auto"/>
              <w:rPr>
                <w:b/>
                <w:bCs/>
                <w:szCs w:val="22"/>
                <w:lang w:val="sk-SK"/>
              </w:rPr>
            </w:pPr>
            <w:r w:rsidRPr="0012488B">
              <w:rPr>
                <w:b/>
                <w:bCs/>
                <w:szCs w:val="22"/>
                <w:lang w:val="sk-SK"/>
              </w:rPr>
              <w:t>Poruchy dýchacej sústavy, hrudníka a mediastína</w:t>
            </w:r>
          </w:p>
        </w:tc>
        <w:tc>
          <w:tcPr>
            <w:tcW w:w="2491" w:type="pct"/>
            <w:gridSpan w:val="2"/>
            <w:tcBorders>
              <w:bottom w:val="single" w:sz="4" w:space="0" w:color="auto"/>
            </w:tcBorders>
          </w:tcPr>
          <w:p w14:paraId="3E597697" w14:textId="4560390C" w:rsidR="00D52504" w:rsidRPr="0012488B" w:rsidRDefault="00205CB7" w:rsidP="00205CB7">
            <w:pPr>
              <w:spacing w:line="240" w:lineRule="auto"/>
              <w:rPr>
                <w:szCs w:val="22"/>
                <w:lang w:val="sk-SK"/>
              </w:rPr>
            </w:pPr>
            <w:r w:rsidRPr="0012488B">
              <w:rPr>
                <w:szCs w:val="22"/>
                <w:lang w:val="sk-SK"/>
              </w:rPr>
              <w:t>k</w:t>
            </w:r>
            <w:r w:rsidR="00D52504" w:rsidRPr="0012488B">
              <w:rPr>
                <w:szCs w:val="22"/>
                <w:lang w:val="sk-SK"/>
              </w:rPr>
              <w:t>ašeľ</w:t>
            </w:r>
          </w:p>
        </w:tc>
        <w:tc>
          <w:tcPr>
            <w:tcW w:w="1046" w:type="pct"/>
            <w:gridSpan w:val="2"/>
            <w:tcBorders>
              <w:bottom w:val="single" w:sz="4" w:space="0" w:color="auto"/>
            </w:tcBorders>
          </w:tcPr>
          <w:p w14:paraId="0927472A" w14:textId="17795907"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0974616E" w14:textId="77777777" w:rsidTr="004C045C">
        <w:trPr>
          <w:gridAfter w:val="1"/>
          <w:wAfter w:w="7" w:type="pct"/>
          <w:cantSplit/>
          <w:trHeight w:val="275"/>
          <w:jc w:val="center"/>
        </w:trPr>
        <w:tc>
          <w:tcPr>
            <w:tcW w:w="1456" w:type="pct"/>
            <w:gridSpan w:val="2"/>
            <w:vMerge/>
          </w:tcPr>
          <w:p w14:paraId="6CA5D037" w14:textId="77777777" w:rsidR="00D52504" w:rsidRPr="0012488B" w:rsidRDefault="00D52504" w:rsidP="004C045C">
            <w:pPr>
              <w:spacing w:line="240" w:lineRule="auto"/>
              <w:rPr>
                <w:b/>
                <w:bCs/>
                <w:szCs w:val="22"/>
                <w:lang w:val="sk-SK"/>
              </w:rPr>
            </w:pPr>
          </w:p>
        </w:tc>
        <w:tc>
          <w:tcPr>
            <w:tcW w:w="2491" w:type="pct"/>
            <w:gridSpan w:val="2"/>
            <w:tcBorders>
              <w:top w:val="single" w:sz="4" w:space="0" w:color="auto"/>
            </w:tcBorders>
          </w:tcPr>
          <w:p w14:paraId="3031B7A1" w14:textId="255928F4" w:rsidR="00D52504" w:rsidRPr="0012488B" w:rsidRDefault="00205CB7" w:rsidP="00205CB7">
            <w:pPr>
              <w:spacing w:line="240" w:lineRule="auto"/>
              <w:rPr>
                <w:szCs w:val="22"/>
                <w:lang w:val="sk-SK"/>
              </w:rPr>
            </w:pPr>
            <w:r w:rsidRPr="0012488B">
              <w:rPr>
                <w:szCs w:val="22"/>
                <w:lang w:val="sk-SK"/>
              </w:rPr>
              <w:t>d</w:t>
            </w:r>
            <w:r w:rsidR="00D52504" w:rsidRPr="0012488B">
              <w:rPr>
                <w:szCs w:val="22"/>
                <w:lang w:val="sk-SK"/>
              </w:rPr>
              <w:t>yspnoe</w:t>
            </w:r>
          </w:p>
        </w:tc>
        <w:tc>
          <w:tcPr>
            <w:tcW w:w="1046" w:type="pct"/>
            <w:gridSpan w:val="2"/>
            <w:tcBorders>
              <w:top w:val="single" w:sz="4" w:space="0" w:color="auto"/>
            </w:tcBorders>
          </w:tcPr>
          <w:p w14:paraId="7E5E79D2" w14:textId="6884D016"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4AA09290" w14:textId="77777777" w:rsidTr="004C045C">
        <w:trPr>
          <w:gridAfter w:val="1"/>
          <w:wAfter w:w="7" w:type="pct"/>
          <w:cantSplit/>
          <w:trHeight w:val="275"/>
          <w:jc w:val="center"/>
        </w:trPr>
        <w:tc>
          <w:tcPr>
            <w:tcW w:w="1456" w:type="pct"/>
            <w:gridSpan w:val="2"/>
            <w:vMerge/>
          </w:tcPr>
          <w:p w14:paraId="50CA816A" w14:textId="77777777" w:rsidR="00D52504" w:rsidRPr="0012488B" w:rsidRDefault="00D52504" w:rsidP="004C045C">
            <w:pPr>
              <w:spacing w:line="240" w:lineRule="auto"/>
              <w:rPr>
                <w:b/>
                <w:bCs/>
                <w:szCs w:val="22"/>
                <w:lang w:val="sk-SK"/>
              </w:rPr>
            </w:pPr>
          </w:p>
        </w:tc>
        <w:tc>
          <w:tcPr>
            <w:tcW w:w="2491" w:type="pct"/>
            <w:gridSpan w:val="2"/>
          </w:tcPr>
          <w:p w14:paraId="03D3B227" w14:textId="4A2FC5B7" w:rsidR="00D52504" w:rsidRPr="0012488B" w:rsidRDefault="00205CB7" w:rsidP="004C045C">
            <w:pPr>
              <w:spacing w:line="240" w:lineRule="auto"/>
              <w:rPr>
                <w:szCs w:val="22"/>
                <w:lang w:val="sk-SK"/>
              </w:rPr>
            </w:pPr>
            <w:r w:rsidRPr="0012488B">
              <w:rPr>
                <w:szCs w:val="22"/>
                <w:lang w:val="sk-SK"/>
              </w:rPr>
              <w:t>b</w:t>
            </w:r>
            <w:r w:rsidR="00D52504" w:rsidRPr="0012488B">
              <w:rPr>
                <w:szCs w:val="22"/>
                <w:lang w:val="sk-SK"/>
              </w:rPr>
              <w:t>ronchospazmus</w:t>
            </w:r>
          </w:p>
        </w:tc>
        <w:tc>
          <w:tcPr>
            <w:tcW w:w="1046" w:type="pct"/>
            <w:gridSpan w:val="2"/>
          </w:tcPr>
          <w:p w14:paraId="6B663232" w14:textId="25C0E2A3"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3326C510" w14:textId="77777777" w:rsidTr="004C045C">
        <w:trPr>
          <w:gridAfter w:val="1"/>
          <w:wAfter w:w="7" w:type="pct"/>
          <w:cantSplit/>
          <w:trHeight w:val="275"/>
          <w:jc w:val="center"/>
        </w:trPr>
        <w:tc>
          <w:tcPr>
            <w:tcW w:w="1456" w:type="pct"/>
            <w:gridSpan w:val="2"/>
            <w:vMerge/>
          </w:tcPr>
          <w:p w14:paraId="0D237575" w14:textId="77777777" w:rsidR="00D52504" w:rsidRPr="0012488B" w:rsidRDefault="00D52504" w:rsidP="004C045C">
            <w:pPr>
              <w:spacing w:line="240" w:lineRule="auto"/>
              <w:rPr>
                <w:b/>
                <w:bCs/>
                <w:szCs w:val="22"/>
                <w:lang w:val="sk-SK"/>
              </w:rPr>
            </w:pPr>
          </w:p>
        </w:tc>
        <w:tc>
          <w:tcPr>
            <w:tcW w:w="2491" w:type="pct"/>
            <w:gridSpan w:val="2"/>
          </w:tcPr>
          <w:p w14:paraId="245DC67F" w14:textId="73C342EE" w:rsidR="00D52504" w:rsidRPr="0012488B" w:rsidRDefault="00205CB7" w:rsidP="004C045C">
            <w:pPr>
              <w:spacing w:line="240" w:lineRule="auto"/>
              <w:rPr>
                <w:szCs w:val="22"/>
                <w:lang w:val="sk-SK"/>
              </w:rPr>
            </w:pPr>
            <w:r w:rsidRPr="0012488B">
              <w:rPr>
                <w:szCs w:val="22"/>
                <w:lang w:val="sk-SK"/>
              </w:rPr>
              <w:t>e</w:t>
            </w:r>
            <w:r w:rsidR="00D52504" w:rsidRPr="0012488B">
              <w:rPr>
                <w:szCs w:val="22"/>
                <w:lang w:val="sk-SK"/>
              </w:rPr>
              <w:t>ozinofilná pneumónia</w:t>
            </w:r>
          </w:p>
        </w:tc>
        <w:tc>
          <w:tcPr>
            <w:tcW w:w="1046" w:type="pct"/>
            <w:gridSpan w:val="2"/>
          </w:tcPr>
          <w:p w14:paraId="3C94CA6E" w14:textId="24EB9BC0"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243E8031" w14:textId="77777777" w:rsidTr="004C045C">
        <w:trPr>
          <w:gridAfter w:val="1"/>
          <w:wAfter w:w="7" w:type="pct"/>
          <w:cantSplit/>
          <w:trHeight w:val="275"/>
          <w:jc w:val="center"/>
        </w:trPr>
        <w:tc>
          <w:tcPr>
            <w:tcW w:w="1456" w:type="pct"/>
            <w:gridSpan w:val="2"/>
            <w:vMerge/>
            <w:tcBorders>
              <w:bottom w:val="single" w:sz="4" w:space="0" w:color="auto"/>
            </w:tcBorders>
          </w:tcPr>
          <w:p w14:paraId="7162CE40" w14:textId="77777777" w:rsidR="00D52504" w:rsidRPr="0012488B" w:rsidRDefault="00D52504" w:rsidP="004C045C">
            <w:pPr>
              <w:spacing w:line="240" w:lineRule="auto"/>
              <w:rPr>
                <w:b/>
                <w:bCs/>
                <w:szCs w:val="22"/>
                <w:lang w:val="sk-SK"/>
              </w:rPr>
            </w:pPr>
          </w:p>
        </w:tc>
        <w:tc>
          <w:tcPr>
            <w:tcW w:w="2491" w:type="pct"/>
            <w:gridSpan w:val="2"/>
          </w:tcPr>
          <w:p w14:paraId="768F6C7A" w14:textId="7DC2CED1" w:rsidR="00D52504" w:rsidRPr="0012488B" w:rsidRDefault="00205CB7" w:rsidP="004C045C">
            <w:pPr>
              <w:spacing w:line="240" w:lineRule="auto"/>
              <w:rPr>
                <w:szCs w:val="22"/>
                <w:lang w:val="sk-SK"/>
              </w:rPr>
            </w:pPr>
            <w:r w:rsidRPr="0012488B">
              <w:rPr>
                <w:szCs w:val="22"/>
                <w:lang w:val="sk-SK"/>
              </w:rPr>
              <w:t>r</w:t>
            </w:r>
            <w:r w:rsidR="00D52504" w:rsidRPr="0012488B">
              <w:rPr>
                <w:szCs w:val="22"/>
                <w:lang w:val="sk-SK"/>
              </w:rPr>
              <w:t>initída</w:t>
            </w:r>
          </w:p>
        </w:tc>
        <w:tc>
          <w:tcPr>
            <w:tcW w:w="1046" w:type="pct"/>
            <w:gridSpan w:val="2"/>
          </w:tcPr>
          <w:p w14:paraId="77416EA4" w14:textId="35851F5D"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70B2E3F3" w14:textId="77777777" w:rsidTr="004C045C">
        <w:trPr>
          <w:gridAfter w:val="1"/>
          <w:wAfter w:w="7" w:type="pct"/>
          <w:cantSplit/>
          <w:trHeight w:val="413"/>
          <w:jc w:val="center"/>
        </w:trPr>
        <w:tc>
          <w:tcPr>
            <w:tcW w:w="1456" w:type="pct"/>
            <w:gridSpan w:val="2"/>
            <w:vMerge w:val="restart"/>
          </w:tcPr>
          <w:p w14:paraId="0CC89FF6" w14:textId="77777777" w:rsidR="00D52504" w:rsidRPr="0012488B" w:rsidRDefault="00D52504" w:rsidP="004C045C">
            <w:pPr>
              <w:spacing w:line="240" w:lineRule="auto"/>
              <w:rPr>
                <w:b/>
                <w:bCs/>
                <w:szCs w:val="22"/>
                <w:lang w:val="sk-SK"/>
              </w:rPr>
            </w:pPr>
            <w:r w:rsidRPr="0012488B">
              <w:rPr>
                <w:b/>
                <w:bCs/>
                <w:szCs w:val="22"/>
                <w:lang w:val="sk-SK"/>
              </w:rPr>
              <w:t>Poruchy gastrointestinálneho traktu</w:t>
            </w:r>
          </w:p>
        </w:tc>
        <w:tc>
          <w:tcPr>
            <w:tcW w:w="2491" w:type="pct"/>
            <w:gridSpan w:val="2"/>
          </w:tcPr>
          <w:p w14:paraId="07AD50C6" w14:textId="4F10FAF1" w:rsidR="00D52504" w:rsidRPr="0012488B" w:rsidRDefault="00205CB7" w:rsidP="004C045C">
            <w:pPr>
              <w:spacing w:line="240" w:lineRule="auto"/>
              <w:rPr>
                <w:szCs w:val="22"/>
                <w:lang w:val="sk-SK"/>
              </w:rPr>
            </w:pPr>
            <w:r w:rsidRPr="0012488B">
              <w:rPr>
                <w:szCs w:val="22"/>
                <w:lang w:val="sk-SK"/>
              </w:rPr>
              <w:t>b</w:t>
            </w:r>
            <w:r w:rsidR="00D52504" w:rsidRPr="0012488B">
              <w:rPr>
                <w:szCs w:val="22"/>
                <w:lang w:val="sk-SK"/>
              </w:rPr>
              <w:t>olesť brucha</w:t>
            </w:r>
          </w:p>
        </w:tc>
        <w:tc>
          <w:tcPr>
            <w:tcW w:w="1046" w:type="pct"/>
            <w:gridSpan w:val="2"/>
          </w:tcPr>
          <w:p w14:paraId="1F007C72" w14:textId="5977C651"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270B5BE6" w14:textId="77777777" w:rsidTr="004C045C">
        <w:trPr>
          <w:gridAfter w:val="1"/>
          <w:wAfter w:w="7" w:type="pct"/>
          <w:cantSplit/>
          <w:trHeight w:val="413"/>
          <w:jc w:val="center"/>
        </w:trPr>
        <w:tc>
          <w:tcPr>
            <w:tcW w:w="1456" w:type="pct"/>
            <w:gridSpan w:val="2"/>
            <w:vMerge/>
          </w:tcPr>
          <w:p w14:paraId="19DFC682" w14:textId="77777777" w:rsidR="00D52504" w:rsidRPr="0012488B" w:rsidRDefault="00D52504" w:rsidP="004C045C">
            <w:pPr>
              <w:spacing w:line="240" w:lineRule="auto"/>
              <w:rPr>
                <w:b/>
                <w:bCs/>
                <w:szCs w:val="22"/>
                <w:lang w:val="sk-SK"/>
              </w:rPr>
            </w:pPr>
          </w:p>
        </w:tc>
        <w:tc>
          <w:tcPr>
            <w:tcW w:w="2491" w:type="pct"/>
            <w:gridSpan w:val="2"/>
          </w:tcPr>
          <w:p w14:paraId="38CF2BFD" w14:textId="62FFF84D" w:rsidR="00D52504" w:rsidRPr="0012488B" w:rsidRDefault="00205CB7" w:rsidP="00205CB7">
            <w:pPr>
              <w:spacing w:line="240" w:lineRule="auto"/>
              <w:rPr>
                <w:szCs w:val="22"/>
                <w:lang w:val="sk-SK"/>
              </w:rPr>
            </w:pPr>
            <w:r w:rsidRPr="0012488B">
              <w:rPr>
                <w:szCs w:val="22"/>
                <w:lang w:val="sk-SK"/>
              </w:rPr>
              <w:t>z</w:t>
            </w:r>
            <w:r w:rsidR="00D52504" w:rsidRPr="0012488B">
              <w:rPr>
                <w:szCs w:val="22"/>
                <w:lang w:val="sk-SK"/>
              </w:rPr>
              <w:t>ápcha</w:t>
            </w:r>
          </w:p>
        </w:tc>
        <w:tc>
          <w:tcPr>
            <w:tcW w:w="1046" w:type="pct"/>
            <w:gridSpan w:val="2"/>
          </w:tcPr>
          <w:p w14:paraId="7ED75CAD" w14:textId="10E58AE0"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70B8859C" w14:textId="77777777" w:rsidTr="004C045C">
        <w:trPr>
          <w:gridAfter w:val="1"/>
          <w:wAfter w:w="7" w:type="pct"/>
          <w:cantSplit/>
          <w:trHeight w:val="413"/>
          <w:jc w:val="center"/>
        </w:trPr>
        <w:tc>
          <w:tcPr>
            <w:tcW w:w="1456" w:type="pct"/>
            <w:gridSpan w:val="2"/>
            <w:vMerge/>
          </w:tcPr>
          <w:p w14:paraId="79D1548D" w14:textId="77777777" w:rsidR="00D52504" w:rsidRPr="0012488B" w:rsidRDefault="00D52504" w:rsidP="004C045C">
            <w:pPr>
              <w:spacing w:line="240" w:lineRule="auto"/>
              <w:rPr>
                <w:b/>
                <w:bCs/>
                <w:szCs w:val="22"/>
                <w:lang w:val="sk-SK"/>
              </w:rPr>
            </w:pPr>
          </w:p>
        </w:tc>
        <w:tc>
          <w:tcPr>
            <w:tcW w:w="2491" w:type="pct"/>
            <w:gridSpan w:val="2"/>
          </w:tcPr>
          <w:p w14:paraId="6EA5A8CB" w14:textId="510D723D" w:rsidR="00D52504" w:rsidRPr="0012488B" w:rsidRDefault="00205CB7" w:rsidP="004C045C">
            <w:pPr>
              <w:spacing w:line="240" w:lineRule="auto"/>
              <w:rPr>
                <w:szCs w:val="22"/>
                <w:lang w:val="sk-SK"/>
              </w:rPr>
            </w:pPr>
            <w:r w:rsidRPr="0012488B">
              <w:rPr>
                <w:szCs w:val="22"/>
                <w:lang w:val="sk-SK"/>
              </w:rPr>
              <w:t>h</w:t>
            </w:r>
            <w:r w:rsidR="00D52504" w:rsidRPr="0012488B">
              <w:rPr>
                <w:szCs w:val="22"/>
                <w:lang w:val="sk-SK"/>
              </w:rPr>
              <w:t>načka</w:t>
            </w:r>
          </w:p>
        </w:tc>
        <w:tc>
          <w:tcPr>
            <w:tcW w:w="1046" w:type="pct"/>
            <w:gridSpan w:val="2"/>
          </w:tcPr>
          <w:p w14:paraId="64497273" w14:textId="0BE47737"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63E011DC" w14:textId="77777777" w:rsidTr="004C045C">
        <w:trPr>
          <w:gridAfter w:val="1"/>
          <w:wAfter w:w="7" w:type="pct"/>
          <w:cantSplit/>
          <w:trHeight w:val="50"/>
          <w:jc w:val="center"/>
        </w:trPr>
        <w:tc>
          <w:tcPr>
            <w:tcW w:w="1456" w:type="pct"/>
            <w:gridSpan w:val="2"/>
            <w:vMerge/>
          </w:tcPr>
          <w:p w14:paraId="71EA97B9" w14:textId="77777777" w:rsidR="00D52504" w:rsidRPr="0012488B" w:rsidRDefault="00D52504" w:rsidP="004C045C">
            <w:pPr>
              <w:spacing w:line="240" w:lineRule="auto"/>
              <w:rPr>
                <w:b/>
                <w:bCs/>
                <w:szCs w:val="22"/>
                <w:lang w:val="sk-SK"/>
              </w:rPr>
            </w:pPr>
          </w:p>
        </w:tc>
        <w:tc>
          <w:tcPr>
            <w:tcW w:w="2491" w:type="pct"/>
            <w:gridSpan w:val="2"/>
          </w:tcPr>
          <w:p w14:paraId="4FCB7D55" w14:textId="56BE1F6B" w:rsidR="00D52504" w:rsidRPr="0012488B" w:rsidRDefault="00205CB7" w:rsidP="004C045C">
            <w:pPr>
              <w:spacing w:line="240" w:lineRule="auto"/>
              <w:rPr>
                <w:szCs w:val="22"/>
                <w:lang w:val="sk-SK"/>
              </w:rPr>
            </w:pPr>
            <w:r w:rsidRPr="0012488B">
              <w:rPr>
                <w:szCs w:val="22"/>
                <w:lang w:val="sk-SK"/>
              </w:rPr>
              <w:t>d</w:t>
            </w:r>
            <w:r w:rsidR="00D52504" w:rsidRPr="0012488B">
              <w:rPr>
                <w:szCs w:val="22"/>
                <w:lang w:val="sk-SK"/>
              </w:rPr>
              <w:t>ysgeúzia</w:t>
            </w:r>
          </w:p>
        </w:tc>
        <w:tc>
          <w:tcPr>
            <w:tcW w:w="1046" w:type="pct"/>
            <w:gridSpan w:val="2"/>
          </w:tcPr>
          <w:p w14:paraId="4C93F9B9" w14:textId="56C82CAD"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5945E9D5" w14:textId="77777777" w:rsidTr="004C045C">
        <w:trPr>
          <w:gridAfter w:val="1"/>
          <w:wAfter w:w="7" w:type="pct"/>
          <w:cantSplit/>
          <w:trHeight w:val="50"/>
          <w:jc w:val="center"/>
        </w:trPr>
        <w:tc>
          <w:tcPr>
            <w:tcW w:w="1456" w:type="pct"/>
            <w:gridSpan w:val="2"/>
            <w:vMerge/>
          </w:tcPr>
          <w:p w14:paraId="261A1517" w14:textId="77777777" w:rsidR="00D52504" w:rsidRPr="0012488B" w:rsidRDefault="00D52504" w:rsidP="004C045C">
            <w:pPr>
              <w:spacing w:line="240" w:lineRule="auto"/>
              <w:rPr>
                <w:b/>
                <w:bCs/>
                <w:szCs w:val="22"/>
                <w:lang w:val="sk-SK"/>
              </w:rPr>
            </w:pPr>
          </w:p>
        </w:tc>
        <w:tc>
          <w:tcPr>
            <w:tcW w:w="2491" w:type="pct"/>
            <w:gridSpan w:val="2"/>
          </w:tcPr>
          <w:p w14:paraId="51A7E9F9" w14:textId="5866DCC3" w:rsidR="00D52504" w:rsidRPr="0012488B" w:rsidRDefault="00205CB7" w:rsidP="004C045C">
            <w:pPr>
              <w:spacing w:line="240" w:lineRule="auto"/>
              <w:rPr>
                <w:szCs w:val="22"/>
                <w:lang w:val="sk-SK"/>
              </w:rPr>
            </w:pPr>
            <w:r w:rsidRPr="0012488B">
              <w:rPr>
                <w:szCs w:val="22"/>
                <w:lang w:val="sk-SK"/>
              </w:rPr>
              <w:t>d</w:t>
            </w:r>
            <w:r w:rsidR="00D52504" w:rsidRPr="0012488B">
              <w:rPr>
                <w:szCs w:val="22"/>
                <w:lang w:val="sk-SK"/>
              </w:rPr>
              <w:t>yspepsia</w:t>
            </w:r>
          </w:p>
        </w:tc>
        <w:tc>
          <w:tcPr>
            <w:tcW w:w="1046" w:type="pct"/>
            <w:gridSpan w:val="2"/>
          </w:tcPr>
          <w:p w14:paraId="31C7CE66" w14:textId="7D2FFE9A"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7C6F8B7C" w14:textId="77777777" w:rsidTr="004C045C">
        <w:trPr>
          <w:gridAfter w:val="1"/>
          <w:wAfter w:w="7" w:type="pct"/>
          <w:cantSplit/>
          <w:trHeight w:val="345"/>
          <w:jc w:val="center"/>
        </w:trPr>
        <w:tc>
          <w:tcPr>
            <w:tcW w:w="1456" w:type="pct"/>
            <w:gridSpan w:val="2"/>
            <w:vMerge/>
          </w:tcPr>
          <w:p w14:paraId="6A2874DB" w14:textId="77777777" w:rsidR="00D52504" w:rsidRPr="0012488B" w:rsidRDefault="00D52504" w:rsidP="004C045C">
            <w:pPr>
              <w:spacing w:line="240" w:lineRule="auto"/>
              <w:rPr>
                <w:b/>
                <w:bCs/>
                <w:szCs w:val="22"/>
                <w:lang w:val="sk-SK"/>
              </w:rPr>
            </w:pPr>
          </w:p>
        </w:tc>
        <w:tc>
          <w:tcPr>
            <w:tcW w:w="2491" w:type="pct"/>
            <w:gridSpan w:val="2"/>
          </w:tcPr>
          <w:p w14:paraId="2D17E5A7" w14:textId="35474B03" w:rsidR="00D52504" w:rsidRPr="0012488B" w:rsidRDefault="00205CB7" w:rsidP="004C045C">
            <w:pPr>
              <w:spacing w:line="240" w:lineRule="auto"/>
              <w:rPr>
                <w:szCs w:val="22"/>
                <w:lang w:val="sk-SK"/>
              </w:rPr>
            </w:pPr>
            <w:r w:rsidRPr="0012488B">
              <w:rPr>
                <w:szCs w:val="22"/>
                <w:lang w:val="sk-SK"/>
              </w:rPr>
              <w:t>n</w:t>
            </w:r>
            <w:r w:rsidR="00D52504" w:rsidRPr="0012488B">
              <w:rPr>
                <w:szCs w:val="22"/>
                <w:lang w:val="sk-SK"/>
              </w:rPr>
              <w:t>auzea</w:t>
            </w:r>
          </w:p>
        </w:tc>
        <w:tc>
          <w:tcPr>
            <w:tcW w:w="1046" w:type="pct"/>
            <w:gridSpan w:val="2"/>
          </w:tcPr>
          <w:p w14:paraId="08D20752" w14:textId="0B158FAE"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2D0080F9" w14:textId="77777777" w:rsidTr="004C045C">
        <w:trPr>
          <w:gridAfter w:val="1"/>
          <w:wAfter w:w="7" w:type="pct"/>
          <w:cantSplit/>
          <w:trHeight w:val="289"/>
          <w:jc w:val="center"/>
        </w:trPr>
        <w:tc>
          <w:tcPr>
            <w:tcW w:w="1456" w:type="pct"/>
            <w:gridSpan w:val="2"/>
            <w:vMerge/>
          </w:tcPr>
          <w:p w14:paraId="5E4704D0" w14:textId="77777777" w:rsidR="00D52504" w:rsidRPr="0012488B" w:rsidRDefault="00D52504" w:rsidP="004C045C">
            <w:pPr>
              <w:spacing w:line="240" w:lineRule="auto"/>
              <w:rPr>
                <w:b/>
                <w:bCs/>
                <w:szCs w:val="22"/>
                <w:lang w:val="sk-SK"/>
              </w:rPr>
            </w:pPr>
          </w:p>
        </w:tc>
        <w:tc>
          <w:tcPr>
            <w:tcW w:w="2491" w:type="pct"/>
            <w:gridSpan w:val="2"/>
          </w:tcPr>
          <w:p w14:paraId="659087A3" w14:textId="5535B4AA" w:rsidR="00D52504" w:rsidRPr="0012488B" w:rsidRDefault="00205CB7" w:rsidP="00205CB7">
            <w:pPr>
              <w:spacing w:line="240" w:lineRule="auto"/>
              <w:rPr>
                <w:szCs w:val="22"/>
                <w:lang w:val="sk-SK"/>
              </w:rPr>
            </w:pPr>
            <w:r w:rsidRPr="0012488B">
              <w:rPr>
                <w:szCs w:val="22"/>
                <w:lang w:val="sk-SK"/>
              </w:rPr>
              <w:t>v</w:t>
            </w:r>
            <w:r w:rsidR="00D52504" w:rsidRPr="0012488B">
              <w:rPr>
                <w:szCs w:val="22"/>
                <w:lang w:val="sk-SK"/>
              </w:rPr>
              <w:t>racanie</w:t>
            </w:r>
          </w:p>
        </w:tc>
        <w:tc>
          <w:tcPr>
            <w:tcW w:w="1046" w:type="pct"/>
            <w:gridSpan w:val="2"/>
          </w:tcPr>
          <w:p w14:paraId="74B05D84" w14:textId="0860CF47"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7CC880DA" w14:textId="77777777" w:rsidTr="004C045C">
        <w:trPr>
          <w:gridAfter w:val="1"/>
          <w:wAfter w:w="7" w:type="pct"/>
          <w:cantSplit/>
          <w:trHeight w:val="50"/>
          <w:jc w:val="center"/>
        </w:trPr>
        <w:tc>
          <w:tcPr>
            <w:tcW w:w="1456" w:type="pct"/>
            <w:gridSpan w:val="2"/>
            <w:vMerge/>
          </w:tcPr>
          <w:p w14:paraId="07609937" w14:textId="77777777" w:rsidR="00D52504" w:rsidRPr="0012488B" w:rsidRDefault="00D52504" w:rsidP="004C045C">
            <w:pPr>
              <w:spacing w:line="240" w:lineRule="auto"/>
              <w:rPr>
                <w:b/>
                <w:bCs/>
                <w:szCs w:val="22"/>
                <w:lang w:val="sk-SK"/>
              </w:rPr>
            </w:pPr>
          </w:p>
        </w:tc>
        <w:tc>
          <w:tcPr>
            <w:tcW w:w="2491" w:type="pct"/>
            <w:gridSpan w:val="2"/>
          </w:tcPr>
          <w:p w14:paraId="1FE294C5" w14:textId="04FC9164" w:rsidR="00D52504" w:rsidRPr="0012488B" w:rsidRDefault="00205CB7" w:rsidP="00205CB7">
            <w:pPr>
              <w:spacing w:line="240" w:lineRule="auto"/>
              <w:rPr>
                <w:szCs w:val="22"/>
                <w:lang w:val="sk-SK"/>
              </w:rPr>
            </w:pPr>
            <w:r w:rsidRPr="0012488B">
              <w:rPr>
                <w:szCs w:val="22"/>
                <w:lang w:val="sk-SK"/>
              </w:rPr>
              <w:t>s</w:t>
            </w:r>
            <w:r w:rsidR="00D52504" w:rsidRPr="0012488B">
              <w:rPr>
                <w:szCs w:val="22"/>
                <w:lang w:val="sk-SK"/>
              </w:rPr>
              <w:t>ucho v ústach</w:t>
            </w:r>
          </w:p>
        </w:tc>
        <w:tc>
          <w:tcPr>
            <w:tcW w:w="1046" w:type="pct"/>
            <w:gridSpan w:val="2"/>
          </w:tcPr>
          <w:p w14:paraId="52720F79" w14:textId="68625E73"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2FBC0111" w14:textId="77777777" w:rsidTr="004C045C">
        <w:trPr>
          <w:gridAfter w:val="1"/>
          <w:wAfter w:w="7" w:type="pct"/>
          <w:cantSplit/>
          <w:trHeight w:val="285"/>
          <w:jc w:val="center"/>
        </w:trPr>
        <w:tc>
          <w:tcPr>
            <w:tcW w:w="1456" w:type="pct"/>
            <w:gridSpan w:val="2"/>
            <w:vMerge/>
          </w:tcPr>
          <w:p w14:paraId="33041A9D" w14:textId="77777777" w:rsidR="00D52504" w:rsidRPr="0012488B" w:rsidRDefault="00D52504" w:rsidP="004C045C">
            <w:pPr>
              <w:spacing w:line="240" w:lineRule="auto"/>
              <w:rPr>
                <w:b/>
                <w:bCs/>
                <w:szCs w:val="22"/>
                <w:lang w:val="sk-SK"/>
              </w:rPr>
            </w:pPr>
          </w:p>
        </w:tc>
        <w:tc>
          <w:tcPr>
            <w:tcW w:w="2491" w:type="pct"/>
            <w:gridSpan w:val="2"/>
          </w:tcPr>
          <w:p w14:paraId="3F7DD6C5" w14:textId="20CE59AA"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ankreatitída</w:t>
            </w:r>
          </w:p>
        </w:tc>
        <w:tc>
          <w:tcPr>
            <w:tcW w:w="1046" w:type="pct"/>
            <w:gridSpan w:val="2"/>
          </w:tcPr>
          <w:p w14:paraId="59A52652" w14:textId="27529A36"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2909A827" w14:textId="77777777" w:rsidTr="004C045C">
        <w:trPr>
          <w:gridAfter w:val="1"/>
          <w:wAfter w:w="7" w:type="pct"/>
          <w:cantSplit/>
          <w:trHeight w:val="279"/>
          <w:jc w:val="center"/>
        </w:trPr>
        <w:tc>
          <w:tcPr>
            <w:tcW w:w="1456" w:type="pct"/>
            <w:gridSpan w:val="2"/>
          </w:tcPr>
          <w:p w14:paraId="5A81A485" w14:textId="77777777" w:rsidR="00D52504" w:rsidRPr="0012488B" w:rsidRDefault="00D52504" w:rsidP="004C045C">
            <w:pPr>
              <w:spacing w:line="240" w:lineRule="auto"/>
              <w:rPr>
                <w:b/>
                <w:bCs/>
                <w:szCs w:val="22"/>
                <w:lang w:val="sk-SK"/>
              </w:rPr>
            </w:pPr>
            <w:r w:rsidRPr="0012488B">
              <w:rPr>
                <w:b/>
                <w:bCs/>
                <w:szCs w:val="22"/>
                <w:lang w:val="sk-SK"/>
              </w:rPr>
              <w:t>Poruchy pečene a žlčových ciest</w:t>
            </w:r>
          </w:p>
        </w:tc>
        <w:tc>
          <w:tcPr>
            <w:tcW w:w="2491" w:type="pct"/>
            <w:gridSpan w:val="2"/>
            <w:tcBorders>
              <w:bottom w:val="single" w:sz="4" w:space="0" w:color="auto"/>
            </w:tcBorders>
          </w:tcPr>
          <w:p w14:paraId="3A9156C3" w14:textId="4E8B76FF" w:rsidR="00D52504" w:rsidRPr="0012488B" w:rsidRDefault="00205CB7" w:rsidP="0008253E">
            <w:pPr>
              <w:spacing w:line="240" w:lineRule="auto"/>
              <w:rPr>
                <w:szCs w:val="22"/>
                <w:lang w:val="sk-SK"/>
              </w:rPr>
            </w:pPr>
            <w:r w:rsidRPr="0012488B">
              <w:rPr>
                <w:szCs w:val="22"/>
                <w:lang w:val="sk-SK"/>
              </w:rPr>
              <w:t>h</w:t>
            </w:r>
            <w:r w:rsidR="00D52504" w:rsidRPr="0012488B">
              <w:rPr>
                <w:szCs w:val="22"/>
                <w:lang w:val="sk-SK"/>
              </w:rPr>
              <w:t>epatitída, buď cytol</w:t>
            </w:r>
            <w:r w:rsidR="0008253E" w:rsidRPr="0012488B">
              <w:rPr>
                <w:szCs w:val="22"/>
                <w:lang w:val="sk-SK"/>
              </w:rPr>
              <w:t>y</w:t>
            </w:r>
            <w:r w:rsidR="00D52504" w:rsidRPr="0012488B">
              <w:rPr>
                <w:szCs w:val="22"/>
                <w:lang w:val="sk-SK"/>
              </w:rPr>
              <w:t>tická alebo cholestatická (pozri časť 4.4)</w:t>
            </w:r>
          </w:p>
        </w:tc>
        <w:tc>
          <w:tcPr>
            <w:tcW w:w="1046" w:type="pct"/>
            <w:gridSpan w:val="2"/>
          </w:tcPr>
          <w:p w14:paraId="74BA4583" w14:textId="5760E7A8" w:rsidR="00D52504" w:rsidRPr="0012488B" w:rsidRDefault="004C045C"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2523CD3C" w14:textId="77777777" w:rsidTr="004C045C">
        <w:trPr>
          <w:gridAfter w:val="1"/>
          <w:wAfter w:w="7" w:type="pct"/>
          <w:cantSplit/>
          <w:trHeight w:val="111"/>
          <w:jc w:val="center"/>
        </w:trPr>
        <w:tc>
          <w:tcPr>
            <w:tcW w:w="1456" w:type="pct"/>
            <w:gridSpan w:val="2"/>
            <w:vMerge w:val="restart"/>
          </w:tcPr>
          <w:p w14:paraId="7284B9DB" w14:textId="77777777" w:rsidR="00D52504" w:rsidRPr="0012488B" w:rsidRDefault="00D52504" w:rsidP="004C045C">
            <w:pPr>
              <w:pStyle w:val="Zkladntext"/>
              <w:rPr>
                <w:b/>
                <w:bCs/>
                <w:iCs/>
                <w:color w:val="auto"/>
                <w:szCs w:val="22"/>
                <w:lang w:val="sk-SK"/>
              </w:rPr>
            </w:pPr>
            <w:r w:rsidRPr="0012488B">
              <w:rPr>
                <w:b/>
                <w:bCs/>
                <w:i w:val="0"/>
                <w:iCs/>
                <w:color w:val="auto"/>
                <w:szCs w:val="22"/>
                <w:lang w:val="sk-SK"/>
              </w:rPr>
              <w:t>Poruchy kože a podkožného tkaniva</w:t>
            </w:r>
          </w:p>
        </w:tc>
        <w:tc>
          <w:tcPr>
            <w:tcW w:w="2491" w:type="pct"/>
            <w:gridSpan w:val="2"/>
          </w:tcPr>
          <w:p w14:paraId="68DAF0A8" w14:textId="3BA3FBC3"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ruritus</w:t>
            </w:r>
          </w:p>
        </w:tc>
        <w:tc>
          <w:tcPr>
            <w:tcW w:w="1046" w:type="pct"/>
            <w:gridSpan w:val="2"/>
          </w:tcPr>
          <w:p w14:paraId="324F3EAA" w14:textId="1CFE389D"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711AB3B9" w14:textId="77777777" w:rsidTr="004C045C">
        <w:trPr>
          <w:gridAfter w:val="1"/>
          <w:wAfter w:w="7" w:type="pct"/>
          <w:cantSplit/>
          <w:trHeight w:val="111"/>
          <w:jc w:val="center"/>
        </w:trPr>
        <w:tc>
          <w:tcPr>
            <w:tcW w:w="1456" w:type="pct"/>
            <w:gridSpan w:val="2"/>
            <w:vMerge/>
          </w:tcPr>
          <w:p w14:paraId="69854997" w14:textId="77777777" w:rsidR="00D52504" w:rsidRPr="0012488B" w:rsidRDefault="00D52504" w:rsidP="004C045C">
            <w:pPr>
              <w:pStyle w:val="Zkladntext"/>
              <w:rPr>
                <w:b/>
                <w:bCs/>
                <w:color w:val="auto"/>
                <w:szCs w:val="22"/>
                <w:lang w:val="sk-SK"/>
              </w:rPr>
            </w:pPr>
          </w:p>
        </w:tc>
        <w:tc>
          <w:tcPr>
            <w:tcW w:w="2491" w:type="pct"/>
            <w:gridSpan w:val="2"/>
          </w:tcPr>
          <w:p w14:paraId="39651B0B" w14:textId="5FCEB188" w:rsidR="00D52504" w:rsidRPr="0012488B" w:rsidRDefault="00205CB7" w:rsidP="00205CB7">
            <w:pPr>
              <w:spacing w:line="240" w:lineRule="auto"/>
              <w:rPr>
                <w:szCs w:val="22"/>
                <w:lang w:val="sk-SK"/>
              </w:rPr>
            </w:pPr>
            <w:r w:rsidRPr="0012488B">
              <w:rPr>
                <w:szCs w:val="22"/>
                <w:lang w:val="sk-SK"/>
              </w:rPr>
              <w:t>v</w:t>
            </w:r>
            <w:r w:rsidR="00D52504" w:rsidRPr="0012488B">
              <w:rPr>
                <w:szCs w:val="22"/>
                <w:lang w:val="sk-SK"/>
              </w:rPr>
              <w:t>yrážka</w:t>
            </w:r>
          </w:p>
        </w:tc>
        <w:tc>
          <w:tcPr>
            <w:tcW w:w="1046" w:type="pct"/>
            <w:gridSpan w:val="2"/>
          </w:tcPr>
          <w:p w14:paraId="76CB5221" w14:textId="177D87B9" w:rsidR="00D52504" w:rsidRPr="0012488B" w:rsidRDefault="004C045C"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775FA34C" w14:textId="77777777" w:rsidTr="004C045C">
        <w:trPr>
          <w:gridAfter w:val="1"/>
          <w:wAfter w:w="7" w:type="pct"/>
          <w:cantSplit/>
          <w:trHeight w:val="111"/>
          <w:jc w:val="center"/>
        </w:trPr>
        <w:tc>
          <w:tcPr>
            <w:tcW w:w="1456" w:type="pct"/>
            <w:gridSpan w:val="2"/>
            <w:vMerge/>
          </w:tcPr>
          <w:p w14:paraId="286DA43D" w14:textId="77777777" w:rsidR="00D52504" w:rsidRPr="0012488B" w:rsidRDefault="00D52504" w:rsidP="004C045C">
            <w:pPr>
              <w:spacing w:line="240" w:lineRule="auto"/>
              <w:rPr>
                <w:b/>
                <w:bCs/>
                <w:szCs w:val="22"/>
                <w:lang w:val="sk-SK"/>
              </w:rPr>
            </w:pPr>
          </w:p>
        </w:tc>
        <w:tc>
          <w:tcPr>
            <w:tcW w:w="2491" w:type="pct"/>
            <w:gridSpan w:val="2"/>
          </w:tcPr>
          <w:p w14:paraId="11427E85" w14:textId="45CC8B77" w:rsidR="00D52504" w:rsidRPr="0012488B" w:rsidRDefault="00205CB7" w:rsidP="004C045C">
            <w:pPr>
              <w:spacing w:line="240" w:lineRule="auto"/>
              <w:rPr>
                <w:szCs w:val="22"/>
                <w:lang w:val="sk-SK"/>
              </w:rPr>
            </w:pPr>
            <w:r w:rsidRPr="0012488B">
              <w:rPr>
                <w:szCs w:val="22"/>
                <w:lang w:val="sk-SK"/>
              </w:rPr>
              <w:t>u</w:t>
            </w:r>
            <w:r w:rsidR="00D52504" w:rsidRPr="0012488B">
              <w:rPr>
                <w:szCs w:val="22"/>
                <w:lang w:val="sk-SK"/>
              </w:rPr>
              <w:t>rtikária (pozri časť 4.4)</w:t>
            </w:r>
          </w:p>
        </w:tc>
        <w:tc>
          <w:tcPr>
            <w:tcW w:w="1046" w:type="pct"/>
            <w:gridSpan w:val="2"/>
          </w:tcPr>
          <w:p w14:paraId="3EFC7D4C" w14:textId="530F241A"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4AE02216" w14:textId="77777777" w:rsidTr="004C045C">
        <w:trPr>
          <w:gridAfter w:val="1"/>
          <w:wAfter w:w="7" w:type="pct"/>
          <w:cantSplit/>
          <w:trHeight w:val="272"/>
          <w:jc w:val="center"/>
        </w:trPr>
        <w:tc>
          <w:tcPr>
            <w:tcW w:w="1456" w:type="pct"/>
            <w:gridSpan w:val="2"/>
            <w:vMerge/>
          </w:tcPr>
          <w:p w14:paraId="2B08A0E2" w14:textId="77777777" w:rsidR="00D52504" w:rsidRPr="0012488B" w:rsidRDefault="00D52504" w:rsidP="004C045C">
            <w:pPr>
              <w:spacing w:line="240" w:lineRule="auto"/>
              <w:rPr>
                <w:b/>
                <w:bCs/>
                <w:szCs w:val="22"/>
                <w:lang w:val="sk-SK"/>
              </w:rPr>
            </w:pPr>
          </w:p>
        </w:tc>
        <w:tc>
          <w:tcPr>
            <w:tcW w:w="2491" w:type="pct"/>
            <w:gridSpan w:val="2"/>
          </w:tcPr>
          <w:p w14:paraId="0510C4C3" w14:textId="06E8EB6A" w:rsidR="00D52504" w:rsidRPr="0012488B" w:rsidRDefault="00205CB7" w:rsidP="004C045C">
            <w:pPr>
              <w:spacing w:line="240" w:lineRule="auto"/>
              <w:rPr>
                <w:szCs w:val="22"/>
                <w:lang w:val="sk-SK"/>
              </w:rPr>
            </w:pPr>
            <w:r w:rsidRPr="0012488B">
              <w:rPr>
                <w:szCs w:val="22"/>
                <w:lang w:val="sk-SK"/>
              </w:rPr>
              <w:t>a</w:t>
            </w:r>
            <w:r w:rsidR="00D52504" w:rsidRPr="0012488B">
              <w:rPr>
                <w:szCs w:val="22"/>
                <w:lang w:val="sk-SK"/>
              </w:rPr>
              <w:t>ngioedém tváre, končatín, pier, slizníc, jazyka, hlasiviek a/alebo hrtana (pozri časť 4.4)</w:t>
            </w:r>
          </w:p>
        </w:tc>
        <w:tc>
          <w:tcPr>
            <w:tcW w:w="1046" w:type="pct"/>
            <w:gridSpan w:val="2"/>
          </w:tcPr>
          <w:p w14:paraId="6F592B54" w14:textId="309BFF8D"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4AD1785" w14:textId="77777777" w:rsidTr="004C045C">
        <w:trPr>
          <w:gridAfter w:val="1"/>
          <w:wAfter w:w="7" w:type="pct"/>
          <w:cantSplit/>
          <w:trHeight w:val="352"/>
          <w:jc w:val="center"/>
        </w:trPr>
        <w:tc>
          <w:tcPr>
            <w:tcW w:w="1456" w:type="pct"/>
            <w:gridSpan w:val="2"/>
            <w:vMerge/>
          </w:tcPr>
          <w:p w14:paraId="1388877A" w14:textId="77777777" w:rsidR="00D52504" w:rsidRPr="0012488B" w:rsidRDefault="00D52504" w:rsidP="004C045C">
            <w:pPr>
              <w:spacing w:line="240" w:lineRule="auto"/>
              <w:rPr>
                <w:b/>
                <w:bCs/>
                <w:szCs w:val="22"/>
                <w:lang w:val="sk-SK"/>
              </w:rPr>
            </w:pPr>
          </w:p>
        </w:tc>
        <w:tc>
          <w:tcPr>
            <w:tcW w:w="2491" w:type="pct"/>
            <w:gridSpan w:val="2"/>
          </w:tcPr>
          <w:p w14:paraId="77C212DB" w14:textId="6BA786FB" w:rsidR="00D52504" w:rsidRPr="0012488B" w:rsidRDefault="00205CB7" w:rsidP="004C045C">
            <w:pPr>
              <w:spacing w:line="240" w:lineRule="auto"/>
              <w:rPr>
                <w:szCs w:val="22"/>
                <w:lang w:val="sk-SK"/>
              </w:rPr>
            </w:pPr>
            <w:r w:rsidRPr="0012488B">
              <w:rPr>
                <w:szCs w:val="22"/>
                <w:lang w:val="sk-SK"/>
              </w:rPr>
              <w:t>f</w:t>
            </w:r>
            <w:r w:rsidR="00D52504" w:rsidRPr="0012488B">
              <w:rPr>
                <w:szCs w:val="22"/>
                <w:lang w:val="sk-SK"/>
              </w:rPr>
              <w:t>otosenzitívne reakcie</w:t>
            </w:r>
          </w:p>
        </w:tc>
        <w:tc>
          <w:tcPr>
            <w:tcW w:w="1046" w:type="pct"/>
            <w:gridSpan w:val="2"/>
          </w:tcPr>
          <w:p w14:paraId="6B5A5CF5" w14:textId="14F24552"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D47326D" w14:textId="77777777" w:rsidTr="004C045C">
        <w:trPr>
          <w:gridAfter w:val="1"/>
          <w:wAfter w:w="7" w:type="pct"/>
          <w:cantSplit/>
          <w:trHeight w:val="352"/>
          <w:jc w:val="center"/>
        </w:trPr>
        <w:tc>
          <w:tcPr>
            <w:tcW w:w="1456" w:type="pct"/>
            <w:gridSpan w:val="2"/>
            <w:vMerge/>
          </w:tcPr>
          <w:p w14:paraId="7F6C0E2C" w14:textId="77777777" w:rsidR="00D52504" w:rsidRPr="0012488B" w:rsidRDefault="00D52504" w:rsidP="004C045C">
            <w:pPr>
              <w:spacing w:line="240" w:lineRule="auto"/>
              <w:rPr>
                <w:b/>
                <w:bCs/>
                <w:szCs w:val="22"/>
                <w:lang w:val="sk-SK"/>
              </w:rPr>
            </w:pPr>
          </w:p>
        </w:tc>
        <w:tc>
          <w:tcPr>
            <w:tcW w:w="2491" w:type="pct"/>
            <w:gridSpan w:val="2"/>
          </w:tcPr>
          <w:p w14:paraId="6F68AB69" w14:textId="2D5A1143" w:rsidR="00D52504" w:rsidRPr="0012488B" w:rsidRDefault="00205CB7" w:rsidP="00205CB7">
            <w:pPr>
              <w:spacing w:line="240" w:lineRule="auto"/>
              <w:rPr>
                <w:b/>
                <w:i/>
                <w:szCs w:val="22"/>
                <w:lang w:val="sk-SK"/>
              </w:rPr>
            </w:pPr>
            <w:r w:rsidRPr="0012488B">
              <w:rPr>
                <w:szCs w:val="22"/>
                <w:lang w:val="sk-SK"/>
              </w:rPr>
              <w:t>p</w:t>
            </w:r>
            <w:r w:rsidR="00D52504" w:rsidRPr="0012488B">
              <w:rPr>
                <w:szCs w:val="22"/>
                <w:lang w:val="sk-SK"/>
              </w:rPr>
              <w:t>emfigoid</w:t>
            </w:r>
          </w:p>
        </w:tc>
        <w:tc>
          <w:tcPr>
            <w:tcW w:w="1046" w:type="pct"/>
            <w:gridSpan w:val="2"/>
          </w:tcPr>
          <w:p w14:paraId="1D84DE0C" w14:textId="73551333" w:rsidR="00D52504" w:rsidRPr="0012488B" w:rsidRDefault="004C045C" w:rsidP="004C045C">
            <w:pPr>
              <w:spacing w:line="240" w:lineRule="auto"/>
              <w:jc w:val="center"/>
              <w:rPr>
                <w:szCs w:val="22"/>
                <w:lang w:val="sk-SK"/>
              </w:rPr>
            </w:pPr>
            <w:r w:rsidRPr="0012488B">
              <w:rPr>
                <w:szCs w:val="22"/>
                <w:lang w:val="sk-SK"/>
              </w:rPr>
              <w:t>m</w:t>
            </w:r>
            <w:r w:rsidR="00D52504" w:rsidRPr="0012488B">
              <w:rPr>
                <w:szCs w:val="22"/>
                <w:lang w:val="sk-SK"/>
              </w:rPr>
              <w:t>enej časté</w:t>
            </w:r>
            <w:r w:rsidR="00D52504" w:rsidRPr="0012488B">
              <w:rPr>
                <w:bCs/>
                <w:iCs/>
                <w:szCs w:val="22"/>
                <w:lang w:val="sk-SK"/>
              </w:rPr>
              <w:t>*</w:t>
            </w:r>
          </w:p>
        </w:tc>
      </w:tr>
      <w:tr w:rsidR="00D52504" w:rsidRPr="0012488B" w14:paraId="26F38246" w14:textId="77777777" w:rsidTr="004C045C">
        <w:trPr>
          <w:gridAfter w:val="1"/>
          <w:wAfter w:w="7" w:type="pct"/>
          <w:cantSplit/>
          <w:trHeight w:val="352"/>
          <w:jc w:val="center"/>
        </w:trPr>
        <w:tc>
          <w:tcPr>
            <w:tcW w:w="1456" w:type="pct"/>
            <w:gridSpan w:val="2"/>
            <w:vMerge/>
          </w:tcPr>
          <w:p w14:paraId="7F663EAF" w14:textId="77777777" w:rsidR="00D52504" w:rsidRPr="0012488B" w:rsidRDefault="00D52504" w:rsidP="004C045C">
            <w:pPr>
              <w:spacing w:line="240" w:lineRule="auto"/>
              <w:rPr>
                <w:b/>
                <w:bCs/>
                <w:szCs w:val="22"/>
                <w:lang w:val="sk-SK"/>
              </w:rPr>
            </w:pPr>
          </w:p>
        </w:tc>
        <w:tc>
          <w:tcPr>
            <w:tcW w:w="2491" w:type="pct"/>
            <w:gridSpan w:val="2"/>
          </w:tcPr>
          <w:p w14:paraId="107FBD88" w14:textId="21CE7FE5" w:rsidR="00D52504" w:rsidRPr="0012488B" w:rsidRDefault="00205CB7" w:rsidP="00205CB7">
            <w:pPr>
              <w:spacing w:line="240" w:lineRule="auto"/>
              <w:rPr>
                <w:b/>
                <w:i/>
                <w:szCs w:val="22"/>
                <w:lang w:val="sk-SK"/>
              </w:rPr>
            </w:pPr>
            <w:r w:rsidRPr="0012488B">
              <w:rPr>
                <w:szCs w:val="22"/>
                <w:lang w:val="sk-SK"/>
              </w:rPr>
              <w:t>h</w:t>
            </w:r>
            <w:r w:rsidR="00D52504" w:rsidRPr="0012488B">
              <w:rPr>
                <w:szCs w:val="22"/>
                <w:lang w:val="sk-SK"/>
              </w:rPr>
              <w:t>yperhydróza</w:t>
            </w:r>
          </w:p>
        </w:tc>
        <w:tc>
          <w:tcPr>
            <w:tcW w:w="1046" w:type="pct"/>
            <w:gridSpan w:val="2"/>
          </w:tcPr>
          <w:p w14:paraId="0F96CAEC" w14:textId="0A0D2B1E" w:rsidR="00D52504" w:rsidRPr="0012488B" w:rsidRDefault="001211CF" w:rsidP="001211CF">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267930F4" w14:textId="77777777" w:rsidTr="004C045C">
        <w:trPr>
          <w:gridAfter w:val="1"/>
          <w:wAfter w:w="7" w:type="pct"/>
          <w:cantSplit/>
          <w:trHeight w:val="352"/>
          <w:jc w:val="center"/>
        </w:trPr>
        <w:tc>
          <w:tcPr>
            <w:tcW w:w="1456" w:type="pct"/>
            <w:gridSpan w:val="2"/>
            <w:vMerge/>
          </w:tcPr>
          <w:p w14:paraId="66D9764B" w14:textId="77777777" w:rsidR="00D52504" w:rsidRPr="0012488B" w:rsidRDefault="00D52504" w:rsidP="004C045C">
            <w:pPr>
              <w:spacing w:line="240" w:lineRule="auto"/>
              <w:rPr>
                <w:b/>
                <w:bCs/>
                <w:szCs w:val="22"/>
                <w:lang w:val="sk-SK"/>
              </w:rPr>
            </w:pPr>
          </w:p>
        </w:tc>
        <w:tc>
          <w:tcPr>
            <w:tcW w:w="2491" w:type="pct"/>
            <w:gridSpan w:val="2"/>
          </w:tcPr>
          <w:p w14:paraId="3F9C044C" w14:textId="363BD6D8" w:rsidR="00D52504" w:rsidRPr="0012488B" w:rsidRDefault="00205CB7" w:rsidP="004C045C">
            <w:pPr>
              <w:spacing w:line="240" w:lineRule="auto"/>
              <w:rPr>
                <w:szCs w:val="22"/>
                <w:lang w:val="sk-SK"/>
              </w:rPr>
            </w:pPr>
            <w:r w:rsidRPr="0012488B">
              <w:rPr>
                <w:szCs w:val="22"/>
                <w:lang w:val="sk-SK"/>
              </w:rPr>
              <w:t>m</w:t>
            </w:r>
            <w:r w:rsidR="00D52504" w:rsidRPr="0012488B">
              <w:rPr>
                <w:szCs w:val="22"/>
                <w:lang w:val="sk-SK"/>
              </w:rPr>
              <w:t>ultiformný erytém</w:t>
            </w:r>
          </w:p>
        </w:tc>
        <w:tc>
          <w:tcPr>
            <w:tcW w:w="1046" w:type="pct"/>
            <w:gridSpan w:val="2"/>
          </w:tcPr>
          <w:p w14:paraId="5F5DA469" w14:textId="30ADF81B" w:rsidR="00D52504" w:rsidRPr="0012488B" w:rsidRDefault="001211CF" w:rsidP="001211CF">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0F1236C1" w14:textId="77777777" w:rsidTr="004C045C">
        <w:trPr>
          <w:gridAfter w:val="1"/>
          <w:wAfter w:w="7" w:type="pct"/>
          <w:cantSplit/>
          <w:trHeight w:val="767"/>
          <w:jc w:val="center"/>
        </w:trPr>
        <w:tc>
          <w:tcPr>
            <w:tcW w:w="1456" w:type="pct"/>
            <w:gridSpan w:val="2"/>
            <w:vMerge w:val="restart"/>
          </w:tcPr>
          <w:p w14:paraId="1257CE32" w14:textId="77777777" w:rsidR="00D52504" w:rsidRPr="0012488B" w:rsidRDefault="00D52504" w:rsidP="004C045C">
            <w:pPr>
              <w:spacing w:line="240" w:lineRule="auto"/>
              <w:rPr>
                <w:b/>
                <w:bCs/>
                <w:szCs w:val="22"/>
                <w:lang w:val="sk-SK"/>
              </w:rPr>
            </w:pPr>
            <w:r w:rsidRPr="0012488B">
              <w:rPr>
                <w:b/>
                <w:bCs/>
                <w:szCs w:val="22"/>
                <w:lang w:val="sk-SK"/>
              </w:rPr>
              <w:t>Poruchy kostrovej a svalovej sústavy a spojivového tkaniva</w:t>
            </w:r>
          </w:p>
        </w:tc>
        <w:tc>
          <w:tcPr>
            <w:tcW w:w="2491" w:type="pct"/>
            <w:gridSpan w:val="2"/>
          </w:tcPr>
          <w:p w14:paraId="4D8E0790" w14:textId="1D140345" w:rsidR="00D52504" w:rsidRPr="0012488B" w:rsidRDefault="00205CB7" w:rsidP="004C045C">
            <w:pPr>
              <w:spacing w:line="240" w:lineRule="auto"/>
              <w:rPr>
                <w:szCs w:val="22"/>
                <w:lang w:val="sk-SK"/>
              </w:rPr>
            </w:pPr>
            <w:r w:rsidRPr="0012488B">
              <w:rPr>
                <w:szCs w:val="22"/>
                <w:lang w:val="sk-SK"/>
              </w:rPr>
              <w:t>s</w:t>
            </w:r>
            <w:r w:rsidR="00D52504" w:rsidRPr="0012488B">
              <w:rPr>
                <w:szCs w:val="22"/>
                <w:lang w:val="sk-SK"/>
              </w:rPr>
              <w:t>valové kŕče</w:t>
            </w:r>
          </w:p>
        </w:tc>
        <w:tc>
          <w:tcPr>
            <w:tcW w:w="1046" w:type="pct"/>
            <w:gridSpan w:val="2"/>
          </w:tcPr>
          <w:p w14:paraId="5CC51061" w14:textId="23CE3147" w:rsidR="00D52504" w:rsidRPr="0012488B" w:rsidRDefault="001211CF"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5206471B" w14:textId="77777777" w:rsidTr="004C045C">
        <w:trPr>
          <w:gridAfter w:val="1"/>
          <w:wAfter w:w="7" w:type="pct"/>
          <w:cantSplit/>
          <w:trHeight w:val="352"/>
          <w:jc w:val="center"/>
        </w:trPr>
        <w:tc>
          <w:tcPr>
            <w:tcW w:w="1456" w:type="pct"/>
            <w:gridSpan w:val="2"/>
            <w:vMerge/>
          </w:tcPr>
          <w:p w14:paraId="48CB319A" w14:textId="77777777" w:rsidR="00D52504" w:rsidRPr="0012488B" w:rsidRDefault="00D52504" w:rsidP="004C045C">
            <w:pPr>
              <w:spacing w:line="240" w:lineRule="auto"/>
              <w:rPr>
                <w:b/>
                <w:bCs/>
                <w:szCs w:val="22"/>
                <w:lang w:val="sk-SK"/>
              </w:rPr>
            </w:pPr>
          </w:p>
        </w:tc>
        <w:tc>
          <w:tcPr>
            <w:tcW w:w="2491" w:type="pct"/>
            <w:gridSpan w:val="2"/>
          </w:tcPr>
          <w:p w14:paraId="363AB038" w14:textId="38454803" w:rsidR="00D52504" w:rsidRPr="0012488B" w:rsidRDefault="00205CB7" w:rsidP="004C045C">
            <w:pPr>
              <w:spacing w:line="240" w:lineRule="auto"/>
              <w:rPr>
                <w:szCs w:val="22"/>
                <w:lang w:val="sk-SK"/>
              </w:rPr>
            </w:pPr>
            <w:r w:rsidRPr="0012488B">
              <w:rPr>
                <w:szCs w:val="22"/>
                <w:lang w:val="sk-SK"/>
              </w:rPr>
              <w:t>a</w:t>
            </w:r>
            <w:r w:rsidR="00D52504" w:rsidRPr="0012488B">
              <w:rPr>
                <w:szCs w:val="22"/>
                <w:lang w:val="sk-SK"/>
              </w:rPr>
              <w:t>rtralgia</w:t>
            </w:r>
          </w:p>
        </w:tc>
        <w:tc>
          <w:tcPr>
            <w:tcW w:w="1046" w:type="pct"/>
            <w:gridSpan w:val="2"/>
          </w:tcPr>
          <w:p w14:paraId="048734EE" w14:textId="54E85F0D"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1B51C02C" w14:textId="77777777" w:rsidTr="004C045C">
        <w:trPr>
          <w:gridAfter w:val="1"/>
          <w:wAfter w:w="7" w:type="pct"/>
          <w:cantSplit/>
          <w:trHeight w:val="352"/>
          <w:jc w:val="center"/>
        </w:trPr>
        <w:tc>
          <w:tcPr>
            <w:tcW w:w="1456" w:type="pct"/>
            <w:gridSpan w:val="2"/>
            <w:vMerge/>
          </w:tcPr>
          <w:p w14:paraId="55E2BCEF" w14:textId="77777777" w:rsidR="00D52504" w:rsidRPr="0012488B" w:rsidRDefault="00D52504" w:rsidP="004C045C">
            <w:pPr>
              <w:spacing w:line="240" w:lineRule="auto"/>
              <w:rPr>
                <w:b/>
                <w:bCs/>
                <w:szCs w:val="22"/>
                <w:lang w:val="sk-SK"/>
              </w:rPr>
            </w:pPr>
          </w:p>
        </w:tc>
        <w:tc>
          <w:tcPr>
            <w:tcW w:w="2491" w:type="pct"/>
            <w:gridSpan w:val="2"/>
          </w:tcPr>
          <w:p w14:paraId="76770CC4" w14:textId="719345E5" w:rsidR="00D52504" w:rsidRPr="0012488B" w:rsidRDefault="00205CB7" w:rsidP="00205CB7">
            <w:pPr>
              <w:spacing w:line="240" w:lineRule="auto"/>
              <w:rPr>
                <w:szCs w:val="22"/>
                <w:lang w:val="sk-SK"/>
              </w:rPr>
            </w:pPr>
            <w:r w:rsidRPr="0012488B">
              <w:rPr>
                <w:szCs w:val="22"/>
                <w:lang w:val="sk-SK"/>
              </w:rPr>
              <w:t>m</w:t>
            </w:r>
            <w:r w:rsidR="00D52504" w:rsidRPr="0012488B">
              <w:rPr>
                <w:szCs w:val="22"/>
                <w:lang w:val="sk-SK"/>
              </w:rPr>
              <w:t>yalgia</w:t>
            </w:r>
          </w:p>
        </w:tc>
        <w:tc>
          <w:tcPr>
            <w:tcW w:w="1046" w:type="pct"/>
            <w:gridSpan w:val="2"/>
          </w:tcPr>
          <w:p w14:paraId="5031A347" w14:textId="39ED49AB"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5FB783C8" w14:textId="77777777" w:rsidTr="004C045C">
        <w:trPr>
          <w:gridAfter w:val="1"/>
          <w:wAfter w:w="7" w:type="pct"/>
          <w:cantSplit/>
          <w:trHeight w:val="409"/>
          <w:jc w:val="center"/>
        </w:trPr>
        <w:tc>
          <w:tcPr>
            <w:tcW w:w="1456" w:type="pct"/>
            <w:gridSpan w:val="2"/>
            <w:vMerge w:val="restart"/>
          </w:tcPr>
          <w:p w14:paraId="2A46289C" w14:textId="77777777" w:rsidR="00D52504" w:rsidRPr="0012488B" w:rsidRDefault="00D52504" w:rsidP="004C045C">
            <w:pPr>
              <w:spacing w:line="240" w:lineRule="auto"/>
              <w:rPr>
                <w:b/>
                <w:bCs/>
                <w:szCs w:val="22"/>
                <w:lang w:val="sk-SK"/>
              </w:rPr>
            </w:pPr>
            <w:r w:rsidRPr="0012488B">
              <w:rPr>
                <w:b/>
                <w:bCs/>
                <w:szCs w:val="22"/>
                <w:lang w:val="sk-SK"/>
              </w:rPr>
              <w:t>Poruchy obličiek a močových ciest</w:t>
            </w:r>
          </w:p>
        </w:tc>
        <w:tc>
          <w:tcPr>
            <w:tcW w:w="2491" w:type="pct"/>
            <w:gridSpan w:val="2"/>
          </w:tcPr>
          <w:p w14:paraId="6090AD3B" w14:textId="5F2FF91D" w:rsidR="00D52504" w:rsidRPr="0012488B" w:rsidRDefault="00205CB7" w:rsidP="004C045C">
            <w:pPr>
              <w:spacing w:line="240" w:lineRule="auto"/>
              <w:rPr>
                <w:szCs w:val="22"/>
                <w:lang w:val="sk-SK"/>
              </w:rPr>
            </w:pPr>
            <w:r w:rsidRPr="0012488B">
              <w:rPr>
                <w:szCs w:val="22"/>
                <w:lang w:val="sk-SK"/>
              </w:rPr>
              <w:t>r</w:t>
            </w:r>
            <w:r w:rsidR="00D52504" w:rsidRPr="0012488B">
              <w:rPr>
                <w:szCs w:val="22"/>
                <w:lang w:val="sk-SK"/>
              </w:rPr>
              <w:t>enálna insuficiencia</w:t>
            </w:r>
          </w:p>
        </w:tc>
        <w:tc>
          <w:tcPr>
            <w:tcW w:w="1046" w:type="pct"/>
            <w:gridSpan w:val="2"/>
          </w:tcPr>
          <w:p w14:paraId="295291FE" w14:textId="4E74BF20"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1F0A4B2D" w14:textId="77777777" w:rsidTr="004C045C">
        <w:trPr>
          <w:gridAfter w:val="1"/>
          <w:wAfter w:w="7" w:type="pct"/>
          <w:cantSplit/>
          <w:trHeight w:val="185"/>
          <w:jc w:val="center"/>
        </w:trPr>
        <w:tc>
          <w:tcPr>
            <w:tcW w:w="1456" w:type="pct"/>
            <w:gridSpan w:val="2"/>
            <w:vMerge/>
          </w:tcPr>
          <w:p w14:paraId="1E476693" w14:textId="77777777" w:rsidR="00D52504" w:rsidRPr="0012488B" w:rsidRDefault="00D52504" w:rsidP="004C045C">
            <w:pPr>
              <w:spacing w:line="240" w:lineRule="auto"/>
              <w:rPr>
                <w:b/>
                <w:bCs/>
                <w:szCs w:val="22"/>
                <w:lang w:val="sk-SK"/>
              </w:rPr>
            </w:pPr>
          </w:p>
        </w:tc>
        <w:tc>
          <w:tcPr>
            <w:tcW w:w="2491" w:type="pct"/>
            <w:gridSpan w:val="2"/>
          </w:tcPr>
          <w:p w14:paraId="3436E3DA" w14:textId="6FD5168C" w:rsidR="00D52504" w:rsidRPr="0012488B" w:rsidRDefault="00205CB7" w:rsidP="00205CB7">
            <w:pPr>
              <w:spacing w:line="240" w:lineRule="auto"/>
              <w:rPr>
                <w:szCs w:val="22"/>
                <w:lang w:val="sk-SK"/>
              </w:rPr>
            </w:pPr>
            <w:r w:rsidRPr="0012488B">
              <w:rPr>
                <w:szCs w:val="22"/>
                <w:lang w:val="sk-SK"/>
              </w:rPr>
              <w:t>a</w:t>
            </w:r>
            <w:r w:rsidR="00D52504" w:rsidRPr="0012488B">
              <w:rPr>
                <w:szCs w:val="22"/>
                <w:lang w:val="sk-SK"/>
              </w:rPr>
              <w:t>kútne zlyhanie obličiek</w:t>
            </w:r>
          </w:p>
        </w:tc>
        <w:tc>
          <w:tcPr>
            <w:tcW w:w="1046" w:type="pct"/>
            <w:gridSpan w:val="2"/>
          </w:tcPr>
          <w:p w14:paraId="38D002DB" w14:textId="5CCEF696" w:rsidR="00D52504" w:rsidRPr="0012488B" w:rsidRDefault="001211CF" w:rsidP="004C045C">
            <w:pPr>
              <w:spacing w:line="240" w:lineRule="auto"/>
              <w:jc w:val="center"/>
              <w:rPr>
                <w:szCs w:val="22"/>
                <w:lang w:val="sk-SK"/>
              </w:rPr>
            </w:pPr>
            <w:r w:rsidRPr="0012488B">
              <w:rPr>
                <w:szCs w:val="22"/>
                <w:lang w:val="sk-SK"/>
              </w:rPr>
              <w:t>v</w:t>
            </w:r>
            <w:r w:rsidR="00D52504" w:rsidRPr="0012488B">
              <w:rPr>
                <w:szCs w:val="22"/>
                <w:lang w:val="sk-SK"/>
              </w:rPr>
              <w:t>eľmi zriedkavé</w:t>
            </w:r>
          </w:p>
        </w:tc>
      </w:tr>
      <w:tr w:rsidR="00D52504" w:rsidRPr="0012488B" w14:paraId="0676ADD4" w14:textId="77777777" w:rsidTr="004C045C">
        <w:trPr>
          <w:gridAfter w:val="1"/>
          <w:wAfter w:w="7" w:type="pct"/>
          <w:cantSplit/>
          <w:trHeight w:val="566"/>
          <w:jc w:val="center"/>
        </w:trPr>
        <w:tc>
          <w:tcPr>
            <w:tcW w:w="1456" w:type="pct"/>
            <w:gridSpan w:val="2"/>
          </w:tcPr>
          <w:p w14:paraId="68F2B8FD" w14:textId="77777777" w:rsidR="00D52504" w:rsidRPr="0012488B" w:rsidRDefault="00D52504" w:rsidP="004C045C">
            <w:pPr>
              <w:spacing w:line="240" w:lineRule="auto"/>
              <w:rPr>
                <w:b/>
                <w:bCs/>
                <w:szCs w:val="22"/>
                <w:lang w:val="sk-SK"/>
              </w:rPr>
            </w:pPr>
            <w:r w:rsidRPr="0012488B">
              <w:rPr>
                <w:b/>
                <w:bCs/>
                <w:szCs w:val="22"/>
                <w:lang w:val="sk-SK"/>
              </w:rPr>
              <w:t>Poruchy reprodukčného systému a prsníkov</w:t>
            </w:r>
          </w:p>
        </w:tc>
        <w:tc>
          <w:tcPr>
            <w:tcW w:w="2491" w:type="pct"/>
            <w:gridSpan w:val="2"/>
          </w:tcPr>
          <w:p w14:paraId="42AFB23A" w14:textId="0AD6D0E8" w:rsidR="00D52504" w:rsidRPr="0012488B" w:rsidRDefault="00205CB7" w:rsidP="004C045C">
            <w:pPr>
              <w:spacing w:line="240" w:lineRule="auto"/>
              <w:rPr>
                <w:szCs w:val="22"/>
                <w:lang w:val="sk-SK"/>
              </w:rPr>
            </w:pPr>
            <w:r w:rsidRPr="0012488B">
              <w:rPr>
                <w:szCs w:val="22"/>
                <w:lang w:val="sk-SK"/>
              </w:rPr>
              <w:t>e</w:t>
            </w:r>
            <w:r w:rsidR="00D52504" w:rsidRPr="0012488B">
              <w:rPr>
                <w:szCs w:val="22"/>
                <w:lang w:val="sk-SK"/>
              </w:rPr>
              <w:t>rektilná dysfunkcia</w:t>
            </w:r>
          </w:p>
        </w:tc>
        <w:tc>
          <w:tcPr>
            <w:tcW w:w="1046" w:type="pct"/>
            <w:gridSpan w:val="2"/>
          </w:tcPr>
          <w:p w14:paraId="69553F9F" w14:textId="6E1903C9"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04966C56" w14:textId="77777777" w:rsidTr="004C045C">
        <w:trPr>
          <w:gridAfter w:val="1"/>
          <w:wAfter w:w="7" w:type="pct"/>
          <w:cantSplit/>
          <w:trHeight w:val="263"/>
          <w:jc w:val="center"/>
        </w:trPr>
        <w:tc>
          <w:tcPr>
            <w:tcW w:w="1456" w:type="pct"/>
            <w:gridSpan w:val="2"/>
            <w:vMerge w:val="restart"/>
          </w:tcPr>
          <w:p w14:paraId="11F7432F" w14:textId="77777777" w:rsidR="00D52504" w:rsidRPr="0012488B" w:rsidRDefault="00D52504" w:rsidP="004C045C">
            <w:pPr>
              <w:spacing w:line="240" w:lineRule="auto"/>
              <w:rPr>
                <w:b/>
                <w:bCs/>
                <w:szCs w:val="22"/>
                <w:lang w:val="sk-SK"/>
              </w:rPr>
            </w:pPr>
            <w:r w:rsidRPr="0012488B">
              <w:rPr>
                <w:b/>
                <w:bCs/>
                <w:szCs w:val="22"/>
                <w:lang w:val="sk-SK"/>
              </w:rPr>
              <w:t>Celkové poruchy a reakcie v mieste podania</w:t>
            </w:r>
          </w:p>
        </w:tc>
        <w:tc>
          <w:tcPr>
            <w:tcW w:w="2491" w:type="pct"/>
            <w:gridSpan w:val="2"/>
          </w:tcPr>
          <w:p w14:paraId="55D91925" w14:textId="50B31601" w:rsidR="00D52504" w:rsidRPr="0012488B" w:rsidRDefault="00205CB7" w:rsidP="00205CB7">
            <w:pPr>
              <w:spacing w:line="240" w:lineRule="auto"/>
              <w:rPr>
                <w:szCs w:val="22"/>
                <w:lang w:val="sk-SK"/>
              </w:rPr>
            </w:pPr>
            <w:r w:rsidRPr="0012488B">
              <w:rPr>
                <w:szCs w:val="22"/>
                <w:lang w:val="sk-SK"/>
              </w:rPr>
              <w:t>a</w:t>
            </w:r>
            <w:r w:rsidR="00D52504" w:rsidRPr="0012488B">
              <w:rPr>
                <w:szCs w:val="22"/>
                <w:lang w:val="sk-SK"/>
              </w:rPr>
              <w:t>sténia</w:t>
            </w:r>
            <w:r w:rsidRPr="0012488B">
              <w:rPr>
                <w:szCs w:val="22"/>
                <w:lang w:val="sk-SK"/>
              </w:rPr>
              <w:t xml:space="preserve"> (slabosť)</w:t>
            </w:r>
          </w:p>
        </w:tc>
        <w:tc>
          <w:tcPr>
            <w:tcW w:w="1046" w:type="pct"/>
            <w:gridSpan w:val="2"/>
          </w:tcPr>
          <w:p w14:paraId="04A68DB1" w14:textId="015FF211" w:rsidR="00D52504" w:rsidRPr="0012488B" w:rsidRDefault="001211CF" w:rsidP="004C045C">
            <w:pPr>
              <w:spacing w:line="240" w:lineRule="auto"/>
              <w:jc w:val="center"/>
              <w:rPr>
                <w:szCs w:val="22"/>
                <w:lang w:val="sk-SK"/>
              </w:rPr>
            </w:pPr>
            <w:r w:rsidRPr="0012488B">
              <w:rPr>
                <w:szCs w:val="22"/>
                <w:lang w:val="sk-SK"/>
              </w:rPr>
              <w:t>č</w:t>
            </w:r>
            <w:r w:rsidR="00D52504" w:rsidRPr="0012488B">
              <w:rPr>
                <w:szCs w:val="22"/>
                <w:lang w:val="sk-SK"/>
              </w:rPr>
              <w:t>asté</w:t>
            </w:r>
          </w:p>
        </w:tc>
      </w:tr>
      <w:tr w:rsidR="00D52504" w:rsidRPr="0012488B" w14:paraId="11ADBA95" w14:textId="77777777" w:rsidTr="004C045C">
        <w:trPr>
          <w:gridAfter w:val="1"/>
          <w:wAfter w:w="7" w:type="pct"/>
          <w:cantSplit/>
          <w:trHeight w:val="219"/>
          <w:jc w:val="center"/>
        </w:trPr>
        <w:tc>
          <w:tcPr>
            <w:tcW w:w="1456" w:type="pct"/>
            <w:gridSpan w:val="2"/>
            <w:vMerge/>
          </w:tcPr>
          <w:p w14:paraId="19C6D917" w14:textId="77777777" w:rsidR="00D52504" w:rsidRPr="0012488B" w:rsidRDefault="00D52504" w:rsidP="004C045C">
            <w:pPr>
              <w:spacing w:line="240" w:lineRule="auto"/>
              <w:rPr>
                <w:b/>
                <w:bCs/>
                <w:szCs w:val="22"/>
                <w:lang w:val="sk-SK"/>
              </w:rPr>
            </w:pPr>
          </w:p>
        </w:tc>
        <w:tc>
          <w:tcPr>
            <w:tcW w:w="2491" w:type="pct"/>
            <w:gridSpan w:val="2"/>
          </w:tcPr>
          <w:p w14:paraId="7C830385" w14:textId="58D63783" w:rsidR="00D52504" w:rsidRPr="0012488B" w:rsidRDefault="00205CB7" w:rsidP="004C045C">
            <w:pPr>
              <w:spacing w:line="240" w:lineRule="auto"/>
              <w:rPr>
                <w:szCs w:val="22"/>
                <w:lang w:val="sk-SK"/>
              </w:rPr>
            </w:pPr>
            <w:r w:rsidRPr="0012488B">
              <w:rPr>
                <w:szCs w:val="22"/>
                <w:lang w:val="sk-SK"/>
              </w:rPr>
              <w:t>b</w:t>
            </w:r>
            <w:r w:rsidR="00D52504" w:rsidRPr="0012488B">
              <w:rPr>
                <w:szCs w:val="22"/>
                <w:lang w:val="sk-SK"/>
              </w:rPr>
              <w:t>olesť na hrudi</w:t>
            </w:r>
          </w:p>
        </w:tc>
        <w:tc>
          <w:tcPr>
            <w:tcW w:w="1046" w:type="pct"/>
            <w:gridSpan w:val="2"/>
          </w:tcPr>
          <w:p w14:paraId="492B000C" w14:textId="2D1C856B" w:rsidR="00D52504" w:rsidRPr="0012488B" w:rsidRDefault="001211CF" w:rsidP="001211CF">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1FBC57B4" w14:textId="77777777" w:rsidTr="004C045C">
        <w:trPr>
          <w:gridAfter w:val="1"/>
          <w:wAfter w:w="7" w:type="pct"/>
          <w:cantSplit/>
          <w:trHeight w:val="90"/>
          <w:jc w:val="center"/>
        </w:trPr>
        <w:tc>
          <w:tcPr>
            <w:tcW w:w="1456" w:type="pct"/>
            <w:gridSpan w:val="2"/>
            <w:vMerge/>
          </w:tcPr>
          <w:p w14:paraId="50DBA106" w14:textId="77777777" w:rsidR="00D52504" w:rsidRPr="0012488B" w:rsidRDefault="00D52504" w:rsidP="004C045C">
            <w:pPr>
              <w:spacing w:line="240" w:lineRule="auto"/>
              <w:rPr>
                <w:b/>
                <w:bCs/>
                <w:szCs w:val="22"/>
                <w:lang w:val="sk-SK"/>
              </w:rPr>
            </w:pPr>
          </w:p>
        </w:tc>
        <w:tc>
          <w:tcPr>
            <w:tcW w:w="2491" w:type="pct"/>
            <w:gridSpan w:val="2"/>
          </w:tcPr>
          <w:p w14:paraId="14BD342E" w14:textId="6F694596" w:rsidR="00D52504" w:rsidRPr="0012488B" w:rsidRDefault="00205CB7" w:rsidP="004C045C">
            <w:pPr>
              <w:spacing w:line="240" w:lineRule="auto"/>
              <w:rPr>
                <w:szCs w:val="22"/>
                <w:lang w:val="sk-SK"/>
              </w:rPr>
            </w:pPr>
            <w:r w:rsidRPr="0012488B">
              <w:rPr>
                <w:szCs w:val="22"/>
                <w:lang w:val="sk-SK"/>
              </w:rPr>
              <w:t>nevoľnosť</w:t>
            </w:r>
          </w:p>
        </w:tc>
        <w:tc>
          <w:tcPr>
            <w:tcW w:w="1046" w:type="pct"/>
            <w:gridSpan w:val="2"/>
          </w:tcPr>
          <w:p w14:paraId="398789C0" w14:textId="349F6D93"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67EA7B81" w14:textId="77777777" w:rsidTr="004C045C">
        <w:trPr>
          <w:gridAfter w:val="1"/>
          <w:wAfter w:w="7" w:type="pct"/>
          <w:cantSplit/>
          <w:trHeight w:val="352"/>
          <w:jc w:val="center"/>
        </w:trPr>
        <w:tc>
          <w:tcPr>
            <w:tcW w:w="1456" w:type="pct"/>
            <w:gridSpan w:val="2"/>
            <w:vMerge/>
          </w:tcPr>
          <w:p w14:paraId="177D5CC6" w14:textId="77777777" w:rsidR="00D52504" w:rsidRPr="0012488B" w:rsidRDefault="00D52504" w:rsidP="004C045C">
            <w:pPr>
              <w:spacing w:line="240" w:lineRule="auto"/>
              <w:rPr>
                <w:b/>
                <w:bCs/>
                <w:szCs w:val="22"/>
                <w:lang w:val="sk-SK"/>
              </w:rPr>
            </w:pPr>
          </w:p>
        </w:tc>
        <w:tc>
          <w:tcPr>
            <w:tcW w:w="2491" w:type="pct"/>
            <w:gridSpan w:val="2"/>
          </w:tcPr>
          <w:p w14:paraId="3F5CDD3D" w14:textId="633B7166"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eriférny edém</w:t>
            </w:r>
          </w:p>
        </w:tc>
        <w:tc>
          <w:tcPr>
            <w:tcW w:w="1046" w:type="pct"/>
            <w:gridSpan w:val="2"/>
          </w:tcPr>
          <w:p w14:paraId="68A047AC" w14:textId="7A7A3D74"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3B7A0A2A" w14:textId="77777777" w:rsidTr="004C045C">
        <w:trPr>
          <w:gridAfter w:val="1"/>
          <w:wAfter w:w="7" w:type="pct"/>
          <w:cantSplit/>
          <w:trHeight w:val="352"/>
          <w:jc w:val="center"/>
        </w:trPr>
        <w:tc>
          <w:tcPr>
            <w:tcW w:w="1456" w:type="pct"/>
            <w:gridSpan w:val="2"/>
            <w:vMerge/>
          </w:tcPr>
          <w:p w14:paraId="299104E4" w14:textId="77777777" w:rsidR="00D52504" w:rsidRPr="0012488B" w:rsidRDefault="00D52504" w:rsidP="004C045C">
            <w:pPr>
              <w:spacing w:line="240" w:lineRule="auto"/>
              <w:rPr>
                <w:b/>
                <w:bCs/>
                <w:szCs w:val="22"/>
                <w:lang w:val="sk-SK"/>
              </w:rPr>
            </w:pPr>
          </w:p>
        </w:tc>
        <w:tc>
          <w:tcPr>
            <w:tcW w:w="2491" w:type="pct"/>
            <w:gridSpan w:val="2"/>
          </w:tcPr>
          <w:p w14:paraId="3B75706D" w14:textId="3E947E75"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yrexia</w:t>
            </w:r>
          </w:p>
        </w:tc>
        <w:tc>
          <w:tcPr>
            <w:tcW w:w="1046" w:type="pct"/>
            <w:gridSpan w:val="2"/>
          </w:tcPr>
          <w:p w14:paraId="2366D805" w14:textId="61C416F5"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p>
        </w:tc>
      </w:tr>
      <w:tr w:rsidR="00D52504" w:rsidRPr="0012488B" w14:paraId="7E432FF3" w14:textId="77777777" w:rsidTr="004C045C">
        <w:trPr>
          <w:gridAfter w:val="1"/>
          <w:wAfter w:w="7" w:type="pct"/>
          <w:cantSplit/>
          <w:trHeight w:val="458"/>
          <w:jc w:val="center"/>
        </w:trPr>
        <w:tc>
          <w:tcPr>
            <w:tcW w:w="1456" w:type="pct"/>
            <w:gridSpan w:val="2"/>
            <w:vMerge w:val="restart"/>
          </w:tcPr>
          <w:p w14:paraId="53E4B8A3" w14:textId="77777777" w:rsidR="00D52504" w:rsidRPr="0012488B" w:rsidRDefault="00D52504" w:rsidP="004C045C">
            <w:pPr>
              <w:spacing w:line="240" w:lineRule="auto"/>
              <w:rPr>
                <w:b/>
                <w:bCs/>
                <w:szCs w:val="22"/>
                <w:lang w:val="sk-SK"/>
              </w:rPr>
            </w:pPr>
            <w:r w:rsidRPr="0012488B">
              <w:rPr>
                <w:b/>
                <w:bCs/>
                <w:szCs w:val="22"/>
                <w:lang w:val="sk-SK"/>
              </w:rPr>
              <w:t>Laboratórne a funkčné vyšetrenia</w:t>
            </w:r>
          </w:p>
        </w:tc>
        <w:tc>
          <w:tcPr>
            <w:tcW w:w="2491" w:type="pct"/>
            <w:gridSpan w:val="2"/>
          </w:tcPr>
          <w:p w14:paraId="088C14B8" w14:textId="3AB1A7A5"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výšenie močoviny v krvi</w:t>
            </w:r>
          </w:p>
        </w:tc>
        <w:tc>
          <w:tcPr>
            <w:tcW w:w="1046" w:type="pct"/>
            <w:gridSpan w:val="2"/>
          </w:tcPr>
          <w:p w14:paraId="01037F9C" w14:textId="4C793B55"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r w:rsidR="00D52504" w:rsidRPr="0012488B">
              <w:rPr>
                <w:bCs/>
                <w:iCs/>
                <w:szCs w:val="22"/>
                <w:lang w:val="sk-SK"/>
              </w:rPr>
              <w:t>*</w:t>
            </w:r>
          </w:p>
        </w:tc>
      </w:tr>
      <w:tr w:rsidR="00D52504" w:rsidRPr="0012488B" w14:paraId="22326E55" w14:textId="77777777" w:rsidTr="004C045C">
        <w:trPr>
          <w:gridAfter w:val="1"/>
          <w:wAfter w:w="7" w:type="pct"/>
          <w:cantSplit/>
          <w:trHeight w:val="458"/>
          <w:jc w:val="center"/>
        </w:trPr>
        <w:tc>
          <w:tcPr>
            <w:tcW w:w="1456" w:type="pct"/>
            <w:gridSpan w:val="2"/>
            <w:vMerge/>
          </w:tcPr>
          <w:p w14:paraId="72938AE4" w14:textId="77777777" w:rsidR="00D52504" w:rsidRPr="0012488B" w:rsidRDefault="00D52504" w:rsidP="004C045C">
            <w:pPr>
              <w:spacing w:line="240" w:lineRule="auto"/>
              <w:rPr>
                <w:b/>
                <w:bCs/>
                <w:szCs w:val="22"/>
                <w:lang w:val="sk-SK"/>
              </w:rPr>
            </w:pPr>
          </w:p>
        </w:tc>
        <w:tc>
          <w:tcPr>
            <w:tcW w:w="2491" w:type="pct"/>
            <w:gridSpan w:val="2"/>
          </w:tcPr>
          <w:p w14:paraId="21443DBF" w14:textId="61E61646"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výšenie kreatinínu v krvi</w:t>
            </w:r>
          </w:p>
        </w:tc>
        <w:tc>
          <w:tcPr>
            <w:tcW w:w="1046" w:type="pct"/>
            <w:gridSpan w:val="2"/>
          </w:tcPr>
          <w:p w14:paraId="52019809" w14:textId="52F178EF" w:rsidR="00D52504" w:rsidRPr="0012488B" w:rsidRDefault="001211CF" w:rsidP="004C045C">
            <w:pPr>
              <w:spacing w:line="240" w:lineRule="auto"/>
              <w:jc w:val="center"/>
              <w:rPr>
                <w:szCs w:val="22"/>
                <w:lang w:val="sk-SK"/>
              </w:rPr>
            </w:pPr>
            <w:r w:rsidRPr="0012488B">
              <w:rPr>
                <w:szCs w:val="22"/>
                <w:lang w:val="sk-SK"/>
              </w:rPr>
              <w:t>m</w:t>
            </w:r>
            <w:r w:rsidR="00D52504" w:rsidRPr="0012488B">
              <w:rPr>
                <w:szCs w:val="22"/>
                <w:lang w:val="sk-SK"/>
              </w:rPr>
              <w:t>enej časté</w:t>
            </w:r>
            <w:r w:rsidR="00D52504" w:rsidRPr="0012488B">
              <w:rPr>
                <w:bCs/>
                <w:iCs/>
                <w:szCs w:val="22"/>
                <w:lang w:val="sk-SK"/>
              </w:rPr>
              <w:t>*</w:t>
            </w:r>
          </w:p>
        </w:tc>
      </w:tr>
      <w:tr w:rsidR="00D52504" w:rsidRPr="0012488B" w14:paraId="031A316E" w14:textId="77777777" w:rsidTr="004C045C">
        <w:trPr>
          <w:gridAfter w:val="1"/>
          <w:wAfter w:w="7" w:type="pct"/>
          <w:cantSplit/>
          <w:trHeight w:val="458"/>
          <w:jc w:val="center"/>
        </w:trPr>
        <w:tc>
          <w:tcPr>
            <w:tcW w:w="1456" w:type="pct"/>
            <w:gridSpan w:val="2"/>
            <w:vMerge/>
          </w:tcPr>
          <w:p w14:paraId="03BF7D49" w14:textId="77777777" w:rsidR="00D52504" w:rsidRPr="0012488B" w:rsidRDefault="00D52504" w:rsidP="004C045C">
            <w:pPr>
              <w:spacing w:line="240" w:lineRule="auto"/>
              <w:rPr>
                <w:b/>
                <w:bCs/>
                <w:szCs w:val="22"/>
                <w:lang w:val="sk-SK"/>
              </w:rPr>
            </w:pPr>
          </w:p>
        </w:tc>
        <w:tc>
          <w:tcPr>
            <w:tcW w:w="2491" w:type="pct"/>
            <w:gridSpan w:val="2"/>
          </w:tcPr>
          <w:p w14:paraId="64361B28" w14:textId="14B94C2F"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výšenie bilirubínu v krvi</w:t>
            </w:r>
          </w:p>
        </w:tc>
        <w:tc>
          <w:tcPr>
            <w:tcW w:w="1046" w:type="pct"/>
            <w:gridSpan w:val="2"/>
          </w:tcPr>
          <w:p w14:paraId="0ABCABDF" w14:textId="23AC5502" w:rsidR="00D52504" w:rsidRPr="0012488B" w:rsidRDefault="001211CF" w:rsidP="004C045C">
            <w:pPr>
              <w:spacing w:line="240" w:lineRule="auto"/>
              <w:jc w:val="center"/>
              <w:rPr>
                <w:szCs w:val="22"/>
                <w:lang w:val="sk-SK"/>
              </w:rPr>
            </w:pPr>
            <w:r w:rsidRPr="0012488B">
              <w:rPr>
                <w:szCs w:val="22"/>
                <w:lang w:val="sk-SK"/>
              </w:rPr>
              <w:t>z</w:t>
            </w:r>
            <w:r w:rsidR="00D52504" w:rsidRPr="0012488B">
              <w:rPr>
                <w:szCs w:val="22"/>
                <w:lang w:val="sk-SK"/>
              </w:rPr>
              <w:t>riedkavé</w:t>
            </w:r>
          </w:p>
        </w:tc>
      </w:tr>
      <w:tr w:rsidR="00D52504" w:rsidRPr="0012488B" w14:paraId="35E8D2A3" w14:textId="77777777" w:rsidTr="004C045C">
        <w:trPr>
          <w:gridAfter w:val="1"/>
          <w:wAfter w:w="7" w:type="pct"/>
          <w:cantSplit/>
          <w:trHeight w:val="458"/>
          <w:jc w:val="center"/>
        </w:trPr>
        <w:tc>
          <w:tcPr>
            <w:tcW w:w="1456" w:type="pct"/>
            <w:gridSpan w:val="2"/>
            <w:vMerge/>
          </w:tcPr>
          <w:p w14:paraId="1EE6EAE8" w14:textId="77777777" w:rsidR="00D52504" w:rsidRPr="0012488B" w:rsidRDefault="00D52504" w:rsidP="004C045C">
            <w:pPr>
              <w:spacing w:line="240" w:lineRule="auto"/>
              <w:rPr>
                <w:b/>
                <w:bCs/>
                <w:szCs w:val="22"/>
                <w:lang w:val="sk-SK"/>
              </w:rPr>
            </w:pPr>
          </w:p>
        </w:tc>
        <w:tc>
          <w:tcPr>
            <w:tcW w:w="2491" w:type="pct"/>
            <w:gridSpan w:val="2"/>
          </w:tcPr>
          <w:p w14:paraId="1BCE84A0" w14:textId="2545EE77" w:rsidR="00D52504" w:rsidRPr="0012488B" w:rsidRDefault="00205CB7" w:rsidP="004C045C">
            <w:pPr>
              <w:spacing w:line="240" w:lineRule="auto"/>
              <w:rPr>
                <w:szCs w:val="22"/>
                <w:lang w:val="sk-SK"/>
              </w:rPr>
            </w:pPr>
            <w:r w:rsidRPr="0012488B">
              <w:rPr>
                <w:szCs w:val="22"/>
                <w:lang w:val="sk-SK"/>
              </w:rPr>
              <w:t>z</w:t>
            </w:r>
            <w:r w:rsidR="00D52504" w:rsidRPr="0012488B">
              <w:rPr>
                <w:szCs w:val="22"/>
                <w:lang w:val="sk-SK"/>
              </w:rPr>
              <w:t>výšenie pečeňových enzýmov</w:t>
            </w:r>
          </w:p>
        </w:tc>
        <w:tc>
          <w:tcPr>
            <w:tcW w:w="1046" w:type="pct"/>
            <w:gridSpan w:val="2"/>
          </w:tcPr>
          <w:p w14:paraId="5CC2BD66" w14:textId="06DA22AD" w:rsidR="00D52504" w:rsidRPr="0012488B" w:rsidRDefault="001211CF" w:rsidP="004C045C">
            <w:pPr>
              <w:spacing w:line="240" w:lineRule="auto"/>
              <w:jc w:val="center"/>
              <w:rPr>
                <w:szCs w:val="22"/>
                <w:lang w:val="sk-SK"/>
              </w:rPr>
            </w:pPr>
            <w:r w:rsidRPr="0012488B">
              <w:rPr>
                <w:szCs w:val="22"/>
                <w:lang w:val="sk-SK"/>
              </w:rPr>
              <w:t>z</w:t>
            </w:r>
            <w:r w:rsidR="00D52504" w:rsidRPr="0012488B">
              <w:rPr>
                <w:szCs w:val="22"/>
                <w:lang w:val="sk-SK"/>
              </w:rPr>
              <w:t>riedkavé</w:t>
            </w:r>
          </w:p>
        </w:tc>
      </w:tr>
      <w:tr w:rsidR="00D52504" w:rsidRPr="0012488B" w14:paraId="09179EDE" w14:textId="77777777" w:rsidTr="004C045C">
        <w:trPr>
          <w:gridBefore w:val="1"/>
          <w:wBefore w:w="7" w:type="pct"/>
          <w:cantSplit/>
          <w:trHeight w:val="352"/>
          <w:jc w:val="center"/>
        </w:trPr>
        <w:tc>
          <w:tcPr>
            <w:tcW w:w="1459" w:type="pct"/>
            <w:gridSpan w:val="2"/>
          </w:tcPr>
          <w:p w14:paraId="3FE59639" w14:textId="77777777" w:rsidR="00D52504" w:rsidRPr="0012488B" w:rsidRDefault="00D52504" w:rsidP="004C045C">
            <w:pPr>
              <w:spacing w:line="240" w:lineRule="auto"/>
              <w:rPr>
                <w:b/>
                <w:bCs/>
                <w:szCs w:val="22"/>
                <w:lang w:val="sk-SK"/>
              </w:rPr>
            </w:pPr>
            <w:r w:rsidRPr="0012488B">
              <w:rPr>
                <w:b/>
                <w:bCs/>
                <w:szCs w:val="22"/>
                <w:lang w:val="sk-SK"/>
              </w:rPr>
              <w:t>Úrazy, otravy a komplikácie liečebného postupu</w:t>
            </w:r>
          </w:p>
        </w:tc>
        <w:tc>
          <w:tcPr>
            <w:tcW w:w="2494" w:type="pct"/>
            <w:gridSpan w:val="2"/>
          </w:tcPr>
          <w:p w14:paraId="65C0EED5" w14:textId="7970F959" w:rsidR="00D52504" w:rsidRPr="0012488B" w:rsidRDefault="00205CB7" w:rsidP="004C045C">
            <w:pPr>
              <w:spacing w:line="240" w:lineRule="auto"/>
              <w:rPr>
                <w:szCs w:val="22"/>
                <w:lang w:val="sk-SK"/>
              </w:rPr>
            </w:pPr>
            <w:r w:rsidRPr="0012488B">
              <w:rPr>
                <w:szCs w:val="22"/>
                <w:lang w:val="sk-SK"/>
              </w:rPr>
              <w:t>p</w:t>
            </w:r>
            <w:r w:rsidR="00D52504" w:rsidRPr="0012488B">
              <w:rPr>
                <w:szCs w:val="22"/>
                <w:lang w:val="sk-SK"/>
              </w:rPr>
              <w:t>ád</w:t>
            </w:r>
          </w:p>
        </w:tc>
        <w:tc>
          <w:tcPr>
            <w:tcW w:w="1040" w:type="pct"/>
            <w:gridSpan w:val="2"/>
          </w:tcPr>
          <w:p w14:paraId="35975153" w14:textId="7E1AB581" w:rsidR="00D52504" w:rsidRPr="0012488B" w:rsidRDefault="001211CF" w:rsidP="004C045C">
            <w:pPr>
              <w:spacing w:line="240" w:lineRule="auto"/>
              <w:jc w:val="center"/>
              <w:rPr>
                <w:b/>
                <w:i/>
                <w:szCs w:val="22"/>
                <w:lang w:val="sk-SK"/>
              </w:rPr>
            </w:pPr>
            <w:r w:rsidRPr="0012488B">
              <w:rPr>
                <w:szCs w:val="22"/>
                <w:lang w:val="sk-SK"/>
              </w:rPr>
              <w:t>m</w:t>
            </w:r>
            <w:r w:rsidR="00D52504" w:rsidRPr="0012488B">
              <w:rPr>
                <w:szCs w:val="22"/>
                <w:lang w:val="sk-SK"/>
              </w:rPr>
              <w:t>enej časté*</w:t>
            </w:r>
          </w:p>
        </w:tc>
      </w:tr>
    </w:tbl>
    <w:p w14:paraId="6A366996" w14:textId="77777777" w:rsidR="00D52504" w:rsidRPr="0012488B" w:rsidRDefault="00D52504" w:rsidP="00D52504">
      <w:pPr>
        <w:spacing w:line="240" w:lineRule="auto"/>
        <w:rPr>
          <w:i/>
          <w:sz w:val="18"/>
          <w:szCs w:val="18"/>
          <w:lang w:val="sk-SK"/>
        </w:rPr>
      </w:pPr>
    </w:p>
    <w:p w14:paraId="447D8F83" w14:textId="77777777" w:rsidR="00D52504" w:rsidRPr="0012488B" w:rsidRDefault="00D52504" w:rsidP="00D52504">
      <w:pPr>
        <w:spacing w:line="240" w:lineRule="auto"/>
        <w:rPr>
          <w:bCs/>
          <w:iCs/>
          <w:sz w:val="18"/>
          <w:szCs w:val="18"/>
          <w:u w:val="single"/>
          <w:lang w:val="sk-SK"/>
        </w:rPr>
      </w:pPr>
      <w:r w:rsidRPr="0012488B">
        <w:rPr>
          <w:i/>
          <w:sz w:val="18"/>
          <w:szCs w:val="18"/>
          <w:lang w:val="sk-SK"/>
        </w:rPr>
        <w:t>* Frekvencia vypočítaná z klinických skúšaní pre nežiaduce účinky zistené zo spontánnych hlásení</w:t>
      </w:r>
    </w:p>
    <w:p w14:paraId="1FF75D46" w14:textId="77777777" w:rsidR="00D52504" w:rsidRPr="0012488B" w:rsidRDefault="00D52504" w:rsidP="00D52504">
      <w:pPr>
        <w:spacing w:line="240" w:lineRule="auto"/>
        <w:rPr>
          <w:bCs/>
          <w:iCs/>
          <w:szCs w:val="22"/>
          <w:lang w:val="sk-SK"/>
        </w:rPr>
      </w:pPr>
    </w:p>
    <w:p w14:paraId="6FC2013F" w14:textId="61B1FE89" w:rsidR="00D52504" w:rsidRPr="0012488B" w:rsidRDefault="00D52504" w:rsidP="00D52504">
      <w:pPr>
        <w:spacing w:line="240" w:lineRule="auto"/>
        <w:rPr>
          <w:bCs/>
          <w:iCs/>
          <w:szCs w:val="22"/>
          <w:u w:val="single"/>
          <w:lang w:val="sk-SK"/>
        </w:rPr>
      </w:pPr>
      <w:r w:rsidRPr="0012488B">
        <w:rPr>
          <w:bCs/>
          <w:iCs/>
          <w:szCs w:val="22"/>
          <w:u w:val="single"/>
          <w:lang w:val="sk-SK"/>
        </w:rPr>
        <w:t xml:space="preserve">Klinické </w:t>
      </w:r>
      <w:r w:rsidR="0008253E" w:rsidRPr="0012488B">
        <w:rPr>
          <w:bCs/>
          <w:iCs/>
          <w:szCs w:val="22"/>
          <w:u w:val="single"/>
          <w:lang w:val="sk-SK"/>
        </w:rPr>
        <w:t>skúšania</w:t>
      </w:r>
    </w:p>
    <w:p w14:paraId="00B6BE49" w14:textId="0E466B6D" w:rsidR="00D52504" w:rsidRPr="0012488B" w:rsidRDefault="00D52504" w:rsidP="00D52504">
      <w:pPr>
        <w:spacing w:line="240" w:lineRule="auto"/>
        <w:rPr>
          <w:bCs/>
          <w:iCs/>
          <w:szCs w:val="22"/>
          <w:lang w:val="sk-SK"/>
        </w:rPr>
      </w:pPr>
      <w:r w:rsidRPr="0012488B">
        <w:rPr>
          <w:bCs/>
          <w:iCs/>
          <w:szCs w:val="22"/>
          <w:lang w:val="sk-SK"/>
        </w:rPr>
        <w:t xml:space="preserve">Počas randomizovanej fázy štúdie EUROPA boli zaznamenávané len závažné nežiaduce </w:t>
      </w:r>
      <w:r w:rsidR="00E45C94" w:rsidRPr="0012488B">
        <w:rPr>
          <w:bCs/>
          <w:iCs/>
          <w:szCs w:val="22"/>
          <w:lang w:val="sk-SK"/>
        </w:rPr>
        <w:t>účinky</w:t>
      </w:r>
      <w:r w:rsidRPr="0012488B">
        <w:rPr>
          <w:bCs/>
          <w:iCs/>
          <w:szCs w:val="22"/>
          <w:lang w:val="sk-SK"/>
        </w:rPr>
        <w:t xml:space="preserve">. Závažné nežiaduce </w:t>
      </w:r>
      <w:r w:rsidR="00E45C94" w:rsidRPr="0012488B">
        <w:rPr>
          <w:bCs/>
          <w:iCs/>
          <w:szCs w:val="22"/>
          <w:lang w:val="sk-SK"/>
        </w:rPr>
        <w:t xml:space="preserve">účinky </w:t>
      </w:r>
      <w:r w:rsidRPr="0012488B">
        <w:rPr>
          <w:bCs/>
          <w:iCs/>
          <w:szCs w:val="22"/>
          <w:lang w:val="sk-SK"/>
        </w:rPr>
        <w:t>sa vyskytli u niekoľkých pacientov: u 16 (0,3</w:t>
      </w:r>
      <w:r w:rsidR="00E73893" w:rsidRPr="0012488B">
        <w:rPr>
          <w:bCs/>
          <w:iCs/>
          <w:szCs w:val="22"/>
          <w:lang w:val="sk-SK"/>
        </w:rPr>
        <w:t xml:space="preserve"> </w:t>
      </w:r>
      <w:r w:rsidRPr="0012488B">
        <w:rPr>
          <w:bCs/>
          <w:iCs/>
          <w:szCs w:val="22"/>
          <w:lang w:val="sk-SK"/>
        </w:rPr>
        <w:t>%) zo 6 122 pacientov užívajúcich perindopril a u 12 (0,2</w:t>
      </w:r>
      <w:r w:rsidR="00E73893" w:rsidRPr="0012488B">
        <w:rPr>
          <w:bCs/>
          <w:iCs/>
          <w:szCs w:val="22"/>
          <w:lang w:val="sk-SK"/>
        </w:rPr>
        <w:t xml:space="preserve"> </w:t>
      </w:r>
      <w:r w:rsidRPr="0012488B">
        <w:rPr>
          <w:bCs/>
          <w:iCs/>
          <w:szCs w:val="22"/>
          <w:lang w:val="sk-SK"/>
        </w:rPr>
        <w:t>%) zo 6 107 pacientov užívajúcich placebo. U pacientov liečených perindoprilom bola hypotenzia pozorovaná u 6 pacientov, angioedém u 3 pacientov a náhle zastavenie srdca u 1 pacienta. Pre kašeľ, hypotenziu alebo inú neznášanlivosť prerušilo liečbu viac pacientov užívajúcich perindopril ako placebo, 6,0</w:t>
      </w:r>
      <w:r w:rsidR="00E73893" w:rsidRPr="0012488B">
        <w:rPr>
          <w:bCs/>
          <w:iCs/>
          <w:szCs w:val="22"/>
          <w:lang w:val="sk-SK"/>
        </w:rPr>
        <w:t xml:space="preserve"> </w:t>
      </w:r>
      <w:r w:rsidRPr="0012488B">
        <w:rPr>
          <w:bCs/>
          <w:iCs/>
          <w:szCs w:val="22"/>
          <w:lang w:val="sk-SK"/>
        </w:rPr>
        <w:t>% (n=366) verzus 2,1</w:t>
      </w:r>
      <w:r w:rsidR="00E73893" w:rsidRPr="0012488B">
        <w:rPr>
          <w:bCs/>
          <w:iCs/>
          <w:szCs w:val="22"/>
          <w:lang w:val="sk-SK"/>
        </w:rPr>
        <w:t xml:space="preserve"> </w:t>
      </w:r>
      <w:r w:rsidRPr="0012488B">
        <w:rPr>
          <w:bCs/>
          <w:iCs/>
          <w:szCs w:val="22"/>
          <w:lang w:val="sk-SK"/>
        </w:rPr>
        <w:t>% (n=129).</w:t>
      </w:r>
    </w:p>
    <w:p w14:paraId="7DAE9550" w14:textId="77777777" w:rsidR="00D52504" w:rsidRPr="0012488B" w:rsidRDefault="00D52504" w:rsidP="00D52504">
      <w:pPr>
        <w:spacing w:line="240" w:lineRule="auto"/>
        <w:rPr>
          <w:bCs/>
          <w:iCs/>
          <w:szCs w:val="22"/>
          <w:lang w:val="sk-SK"/>
        </w:rPr>
      </w:pPr>
    </w:p>
    <w:p w14:paraId="2DA31101" w14:textId="77777777" w:rsidR="00D52504" w:rsidRPr="0012488B" w:rsidRDefault="00D52504" w:rsidP="00D52504">
      <w:pPr>
        <w:suppressLineNumbers/>
        <w:autoSpaceDE w:val="0"/>
        <w:autoSpaceDN w:val="0"/>
        <w:adjustRightInd w:val="0"/>
        <w:spacing w:line="240" w:lineRule="auto"/>
        <w:rPr>
          <w:szCs w:val="22"/>
          <w:u w:val="single"/>
          <w:lang w:val="sk-SK"/>
        </w:rPr>
      </w:pPr>
      <w:r w:rsidRPr="0012488B">
        <w:rPr>
          <w:noProof/>
          <w:szCs w:val="22"/>
          <w:u w:val="single"/>
          <w:lang w:val="sk-SK"/>
        </w:rPr>
        <w:t>Hlásenie podozrení na nežiaduce reakcie</w:t>
      </w:r>
    </w:p>
    <w:p w14:paraId="63D02ACE" w14:textId="77777777" w:rsidR="00D52504" w:rsidRPr="0012488B" w:rsidRDefault="00D52504" w:rsidP="00D52504">
      <w:pPr>
        <w:spacing w:line="240" w:lineRule="auto"/>
        <w:rPr>
          <w:bCs/>
          <w:iCs/>
          <w:szCs w:val="22"/>
          <w:lang w:val="sk-SK"/>
        </w:rPr>
      </w:pPr>
      <w:r w:rsidRPr="0012488B">
        <w:rPr>
          <w:noProof/>
          <w:szCs w:val="22"/>
          <w:lang w:val="sk-SK"/>
        </w:rPr>
        <w:lastRenderedPageBreak/>
        <w:t>Hlásenie podozrení na nežiaduce reakcie po registrácii lieku je dôležité.</w:t>
      </w:r>
      <w:r w:rsidRPr="0012488B">
        <w:rPr>
          <w:szCs w:val="22"/>
          <w:lang w:val="sk-SK"/>
        </w:rPr>
        <w:t xml:space="preserve"> </w:t>
      </w:r>
      <w:r w:rsidRPr="0012488B">
        <w:rPr>
          <w:noProof/>
          <w:szCs w:val="22"/>
          <w:lang w:val="sk-SK"/>
        </w:rPr>
        <w:t>Umožňuje priebežné monitorovanie pomeru prínosu a rizika lieku.</w:t>
      </w:r>
      <w:r w:rsidRPr="0012488B">
        <w:rPr>
          <w:szCs w:val="22"/>
          <w:lang w:val="sk-SK"/>
        </w:rPr>
        <w:t xml:space="preserve"> Od </w:t>
      </w:r>
      <w:r w:rsidRPr="0012488B">
        <w:rPr>
          <w:noProof/>
          <w:szCs w:val="22"/>
          <w:lang w:val="sk-SK"/>
        </w:rPr>
        <w:t>zdravotníckych pracovníkov sa vyžaduje, aby hlásili akékoľvek podozrenia na nežiaduce reakcie prostredníctvom národného systému hlásenia uvedeného v </w:t>
      </w:r>
      <w:hyperlink r:id="rId7" w:history="1">
        <w:r w:rsidRPr="0012488B">
          <w:rPr>
            <w:rStyle w:val="Hypertextovprepojenie"/>
            <w:noProof/>
            <w:color w:val="17365D"/>
            <w:szCs w:val="22"/>
            <w:lang w:val="sk-SK"/>
          </w:rPr>
          <w:t>Prílohe V</w:t>
        </w:r>
      </w:hyperlink>
      <w:r w:rsidRPr="0012488B">
        <w:rPr>
          <w:noProof/>
          <w:color w:val="17365D"/>
          <w:szCs w:val="22"/>
          <w:lang w:val="sk-SK"/>
        </w:rPr>
        <w:t>.</w:t>
      </w:r>
    </w:p>
    <w:p w14:paraId="4406F9B3" w14:textId="77777777" w:rsidR="00D52504" w:rsidRPr="0012488B" w:rsidRDefault="00D52504" w:rsidP="00D52504">
      <w:pPr>
        <w:spacing w:line="240" w:lineRule="auto"/>
        <w:rPr>
          <w:bCs/>
          <w:iCs/>
          <w:szCs w:val="22"/>
          <w:lang w:val="sk-SK"/>
        </w:rPr>
      </w:pPr>
    </w:p>
    <w:p w14:paraId="5AA63233" w14:textId="77777777" w:rsidR="00D52504" w:rsidRPr="0012488B" w:rsidRDefault="00D52504" w:rsidP="00D52504">
      <w:pPr>
        <w:keepNext/>
        <w:keepLines/>
        <w:spacing w:line="240" w:lineRule="auto"/>
        <w:rPr>
          <w:b/>
          <w:szCs w:val="22"/>
          <w:lang w:val="sk-SK"/>
        </w:rPr>
      </w:pPr>
      <w:r w:rsidRPr="0012488B">
        <w:rPr>
          <w:b/>
          <w:szCs w:val="22"/>
          <w:lang w:val="sk-SK"/>
        </w:rPr>
        <w:t>4.9</w:t>
      </w:r>
      <w:r w:rsidRPr="0012488B">
        <w:rPr>
          <w:b/>
          <w:szCs w:val="22"/>
          <w:lang w:val="sk-SK"/>
        </w:rPr>
        <w:tab/>
        <w:t>Predávkovanie</w:t>
      </w:r>
    </w:p>
    <w:p w14:paraId="34E0B721" w14:textId="77777777" w:rsidR="00D52504" w:rsidRPr="0012488B" w:rsidRDefault="00D52504" w:rsidP="00D52504">
      <w:pPr>
        <w:spacing w:line="240" w:lineRule="auto"/>
        <w:rPr>
          <w:bCs/>
          <w:iCs/>
          <w:szCs w:val="22"/>
          <w:lang w:val="sk-SK"/>
        </w:rPr>
      </w:pPr>
    </w:p>
    <w:p w14:paraId="2BDE3658" w14:textId="45AFCD85" w:rsidR="00D52504" w:rsidRPr="0012488B" w:rsidRDefault="00D52504" w:rsidP="00D52504">
      <w:pPr>
        <w:spacing w:line="240" w:lineRule="auto"/>
        <w:rPr>
          <w:szCs w:val="22"/>
          <w:lang w:val="sk-SK"/>
        </w:rPr>
      </w:pPr>
      <w:r w:rsidRPr="0012488B">
        <w:rPr>
          <w:szCs w:val="22"/>
          <w:lang w:val="sk-SK"/>
        </w:rPr>
        <w:t xml:space="preserve">O predávkovaní u ľudí sú k dispozícii len obmedzené údaje. Medzi symptómy spojené s predávkovaním inhibítormi ACE môže patriť hypotenzia, obehový šok, </w:t>
      </w:r>
      <w:r w:rsidR="00E73893" w:rsidRPr="0012488B">
        <w:rPr>
          <w:szCs w:val="22"/>
          <w:lang w:val="sk-SK"/>
        </w:rPr>
        <w:t>elektrolytová nerovnováha</w:t>
      </w:r>
      <w:r w:rsidRPr="0012488B">
        <w:rPr>
          <w:szCs w:val="22"/>
          <w:lang w:val="sk-SK"/>
        </w:rPr>
        <w:t>, renálne zlyhanie, hyperventilácia, tachykardia, palpitácie, bradykardia, závraty, anxiozita a kašeľ.</w:t>
      </w:r>
    </w:p>
    <w:p w14:paraId="06D7A125" w14:textId="77777777" w:rsidR="00D52504" w:rsidRPr="0012488B" w:rsidRDefault="00D52504" w:rsidP="00D52504">
      <w:pPr>
        <w:spacing w:line="240" w:lineRule="auto"/>
        <w:rPr>
          <w:szCs w:val="22"/>
          <w:lang w:val="sk-SK"/>
        </w:rPr>
      </w:pPr>
    </w:p>
    <w:p w14:paraId="194DAD62" w14:textId="77777777" w:rsidR="00D52504" w:rsidRPr="0012488B" w:rsidRDefault="00D52504" w:rsidP="00D52504">
      <w:pPr>
        <w:spacing w:line="240" w:lineRule="auto"/>
        <w:rPr>
          <w:szCs w:val="22"/>
          <w:lang w:val="sk-SK"/>
        </w:rPr>
      </w:pPr>
      <w:r w:rsidRPr="0012488B">
        <w:rPr>
          <w:szCs w:val="22"/>
          <w:lang w:val="sk-SK"/>
        </w:rPr>
        <w:t>Odporúčanou liečbou pri predávkovaní je intravenózna infúzia roztoku chloridu sodného 9 mg/ml (0,9%). Ak dôjde k hypotenzii, pacient sa má uložiť do protišokovej polohy. Ak sú dostupné, môže sa tiež zvážiť liečba infúziou angiotenzínu II a/alebo intravenózne podanie katecholamínov. Perindopril sa dá zo systémového krvného obehu odstrániť hemodialýzou (pozri časť 4.4). Kardiostimulačná liečba je indikovaná pri bradykardii rezistentnej na liečbu. Nepretržite majú byť monitorované životne dôležité funkcie, sérové elektrolyty a koncentrácie kreatinínu.</w:t>
      </w:r>
    </w:p>
    <w:p w14:paraId="54015122" w14:textId="77777777" w:rsidR="00D52504" w:rsidRPr="0012488B" w:rsidRDefault="00D52504" w:rsidP="00D52504">
      <w:pPr>
        <w:keepNext/>
        <w:spacing w:line="240" w:lineRule="auto"/>
        <w:rPr>
          <w:b/>
          <w:szCs w:val="22"/>
          <w:lang w:val="sk-SK"/>
        </w:rPr>
      </w:pPr>
    </w:p>
    <w:p w14:paraId="51925899" w14:textId="77777777" w:rsidR="00D52504" w:rsidRPr="0012488B" w:rsidRDefault="00D52504" w:rsidP="00D52504">
      <w:pPr>
        <w:keepNext/>
        <w:spacing w:line="240" w:lineRule="auto"/>
        <w:rPr>
          <w:b/>
          <w:szCs w:val="22"/>
          <w:lang w:val="sk-SK"/>
        </w:rPr>
      </w:pPr>
    </w:p>
    <w:p w14:paraId="765DB7DA" w14:textId="77777777" w:rsidR="00D52504" w:rsidRPr="0012488B" w:rsidRDefault="00D52504" w:rsidP="00D52504">
      <w:pPr>
        <w:keepNext/>
        <w:spacing w:line="240" w:lineRule="auto"/>
        <w:rPr>
          <w:b/>
          <w:szCs w:val="22"/>
          <w:lang w:val="sk-SK"/>
        </w:rPr>
      </w:pPr>
      <w:r w:rsidRPr="0012488B">
        <w:rPr>
          <w:b/>
          <w:szCs w:val="22"/>
          <w:lang w:val="sk-SK"/>
        </w:rPr>
        <w:t>5.</w:t>
      </w:r>
      <w:r w:rsidRPr="0012488B">
        <w:rPr>
          <w:b/>
          <w:szCs w:val="22"/>
          <w:lang w:val="sk-SK"/>
        </w:rPr>
        <w:tab/>
        <w:t>FARMAKOLOGICKÉ VLASTNOSTI</w:t>
      </w:r>
    </w:p>
    <w:p w14:paraId="046310F9" w14:textId="77777777" w:rsidR="00D52504" w:rsidRPr="0012488B" w:rsidRDefault="00D52504" w:rsidP="00D52504">
      <w:pPr>
        <w:keepNext/>
        <w:spacing w:line="240" w:lineRule="auto"/>
        <w:rPr>
          <w:b/>
          <w:szCs w:val="22"/>
          <w:lang w:val="sk-SK"/>
        </w:rPr>
      </w:pPr>
    </w:p>
    <w:p w14:paraId="678ECDC9" w14:textId="77777777" w:rsidR="00D52504" w:rsidRPr="0012488B" w:rsidRDefault="00D52504" w:rsidP="00D52504">
      <w:pPr>
        <w:keepNext/>
        <w:spacing w:line="240" w:lineRule="auto"/>
        <w:rPr>
          <w:b/>
          <w:szCs w:val="22"/>
          <w:lang w:val="sk-SK"/>
        </w:rPr>
      </w:pPr>
      <w:r w:rsidRPr="0012488B">
        <w:rPr>
          <w:b/>
          <w:szCs w:val="22"/>
          <w:lang w:val="sk-SK"/>
        </w:rPr>
        <w:t>5.1</w:t>
      </w:r>
      <w:r w:rsidRPr="0012488B">
        <w:rPr>
          <w:b/>
          <w:szCs w:val="22"/>
          <w:lang w:val="sk-SK"/>
        </w:rPr>
        <w:tab/>
        <w:t>Farmakodynamické vlastnosti</w:t>
      </w:r>
    </w:p>
    <w:p w14:paraId="6C799419" w14:textId="77777777" w:rsidR="00D52504" w:rsidRPr="0012488B" w:rsidRDefault="00D52504" w:rsidP="00D52504">
      <w:pPr>
        <w:pStyle w:val="Hlavika"/>
        <w:rPr>
          <w:rFonts w:ascii="Times New Roman" w:hAnsi="Times New Roman"/>
          <w:sz w:val="22"/>
          <w:szCs w:val="22"/>
          <w:lang w:val="sk-SK"/>
        </w:rPr>
      </w:pPr>
    </w:p>
    <w:p w14:paraId="0F337B7F" w14:textId="046C4BA6" w:rsidR="00E45C94" w:rsidRPr="0012488B" w:rsidRDefault="00D52504" w:rsidP="00E45C94">
      <w:pPr>
        <w:spacing w:line="240" w:lineRule="auto"/>
        <w:rPr>
          <w:szCs w:val="22"/>
          <w:lang w:val="sk-SK"/>
        </w:rPr>
      </w:pPr>
      <w:r w:rsidRPr="0012488B">
        <w:rPr>
          <w:szCs w:val="22"/>
          <w:lang w:val="sk-SK"/>
        </w:rPr>
        <w:t xml:space="preserve">Farmakoterapeutická skupina: </w:t>
      </w:r>
      <w:r w:rsidR="00E45C94" w:rsidRPr="0012488B">
        <w:rPr>
          <w:szCs w:val="22"/>
          <w:lang w:val="sk-SK"/>
        </w:rPr>
        <w:t>inhibítory enzýmu konvertujúceho angiotenzín</w:t>
      </w:r>
    </w:p>
    <w:p w14:paraId="451566B7" w14:textId="77777777" w:rsidR="00D52504" w:rsidRPr="0012488B" w:rsidRDefault="00D52504" w:rsidP="00D52504">
      <w:pPr>
        <w:spacing w:line="240" w:lineRule="auto"/>
        <w:rPr>
          <w:szCs w:val="22"/>
          <w:lang w:val="sk-SK"/>
        </w:rPr>
      </w:pPr>
      <w:r w:rsidRPr="0012488B">
        <w:rPr>
          <w:szCs w:val="22"/>
          <w:lang w:val="sk-SK"/>
        </w:rPr>
        <w:t>ATC kód: C09AA04</w:t>
      </w:r>
    </w:p>
    <w:p w14:paraId="6112616E" w14:textId="77777777" w:rsidR="00D52504" w:rsidRPr="0012488B" w:rsidRDefault="00D52504" w:rsidP="00D52504">
      <w:pPr>
        <w:spacing w:line="240" w:lineRule="auto"/>
        <w:rPr>
          <w:szCs w:val="22"/>
          <w:u w:val="single"/>
          <w:lang w:val="sk-SK"/>
        </w:rPr>
      </w:pPr>
    </w:p>
    <w:p w14:paraId="1930A8D5" w14:textId="77777777" w:rsidR="00D52504" w:rsidRPr="0012488B" w:rsidRDefault="00D52504" w:rsidP="00D52504">
      <w:pPr>
        <w:spacing w:line="240" w:lineRule="auto"/>
        <w:rPr>
          <w:szCs w:val="22"/>
          <w:lang w:val="sk-SK"/>
        </w:rPr>
      </w:pPr>
      <w:r w:rsidRPr="0012488B">
        <w:rPr>
          <w:szCs w:val="22"/>
          <w:u w:val="single"/>
          <w:lang w:val="sk-SK"/>
        </w:rPr>
        <w:t>Mechanizmus účinku</w:t>
      </w:r>
    </w:p>
    <w:p w14:paraId="7AC9AE1F" w14:textId="60E59DC4" w:rsidR="00D52504" w:rsidRPr="0012488B" w:rsidRDefault="00D52504" w:rsidP="00D52504">
      <w:pPr>
        <w:spacing w:line="240" w:lineRule="auto"/>
        <w:rPr>
          <w:szCs w:val="22"/>
          <w:lang w:val="sk-SK"/>
        </w:rPr>
      </w:pPr>
      <w:r w:rsidRPr="0012488B">
        <w:rPr>
          <w:szCs w:val="22"/>
          <w:lang w:val="sk-SK"/>
        </w:rPr>
        <w:t xml:space="preserve">Perindopril je inhibítor enzýmu, ktorý konvertuje angiotenzín I na angiotenzín II (angiotenzín-konvertujúci enzým, ACE). Tento konvertujúci enzým alebo kináza je exopeptidáza, ktorá umožňuje konverziu angiotenzínu I na vazokonstrikčný angiotenzín II a zároveň spôsobuje rozpad vazodilatačného bradykinínu na </w:t>
      </w:r>
      <w:r w:rsidR="008A3D1C" w:rsidRPr="0012488B">
        <w:rPr>
          <w:szCs w:val="22"/>
          <w:lang w:val="sk-SK"/>
        </w:rPr>
        <w:t xml:space="preserve">inaktívny </w:t>
      </w:r>
      <w:r w:rsidRPr="0012488B">
        <w:rPr>
          <w:szCs w:val="22"/>
          <w:lang w:val="sk-SK"/>
        </w:rPr>
        <w:t xml:space="preserve">heptapeptid. Inhibícia ACE vedie k redukcii angiotenzínu II v plazme, čo vedie k zvýšenej aktivite plazmatického renínu (inhibíciou negatívnej spätnej väzby uvoľnenia renínu) a zníženej sekrécii aldosterónu. Keďže ACE inaktivuje bradykinín, inhibícia ACE vedie zároveň k zvýšenej aktivite obehového a lokálneho kalikreín-kinínového systému (a tým aj k aktivácii prostaglandínového systému). Je možné, že tento mechanizmus prispieva k účinku ACE inhibítorov na zníženie tlaku krvi a čiastočne je zodpovedný za ich niektoré </w:t>
      </w:r>
      <w:r w:rsidR="008A3D1C" w:rsidRPr="0012488B">
        <w:rPr>
          <w:szCs w:val="22"/>
          <w:lang w:val="sk-SK"/>
        </w:rPr>
        <w:t>nežiad</w:t>
      </w:r>
      <w:r w:rsidR="00E73893" w:rsidRPr="0012488B">
        <w:rPr>
          <w:szCs w:val="22"/>
          <w:lang w:val="sk-SK"/>
        </w:rPr>
        <w:t>u</w:t>
      </w:r>
      <w:r w:rsidR="008A3D1C" w:rsidRPr="0012488B">
        <w:rPr>
          <w:szCs w:val="22"/>
          <w:lang w:val="sk-SK"/>
        </w:rPr>
        <w:t xml:space="preserve">ce </w:t>
      </w:r>
      <w:r w:rsidRPr="0012488B">
        <w:rPr>
          <w:szCs w:val="22"/>
          <w:lang w:val="sk-SK"/>
        </w:rPr>
        <w:t>účinky (napr. kašeľ).</w:t>
      </w:r>
    </w:p>
    <w:p w14:paraId="2629C4B0" w14:textId="77777777" w:rsidR="00D52504" w:rsidRPr="0012488B" w:rsidRDefault="00D52504" w:rsidP="00D52504">
      <w:pPr>
        <w:spacing w:line="240" w:lineRule="auto"/>
        <w:rPr>
          <w:szCs w:val="22"/>
          <w:lang w:val="sk-SK"/>
        </w:rPr>
      </w:pPr>
    </w:p>
    <w:p w14:paraId="2B6B5D4B" w14:textId="77777777" w:rsidR="00D52504" w:rsidRPr="0012488B" w:rsidRDefault="00D52504" w:rsidP="00D52504">
      <w:pPr>
        <w:spacing w:line="240" w:lineRule="auto"/>
        <w:rPr>
          <w:szCs w:val="22"/>
          <w:lang w:val="sk-SK"/>
        </w:rPr>
      </w:pPr>
      <w:r w:rsidRPr="0012488B">
        <w:rPr>
          <w:szCs w:val="22"/>
          <w:lang w:val="sk-SK"/>
        </w:rPr>
        <w:t xml:space="preserve">Perindopril pôsobí prostredníctvom svojho aktívneho metabolitu, perindoprilátu. Ostatné metabolity nemajú </w:t>
      </w:r>
      <w:r w:rsidRPr="0012488B">
        <w:rPr>
          <w:i/>
          <w:szCs w:val="22"/>
          <w:lang w:val="sk-SK"/>
        </w:rPr>
        <w:t>in vitro</w:t>
      </w:r>
      <w:r w:rsidRPr="0012488B">
        <w:rPr>
          <w:szCs w:val="22"/>
          <w:lang w:val="sk-SK"/>
        </w:rPr>
        <w:t xml:space="preserve"> žiadnu ACE inhibičnú aktivitu.</w:t>
      </w:r>
    </w:p>
    <w:p w14:paraId="50E6D96A" w14:textId="77777777" w:rsidR="00D52504" w:rsidRPr="0012488B" w:rsidRDefault="00D52504" w:rsidP="00D52504">
      <w:pPr>
        <w:spacing w:line="240" w:lineRule="auto"/>
        <w:rPr>
          <w:szCs w:val="22"/>
          <w:u w:val="single"/>
          <w:lang w:val="sk-SK"/>
        </w:rPr>
      </w:pPr>
    </w:p>
    <w:p w14:paraId="432FA92D" w14:textId="77777777" w:rsidR="00D52504" w:rsidRPr="0012488B" w:rsidRDefault="00D52504" w:rsidP="00D52504">
      <w:pPr>
        <w:spacing w:line="240" w:lineRule="auto"/>
        <w:rPr>
          <w:szCs w:val="22"/>
          <w:u w:val="single"/>
          <w:lang w:val="sk-SK"/>
        </w:rPr>
      </w:pPr>
      <w:r w:rsidRPr="0012488B">
        <w:rPr>
          <w:szCs w:val="22"/>
          <w:u w:val="single"/>
          <w:lang w:val="sk-SK"/>
        </w:rPr>
        <w:t>Klinická účinnosť a bezpečnosť</w:t>
      </w:r>
    </w:p>
    <w:p w14:paraId="1679EBE2" w14:textId="77777777" w:rsidR="00D52504" w:rsidRPr="0012488B" w:rsidRDefault="00D52504" w:rsidP="00D52504">
      <w:pPr>
        <w:spacing w:line="240" w:lineRule="auto"/>
        <w:rPr>
          <w:szCs w:val="22"/>
          <w:u w:val="single"/>
          <w:lang w:val="sk-SK"/>
        </w:rPr>
      </w:pPr>
    </w:p>
    <w:p w14:paraId="5E5AE9FB" w14:textId="77777777" w:rsidR="00D52504" w:rsidRPr="0012488B" w:rsidRDefault="00D52504" w:rsidP="00D52504">
      <w:pPr>
        <w:spacing w:line="240" w:lineRule="auto"/>
        <w:rPr>
          <w:szCs w:val="22"/>
          <w:u w:val="single"/>
          <w:lang w:val="sk-SK"/>
        </w:rPr>
      </w:pPr>
      <w:r w:rsidRPr="0012488B">
        <w:rPr>
          <w:szCs w:val="22"/>
          <w:u w:val="single"/>
          <w:lang w:val="sk-SK"/>
        </w:rPr>
        <w:t>Hypertenzia</w:t>
      </w:r>
    </w:p>
    <w:p w14:paraId="60CF3AD1" w14:textId="77777777" w:rsidR="00D52504" w:rsidRPr="0012488B" w:rsidRDefault="00D52504" w:rsidP="00D52504">
      <w:pPr>
        <w:spacing w:line="240" w:lineRule="auto"/>
        <w:rPr>
          <w:szCs w:val="22"/>
          <w:lang w:val="sk-SK"/>
        </w:rPr>
      </w:pPr>
      <w:r w:rsidRPr="0012488B">
        <w:rPr>
          <w:szCs w:val="22"/>
          <w:lang w:val="sk-SK"/>
        </w:rPr>
        <w:t>Perindopril je účinný pri všetkých stupňoch hypertenzie: miernej, stredne závažnej, závažnej; spôsobuje zníženie systolického a diastolického tlaku krvi v polohe ležmo aj v stoji.</w:t>
      </w:r>
    </w:p>
    <w:p w14:paraId="09104EB4" w14:textId="77777777" w:rsidR="00D52504" w:rsidRPr="0012488B" w:rsidRDefault="00D52504" w:rsidP="00D52504">
      <w:pPr>
        <w:spacing w:line="240" w:lineRule="auto"/>
        <w:rPr>
          <w:szCs w:val="22"/>
          <w:lang w:val="sk-SK"/>
        </w:rPr>
      </w:pPr>
      <w:r w:rsidRPr="0012488B">
        <w:rPr>
          <w:szCs w:val="22"/>
          <w:lang w:val="sk-SK"/>
        </w:rPr>
        <w:t>Perindopril znižuje periférnu cievnu rezistenciu, čo vedie k zníženiu tlaku krvi. Dôsledkom toho sa zvyšuje periférny prietok krvi bez ovplyvnenia srdcovej frekvencie.</w:t>
      </w:r>
    </w:p>
    <w:p w14:paraId="51A7FCA6" w14:textId="7E8A3DEF" w:rsidR="00D52504" w:rsidRPr="0012488B" w:rsidRDefault="00D52504" w:rsidP="00D52504">
      <w:pPr>
        <w:spacing w:line="240" w:lineRule="auto"/>
        <w:rPr>
          <w:szCs w:val="22"/>
          <w:lang w:val="sk-SK"/>
        </w:rPr>
      </w:pPr>
      <w:r w:rsidRPr="0012488B">
        <w:rPr>
          <w:szCs w:val="22"/>
          <w:lang w:val="sk-SK"/>
        </w:rPr>
        <w:t xml:space="preserve">Spravidla sa zvyšuje prietok krvi obličkami, kým GFR sa zvyčajne nemení. </w:t>
      </w:r>
    </w:p>
    <w:p w14:paraId="34943B0E" w14:textId="77777777" w:rsidR="00D52504" w:rsidRPr="0012488B" w:rsidRDefault="00D52504" w:rsidP="00D52504">
      <w:pPr>
        <w:spacing w:line="240" w:lineRule="auto"/>
        <w:rPr>
          <w:szCs w:val="22"/>
          <w:lang w:val="sk-SK"/>
        </w:rPr>
      </w:pPr>
      <w:r w:rsidRPr="0012488B">
        <w:rPr>
          <w:szCs w:val="22"/>
          <w:lang w:val="sk-SK"/>
        </w:rPr>
        <w:t xml:space="preserve">Antihypertenzný účinok je maximálny medzi </w:t>
      </w:r>
      <w:smartTag w:uri="urn:schemas-microsoft-com:office:smarttags" w:element="metricconverter">
        <w:smartTagPr>
          <w:attr w:name="ProductID" w:val="4 a"/>
        </w:smartTagPr>
        <w:r w:rsidRPr="0012488B">
          <w:rPr>
            <w:szCs w:val="22"/>
            <w:lang w:val="sk-SK"/>
          </w:rPr>
          <w:t>4 a</w:t>
        </w:r>
      </w:smartTag>
      <w:r w:rsidRPr="0012488B">
        <w:rPr>
          <w:szCs w:val="22"/>
          <w:lang w:val="sk-SK"/>
        </w:rPr>
        <w:t xml:space="preserve"> 6 hodinou po podaní jednorazovej dávky a pretrváva najmenej 24 hodín: účinok v čase minimálnej účinnosti predstavuje približne 87–100% účinku v čase maximálnej účinnosti.</w:t>
      </w:r>
    </w:p>
    <w:p w14:paraId="35AA5E41" w14:textId="1876FAC7" w:rsidR="00D52504" w:rsidRPr="0012488B" w:rsidRDefault="00D52504" w:rsidP="00D52504">
      <w:pPr>
        <w:spacing w:line="240" w:lineRule="auto"/>
        <w:rPr>
          <w:szCs w:val="22"/>
          <w:lang w:val="sk-SK"/>
        </w:rPr>
      </w:pPr>
      <w:r w:rsidRPr="0012488B">
        <w:rPr>
          <w:szCs w:val="22"/>
          <w:lang w:val="sk-SK"/>
        </w:rPr>
        <w:t>K zníženiu tlaku krvi dochádza rýchlo. U</w:t>
      </w:r>
      <w:r w:rsidR="009667F6" w:rsidRPr="0012488B">
        <w:rPr>
          <w:szCs w:val="22"/>
          <w:lang w:val="sk-SK"/>
        </w:rPr>
        <w:t>respondérov</w:t>
      </w:r>
      <w:r w:rsidRPr="0012488B">
        <w:rPr>
          <w:szCs w:val="22"/>
          <w:lang w:val="sk-SK"/>
        </w:rPr>
        <w:t xml:space="preserve"> sa normalizácia tlaku dosiahne v priebehu jedného mesiaca a pretrváva bez výskytu tachyfylaxie.</w:t>
      </w:r>
    </w:p>
    <w:p w14:paraId="63EEB91B" w14:textId="77777777" w:rsidR="00D52504" w:rsidRPr="0012488B" w:rsidRDefault="00D52504" w:rsidP="00D52504">
      <w:pPr>
        <w:spacing w:line="240" w:lineRule="auto"/>
        <w:rPr>
          <w:szCs w:val="22"/>
          <w:lang w:val="sk-SK"/>
        </w:rPr>
      </w:pPr>
      <w:r w:rsidRPr="0012488B">
        <w:rPr>
          <w:szCs w:val="22"/>
          <w:lang w:val="sk-SK"/>
        </w:rPr>
        <w:t xml:space="preserve">Ukončenie liečby nevedie k </w:t>
      </w:r>
      <w:r w:rsidRPr="0012488B">
        <w:rPr>
          <w:iCs/>
          <w:szCs w:val="22"/>
          <w:lang w:val="sk-SK"/>
        </w:rPr>
        <w:t>rebound</w:t>
      </w:r>
      <w:r w:rsidRPr="0012488B">
        <w:rPr>
          <w:szCs w:val="22"/>
          <w:lang w:val="sk-SK"/>
        </w:rPr>
        <w:t xml:space="preserve"> efektu.</w:t>
      </w:r>
    </w:p>
    <w:p w14:paraId="58402450" w14:textId="77777777" w:rsidR="00D52504" w:rsidRPr="0012488B" w:rsidRDefault="00D52504" w:rsidP="00D52504">
      <w:pPr>
        <w:spacing w:line="240" w:lineRule="auto"/>
        <w:rPr>
          <w:szCs w:val="22"/>
          <w:lang w:val="sk-SK"/>
        </w:rPr>
      </w:pPr>
      <w:r w:rsidRPr="0012488B">
        <w:rPr>
          <w:szCs w:val="22"/>
          <w:lang w:val="sk-SK"/>
        </w:rPr>
        <w:t>Perindopril redukuje hypertrofiu ľavej komory.</w:t>
      </w:r>
    </w:p>
    <w:p w14:paraId="2FBDF34B" w14:textId="77777777" w:rsidR="00D52504" w:rsidRPr="0012488B" w:rsidRDefault="00D52504" w:rsidP="00D52504">
      <w:pPr>
        <w:spacing w:line="240" w:lineRule="auto"/>
        <w:rPr>
          <w:szCs w:val="22"/>
          <w:lang w:val="sk-SK"/>
        </w:rPr>
      </w:pPr>
      <w:r w:rsidRPr="0012488B">
        <w:rPr>
          <w:szCs w:val="22"/>
          <w:lang w:val="sk-SK"/>
        </w:rPr>
        <w:t>U ľudí boli potvrdené vazodilatačné vlastnosti perindoprilu. Perindopril zlepšuje elasticitu veľkých artérií a znižuje pomer média:lúmen malých artérií.</w:t>
      </w:r>
    </w:p>
    <w:p w14:paraId="252B631B" w14:textId="77777777" w:rsidR="00D52504" w:rsidRPr="0012488B" w:rsidRDefault="00D52504" w:rsidP="00D52504">
      <w:pPr>
        <w:pStyle w:val="EMEAEnBodyText"/>
        <w:tabs>
          <w:tab w:val="left" w:pos="567"/>
        </w:tabs>
        <w:spacing w:before="0" w:after="0"/>
        <w:jc w:val="left"/>
        <w:rPr>
          <w:szCs w:val="22"/>
          <w:lang w:val="sk-SK"/>
        </w:rPr>
      </w:pPr>
      <w:r w:rsidRPr="0012488B">
        <w:rPr>
          <w:szCs w:val="22"/>
          <w:lang w:val="sk-SK"/>
        </w:rPr>
        <w:lastRenderedPageBreak/>
        <w:t>Súbežná liečba tiazidovými diuretikami má aditívny synergický účinok. Kombinácia ACE inhibítora a tiazidu taktiež znižuje riziko hypokaliémie vyvolanej liečbou diuretikami.</w:t>
      </w:r>
    </w:p>
    <w:p w14:paraId="0C85DB01" w14:textId="77777777" w:rsidR="00D52504" w:rsidRPr="0012488B" w:rsidRDefault="00D52504" w:rsidP="00D52504">
      <w:pPr>
        <w:spacing w:line="240" w:lineRule="auto"/>
        <w:rPr>
          <w:szCs w:val="22"/>
          <w:u w:val="single"/>
          <w:lang w:val="sk-SK"/>
        </w:rPr>
      </w:pPr>
    </w:p>
    <w:p w14:paraId="062F60D3" w14:textId="77777777" w:rsidR="00D52504" w:rsidRPr="0012488B" w:rsidRDefault="00D52504" w:rsidP="00D52504">
      <w:pPr>
        <w:spacing w:line="240" w:lineRule="auto"/>
        <w:rPr>
          <w:rFonts w:eastAsia="Arial Unicode MS"/>
          <w:szCs w:val="22"/>
          <w:u w:val="single"/>
          <w:lang w:val="sk-SK"/>
        </w:rPr>
      </w:pPr>
      <w:r w:rsidRPr="0012488B">
        <w:rPr>
          <w:rFonts w:eastAsia="Arial Unicode MS"/>
          <w:szCs w:val="22"/>
          <w:u w:val="single"/>
          <w:lang w:val="sk-SK"/>
        </w:rPr>
        <w:t>Pacienti so stabilnou koronárnou chorobou srdca</w:t>
      </w:r>
    </w:p>
    <w:p w14:paraId="62A23F9D" w14:textId="77777777" w:rsidR="00D52504" w:rsidRPr="0012488B" w:rsidRDefault="00D52504" w:rsidP="00D52504">
      <w:pPr>
        <w:pStyle w:val="Zarkazkladnhotextu"/>
        <w:ind w:left="0"/>
        <w:jc w:val="left"/>
        <w:rPr>
          <w:lang w:val="sk-SK"/>
        </w:rPr>
      </w:pPr>
      <w:r w:rsidRPr="0012488B">
        <w:rPr>
          <w:lang w:val="sk-SK"/>
        </w:rPr>
        <w:t>Štúdia EUROPA bola multicentrická, medzinárodná, randomizovaná, dvojito zaslepená, placebom kontrolovaná klinická štúdia, ktorá trvala 4 roky.</w:t>
      </w:r>
    </w:p>
    <w:p w14:paraId="056F5663" w14:textId="50E557B3" w:rsidR="00D52504" w:rsidRPr="0012488B" w:rsidRDefault="00D52504" w:rsidP="00D52504">
      <w:pPr>
        <w:pStyle w:val="Zarkazkladnhotextu"/>
        <w:ind w:left="0"/>
        <w:jc w:val="left"/>
        <w:rPr>
          <w:lang w:val="sk-SK"/>
        </w:rPr>
      </w:pPr>
      <w:r w:rsidRPr="0012488B">
        <w:rPr>
          <w:lang w:val="sk-SK"/>
        </w:rPr>
        <w:t>12 218 pacientov vo veku nad 18 rokov bolo randomizovaných na 8 mg</w:t>
      </w:r>
      <w:r w:rsidR="00BA6BC8" w:rsidRPr="0012488B">
        <w:rPr>
          <w:lang w:val="sk-SK"/>
        </w:rPr>
        <w:t xml:space="preserve"> perindopril</w:t>
      </w:r>
      <w:r w:rsidRPr="0012488B">
        <w:rPr>
          <w:lang w:val="sk-SK"/>
        </w:rPr>
        <w:t xml:space="preserve"> </w:t>
      </w:r>
      <w:r w:rsidRPr="0012488B">
        <w:rPr>
          <w:i/>
          <w:lang w:val="sk-SK"/>
        </w:rPr>
        <w:t>terc</w:t>
      </w:r>
      <w:r w:rsidRPr="0012488B">
        <w:rPr>
          <w:lang w:val="sk-SK"/>
        </w:rPr>
        <w:t>-butylamín</w:t>
      </w:r>
      <w:r w:rsidR="00BA6BC8" w:rsidRPr="0012488B">
        <w:rPr>
          <w:lang w:val="sk-SK"/>
        </w:rPr>
        <w:t>u</w:t>
      </w:r>
      <w:r w:rsidRPr="0012488B">
        <w:rPr>
          <w:lang w:val="sk-SK"/>
        </w:rPr>
        <w:t xml:space="preserve"> (e</w:t>
      </w:r>
      <w:r w:rsidR="009A7D2C" w:rsidRPr="0012488B">
        <w:rPr>
          <w:lang w:val="sk-SK"/>
        </w:rPr>
        <w:t xml:space="preserve">kvivalentných </w:t>
      </w:r>
      <w:r w:rsidRPr="0012488B">
        <w:rPr>
          <w:lang w:val="sk-SK"/>
        </w:rPr>
        <w:t>10 mg perindopril</w:t>
      </w:r>
      <w:r w:rsidR="009A7D2C" w:rsidRPr="0012488B">
        <w:rPr>
          <w:lang w:val="sk-SK"/>
        </w:rPr>
        <w:t>u</w:t>
      </w:r>
      <w:r w:rsidRPr="0012488B">
        <w:rPr>
          <w:lang w:val="sk-SK"/>
        </w:rPr>
        <w:t xml:space="preserve"> arginínu) (n=6 110) alebo </w:t>
      </w:r>
      <w:r w:rsidR="00BA6BC8" w:rsidRPr="0012488B">
        <w:rPr>
          <w:lang w:val="sk-SK"/>
        </w:rPr>
        <w:t xml:space="preserve">na </w:t>
      </w:r>
      <w:r w:rsidRPr="0012488B">
        <w:rPr>
          <w:lang w:val="sk-SK"/>
        </w:rPr>
        <w:t xml:space="preserve">placebo (n=6 108). </w:t>
      </w:r>
    </w:p>
    <w:p w14:paraId="1B51BA1B" w14:textId="758005EA" w:rsidR="00D52504" w:rsidRPr="0012488B" w:rsidRDefault="00D52504" w:rsidP="00D52504">
      <w:pPr>
        <w:pStyle w:val="Zarkazkladnhotextu"/>
        <w:ind w:left="0"/>
        <w:jc w:val="left"/>
        <w:rPr>
          <w:lang w:val="sk-SK"/>
        </w:rPr>
      </w:pPr>
      <w:r w:rsidRPr="0012488B">
        <w:rPr>
          <w:lang w:val="sk-SK"/>
        </w:rPr>
        <w:t xml:space="preserve">Populácia v štúdii mala potvrdenú koronárnu chorobu srdca bez klinických známok srdcového zlyhania. Celkovo 90% pacientov prekonalo v minulosti infarkt myokardu a/alebo boli po koronárnej revaskularizácii. Väčšine pacientov bol skúšaný produkt pridaný k liečbe </w:t>
      </w:r>
      <w:r w:rsidR="00BA6BC8" w:rsidRPr="0012488B">
        <w:rPr>
          <w:lang w:val="sk-SK"/>
        </w:rPr>
        <w:t>prvej línie</w:t>
      </w:r>
      <w:r w:rsidR="005B4C59" w:rsidRPr="0012488B">
        <w:rPr>
          <w:lang w:val="sk-SK"/>
        </w:rPr>
        <w:t xml:space="preserve"> </w:t>
      </w:r>
      <w:r w:rsidRPr="0012488B">
        <w:rPr>
          <w:lang w:val="sk-SK"/>
        </w:rPr>
        <w:t>zahŕňajúcej antiagregačné látky, hypolipidemiká a beta-blokátory.</w:t>
      </w:r>
    </w:p>
    <w:p w14:paraId="295D62BF" w14:textId="1B7CF463" w:rsidR="00D52504" w:rsidRPr="0012488B" w:rsidRDefault="00D52504" w:rsidP="00D52504">
      <w:pPr>
        <w:pStyle w:val="Zarkazkladnhotextu"/>
        <w:ind w:left="0"/>
        <w:jc w:val="left"/>
        <w:rPr>
          <w:lang w:val="sk-SK"/>
        </w:rPr>
      </w:pPr>
      <w:r w:rsidRPr="0012488B">
        <w:rPr>
          <w:lang w:val="sk-SK"/>
        </w:rPr>
        <w:t xml:space="preserve">Hlavné hodnotiace kritérium účinnosti bol kompozit </w:t>
      </w:r>
      <w:r w:rsidRPr="0012488B">
        <w:rPr>
          <w:lang w:val="sk-SK" w:eastAsia="en-US"/>
        </w:rPr>
        <w:t xml:space="preserve">kardiovaskulárnej mortality, nefatálneho infarktu myokardu a/alebo zastavenia srdca s úspešnou resuscitáciou. Liečba 8 mg </w:t>
      </w:r>
      <w:r w:rsidR="0040169D" w:rsidRPr="0012488B">
        <w:rPr>
          <w:lang w:val="sk-SK" w:eastAsia="en-US"/>
        </w:rPr>
        <w:t xml:space="preserve">perindopril </w:t>
      </w:r>
      <w:r w:rsidRPr="0012488B">
        <w:rPr>
          <w:i/>
          <w:lang w:val="sk-SK" w:eastAsia="en-US"/>
        </w:rPr>
        <w:t>terc</w:t>
      </w:r>
      <w:r w:rsidRPr="0012488B">
        <w:rPr>
          <w:lang w:val="sk-SK" w:eastAsia="en-US"/>
        </w:rPr>
        <w:t>-butylamín</w:t>
      </w:r>
      <w:r w:rsidR="0040169D" w:rsidRPr="0012488B">
        <w:rPr>
          <w:lang w:val="sk-SK" w:eastAsia="en-US"/>
        </w:rPr>
        <w:t>u</w:t>
      </w:r>
      <w:r w:rsidRPr="0012488B">
        <w:rPr>
          <w:lang w:val="sk-SK" w:eastAsia="en-US"/>
        </w:rPr>
        <w:t xml:space="preserve">  (</w:t>
      </w:r>
      <w:r w:rsidR="009A7D2C" w:rsidRPr="0012488B">
        <w:rPr>
          <w:lang w:val="sk-SK"/>
        </w:rPr>
        <w:t xml:space="preserve">ekvivalentných </w:t>
      </w:r>
      <w:r w:rsidRPr="0012488B">
        <w:rPr>
          <w:lang w:val="sk-SK" w:eastAsia="en-US"/>
        </w:rPr>
        <w:t>10 </w:t>
      </w:r>
      <w:r w:rsidRPr="0012488B">
        <w:rPr>
          <w:lang w:val="sk-SK"/>
        </w:rPr>
        <w:t>mg perindopril</w:t>
      </w:r>
      <w:r w:rsidR="009A7D2C" w:rsidRPr="0012488B">
        <w:rPr>
          <w:lang w:val="sk-SK"/>
        </w:rPr>
        <w:t>u</w:t>
      </w:r>
      <w:r w:rsidRPr="0012488B">
        <w:rPr>
          <w:lang w:val="sk-SK"/>
        </w:rPr>
        <w:t xml:space="preserve"> arginínu) raz denne viedla k signifikantnému absolútnemu zníženiu primárneho cieľa o 1,9% (zníženie relatívneho rizika o 20%, 95% IS [9,4; 28,6] – p&lt;0,001).</w:t>
      </w:r>
    </w:p>
    <w:p w14:paraId="7EA1F10E" w14:textId="77777777" w:rsidR="00D52504" w:rsidRPr="0012488B" w:rsidRDefault="00D52504" w:rsidP="00D52504">
      <w:pPr>
        <w:pStyle w:val="Zarkazkladnhotextu"/>
        <w:ind w:left="0"/>
        <w:jc w:val="left"/>
        <w:rPr>
          <w:lang w:val="sk-SK"/>
        </w:rPr>
      </w:pPr>
      <w:r w:rsidRPr="0012488B">
        <w:rPr>
          <w:lang w:val="sk-SK"/>
        </w:rPr>
        <w:t>U pacientov s infarktom myokardu a/alebo revaskularizáciou v anamnéze bolo v porovnaní s placebom pozorované absolútne zníženie primárneho cieľa o 2,2%, zodpovedajúce zníženiu relatívneho rizika (RRR) o 22,4% (95% IS [12,0; 31,6] – p&lt;0,001).</w:t>
      </w:r>
    </w:p>
    <w:p w14:paraId="25A9A4B7" w14:textId="77777777" w:rsidR="00D52504" w:rsidRPr="0012488B" w:rsidRDefault="00D52504" w:rsidP="00D52504">
      <w:pPr>
        <w:pStyle w:val="Zarkazkladnhotextu"/>
        <w:ind w:left="0"/>
        <w:jc w:val="left"/>
        <w:rPr>
          <w:lang w:val="sk-SK"/>
        </w:rPr>
      </w:pPr>
    </w:p>
    <w:p w14:paraId="7820D96B" w14:textId="77777777" w:rsidR="00D52504" w:rsidRPr="0012488B" w:rsidRDefault="00D52504" w:rsidP="00D52504">
      <w:pPr>
        <w:pStyle w:val="Zarkazkladnhotextu"/>
        <w:ind w:left="0"/>
        <w:rPr>
          <w:u w:val="single"/>
          <w:lang w:val="sk-SK"/>
        </w:rPr>
      </w:pPr>
      <w:r w:rsidRPr="0012488B">
        <w:rPr>
          <w:u w:val="single"/>
          <w:lang w:val="sk-SK"/>
        </w:rPr>
        <w:t>Použitie v pediatrickej populácii</w:t>
      </w:r>
    </w:p>
    <w:p w14:paraId="1F41CF04" w14:textId="77777777" w:rsidR="00D52504" w:rsidRPr="0012488B" w:rsidRDefault="00D52504" w:rsidP="00D52504">
      <w:pPr>
        <w:pStyle w:val="Zarkazkladnhotextu"/>
        <w:ind w:left="0"/>
        <w:rPr>
          <w:lang w:val="sk-SK"/>
        </w:rPr>
      </w:pPr>
      <w:r w:rsidRPr="0012488B">
        <w:rPr>
          <w:lang w:val="sk-SK"/>
        </w:rPr>
        <w:t>Bezpečnosť a účinnosť perindoprilu u detí a dospievajúcich mladších ako 18 rokov nebola stanovená.</w:t>
      </w:r>
    </w:p>
    <w:p w14:paraId="3AAF8AB8" w14:textId="2C31CA41" w:rsidR="00D52504" w:rsidRPr="0012488B" w:rsidRDefault="00D52504" w:rsidP="00D52504">
      <w:pPr>
        <w:pStyle w:val="Zarkazkladnhotextu"/>
        <w:ind w:left="0"/>
        <w:rPr>
          <w:lang w:val="sk-SK"/>
        </w:rPr>
      </w:pPr>
      <w:r w:rsidRPr="0012488B">
        <w:rPr>
          <w:lang w:val="sk-SK"/>
        </w:rPr>
        <w:t>V otvorenej neporovnávacej klinickej štúdii u 62 detí s hypertenziou vo veku 2 až 15 rokov s rýchlosťou glomerulárnej filtrácie &gt; 30 ml/min/1,73 m</w:t>
      </w:r>
      <w:r w:rsidRPr="0012488B">
        <w:rPr>
          <w:vertAlign w:val="superscript"/>
          <w:lang w:val="sk-SK"/>
        </w:rPr>
        <w:t>2</w:t>
      </w:r>
      <w:r w:rsidRPr="0012488B">
        <w:rPr>
          <w:lang w:val="sk-SK"/>
        </w:rPr>
        <w:t xml:space="preserve">, dostávali pacienti perindopril </w:t>
      </w:r>
      <w:r w:rsidR="009F6D7E" w:rsidRPr="0012488B">
        <w:rPr>
          <w:lang w:val="sk-SK"/>
        </w:rPr>
        <w:t xml:space="preserve">v priemernej dávke </w:t>
      </w:r>
      <w:r w:rsidRPr="0012488B">
        <w:rPr>
          <w:lang w:val="sk-SK"/>
        </w:rPr>
        <w:t>0,07 mg/kg. Dávka bola individualizovaná podľa profilu pacienta a odpovede krvného tlaku až do maximálnej dávky 0,135 mg/kg/deň.</w:t>
      </w:r>
    </w:p>
    <w:p w14:paraId="7B698C82" w14:textId="77777777" w:rsidR="00D52504" w:rsidRPr="0012488B" w:rsidRDefault="00D52504" w:rsidP="00D52504">
      <w:pPr>
        <w:pStyle w:val="Zarkazkladnhotextu"/>
        <w:ind w:left="0"/>
        <w:rPr>
          <w:lang w:val="sk-SK"/>
        </w:rPr>
      </w:pPr>
      <w:r w:rsidRPr="0012488B">
        <w:rPr>
          <w:lang w:val="sk-SK"/>
        </w:rPr>
        <w:t>59 pacientov dokončilo obdobie troch mesiacov a 36 pacientov dokončilo predĺžené obdobie štúdie, t.j. boli sledovaní najmenej 24 mesiacov (priemerné trvanie štúdie: 44 mesiacov).</w:t>
      </w:r>
    </w:p>
    <w:p w14:paraId="1B404500" w14:textId="77777777" w:rsidR="00D52504" w:rsidRPr="0012488B" w:rsidRDefault="00D52504" w:rsidP="00D52504">
      <w:pPr>
        <w:pStyle w:val="Zarkazkladnhotextu"/>
        <w:ind w:left="0"/>
        <w:rPr>
          <w:lang w:val="sk-SK"/>
        </w:rPr>
      </w:pPr>
      <w:r w:rsidRPr="0012488B">
        <w:rPr>
          <w:lang w:val="sk-SK"/>
        </w:rPr>
        <w:t>Systolický a diastolický krvný tlak zostal stabilný od zaradenia do štúdie až po posledné hodnotenie u pacientov, ktorí boli už liečení inými antihypertenzívami, a znížil sa u pacientov bez skúsenosti s liečbou.</w:t>
      </w:r>
    </w:p>
    <w:p w14:paraId="0BA3C886" w14:textId="77777777" w:rsidR="00D52504" w:rsidRPr="0012488B" w:rsidRDefault="00D52504" w:rsidP="00D52504">
      <w:pPr>
        <w:pStyle w:val="Zarkazkladnhotextu"/>
        <w:ind w:left="0"/>
        <w:rPr>
          <w:lang w:val="sk-SK"/>
        </w:rPr>
      </w:pPr>
      <w:r w:rsidRPr="0012488B">
        <w:rPr>
          <w:lang w:val="sk-SK"/>
        </w:rPr>
        <w:t>Viac ako 75 % detí malo pri poslednom hodnotení systolický a diastolický krvný tlak pod 95. percentilom.</w:t>
      </w:r>
    </w:p>
    <w:p w14:paraId="25508703" w14:textId="77777777" w:rsidR="00D52504" w:rsidRPr="0012488B" w:rsidRDefault="00D52504" w:rsidP="00D52504">
      <w:pPr>
        <w:pStyle w:val="Zarkazkladnhotextu"/>
        <w:ind w:left="0"/>
        <w:jc w:val="left"/>
        <w:rPr>
          <w:lang w:val="sk-SK"/>
        </w:rPr>
      </w:pPr>
      <w:r w:rsidRPr="0012488B">
        <w:rPr>
          <w:lang w:val="sk-SK"/>
        </w:rPr>
        <w:t>Bezpečnosť bola zhodná so známym bezpečnostným profilom perindoprilu.</w:t>
      </w:r>
    </w:p>
    <w:p w14:paraId="1D5838C3" w14:textId="77777777" w:rsidR="00D52504" w:rsidRPr="0012488B" w:rsidRDefault="00D52504" w:rsidP="00D52504">
      <w:pPr>
        <w:pStyle w:val="Zarkazkladnhotextu"/>
        <w:ind w:left="0"/>
        <w:jc w:val="left"/>
        <w:rPr>
          <w:lang w:val="sk-SK"/>
        </w:rPr>
      </w:pPr>
    </w:p>
    <w:p w14:paraId="5C864CEE" w14:textId="77777777" w:rsidR="00D52504" w:rsidRPr="0012488B" w:rsidRDefault="00D52504" w:rsidP="00D52504">
      <w:pPr>
        <w:tabs>
          <w:tab w:val="clear" w:pos="567"/>
        </w:tabs>
        <w:autoSpaceDE w:val="0"/>
        <w:autoSpaceDN w:val="0"/>
        <w:adjustRightInd w:val="0"/>
        <w:spacing w:line="240" w:lineRule="auto"/>
        <w:rPr>
          <w:bCs/>
          <w:szCs w:val="22"/>
          <w:u w:val="single"/>
          <w:lang w:val="sk-SK"/>
        </w:rPr>
      </w:pPr>
      <w:r w:rsidRPr="0012488B">
        <w:rPr>
          <w:szCs w:val="22"/>
          <w:u w:val="single"/>
          <w:lang w:val="sk-SK" w:eastAsia="en-GB"/>
        </w:rPr>
        <w:t xml:space="preserve">Údaje z klinických skúšaní duálnej inhibície systému </w:t>
      </w:r>
      <w:r w:rsidRPr="0012488B">
        <w:rPr>
          <w:bCs/>
          <w:szCs w:val="22"/>
          <w:u w:val="single"/>
          <w:lang w:val="sk-SK"/>
        </w:rPr>
        <w:t>renín-angiotenzín-aldosterón (RAAS)</w:t>
      </w:r>
    </w:p>
    <w:p w14:paraId="27423A3A" w14:textId="77777777" w:rsidR="00D52504" w:rsidRPr="0012488B" w:rsidRDefault="00D52504" w:rsidP="00D52504">
      <w:pPr>
        <w:pStyle w:val="Bezriadkovania"/>
        <w:rPr>
          <w:sz w:val="22"/>
          <w:szCs w:val="22"/>
        </w:rPr>
      </w:pPr>
      <w:r w:rsidRPr="0012488B">
        <w:rPr>
          <w:sz w:val="22"/>
          <w:szCs w:val="22"/>
        </w:rPr>
        <w:t>Dve rozsiahle randomizované, kontrolované klinické skúšania (ONTARGET (ONgoing Telmisartan Alone and in combination with Ramipril Global Endpoint Trial) a VA NEPHRON-D (The Veterans Affairs Nephropathy in Diabetes)) skúmali použitie kombinácie ACE inhibítora a blokátora receptorov angiotenzínu II.</w:t>
      </w:r>
    </w:p>
    <w:p w14:paraId="32C08EE6" w14:textId="77777777" w:rsidR="00D52504" w:rsidRPr="0012488B" w:rsidRDefault="00D52504" w:rsidP="00D52504">
      <w:pPr>
        <w:pStyle w:val="Bezriadkovania"/>
        <w:rPr>
          <w:sz w:val="22"/>
          <w:szCs w:val="22"/>
        </w:rPr>
      </w:pPr>
      <w:r w:rsidRPr="0012488B">
        <w:rPr>
          <w:sz w:val="22"/>
          <w:szCs w:val="22"/>
        </w:rPr>
        <w:t>Skúšanie ONTARGET sa vykonalo u pacientov s kardiovaskulárnym alebo cerebrovaskulárnym ochorením v anamnéze, alebo u pacientov s diabetom mellitus 2. typu, u ktorých sa preukázalo poškodenie cieľových orgánov. Skúšanie VA NEPHRON-D sa vykonalo u pacientov s diabetom mellitus 2. typu a diabetickou nefropatiou.</w:t>
      </w:r>
    </w:p>
    <w:p w14:paraId="2036E081" w14:textId="77777777" w:rsidR="00D52504" w:rsidRPr="0012488B" w:rsidRDefault="00D52504" w:rsidP="00D52504">
      <w:pPr>
        <w:pStyle w:val="Bezriadkovania"/>
        <w:rPr>
          <w:sz w:val="22"/>
          <w:szCs w:val="22"/>
        </w:rPr>
      </w:pPr>
      <w:r w:rsidRPr="0012488B">
        <w:rPr>
          <w:sz w:val="22"/>
          <w:szCs w:val="22"/>
        </w:rPr>
        <w:t>Tieto skúšania nepreukázali významný priaznivý účinok na renálne a/alebo kardiovaskulárne ukazovatele a mortalitu, zatiaľ čo v porovnaní s monoterapiou sa pozorovalo zvýšené riziko hyperkaliémie, akútneho poškodenia obličiek a/alebo hypotenzie. Vzhľadom na podobné farmakodynamické vlastnosti sú tieto výsledky relevantné aj pre ostatné ACE inhibítory a blokátory receptorov angiotenzínu II.</w:t>
      </w:r>
    </w:p>
    <w:p w14:paraId="744F6B42" w14:textId="77777777" w:rsidR="00D52504" w:rsidRPr="0012488B" w:rsidRDefault="00D52504" w:rsidP="00D52504">
      <w:pPr>
        <w:pStyle w:val="Bezriadkovania"/>
        <w:rPr>
          <w:sz w:val="22"/>
          <w:szCs w:val="22"/>
        </w:rPr>
      </w:pPr>
      <w:r w:rsidRPr="0012488B">
        <w:rPr>
          <w:sz w:val="22"/>
          <w:szCs w:val="22"/>
        </w:rPr>
        <w:t>ACE inhibítory a blokátory receptorov angiotenzínu II sa preto nemajú používať súbežne u pacientov s diabetickou nefropatiou.</w:t>
      </w:r>
    </w:p>
    <w:p w14:paraId="25D2BE3C" w14:textId="53F794F4" w:rsidR="00D52504" w:rsidRPr="0012488B" w:rsidRDefault="00D52504" w:rsidP="00D52504">
      <w:pPr>
        <w:keepNext/>
        <w:keepLines/>
        <w:rPr>
          <w:szCs w:val="22"/>
          <w:lang w:val="sk-SK"/>
        </w:rPr>
      </w:pPr>
      <w:r w:rsidRPr="0012488B">
        <w:rPr>
          <w:szCs w:val="22"/>
          <w:lang w:val="sk-SK"/>
        </w:rPr>
        <w:lastRenderedPageBreak/>
        <w:t>Skúšanie ALTITUDE (Aliskir</w:t>
      </w:r>
      <w:r w:rsidR="00E73893" w:rsidRPr="0012488B">
        <w:rPr>
          <w:szCs w:val="22"/>
          <w:lang w:val="sk-SK"/>
        </w:rPr>
        <w:t>e</w:t>
      </w:r>
      <w:r w:rsidRPr="0012488B">
        <w:rPr>
          <w:szCs w:val="22"/>
          <w:lang w:val="sk-SK"/>
        </w:rPr>
        <w:t>n Trial in Type 2 Diabetes Using Cardiovascular and Renal Disease Endpoints) bolo navrhnuté na otestovanie prínosu pridania aliskir</w:t>
      </w:r>
      <w:r w:rsidR="00D77292" w:rsidRPr="0012488B">
        <w:rPr>
          <w:szCs w:val="22"/>
          <w:lang w:val="sk-SK"/>
        </w:rPr>
        <w:t>é</w:t>
      </w:r>
      <w:r w:rsidRPr="0012488B">
        <w:rPr>
          <w:szCs w:val="22"/>
          <w:lang w:val="sk-SK"/>
        </w:rPr>
        <w:t>nu k štandardnej liečbe ACE inhibítorom  alebo blokátorom receptorov angiotenzínu II u pacientov s diabetom mellitus 2. typu a chronickým ochorením obličiek, kardiovaskulárnym ochorením, alebo oboma ochoreniami. Skúšanie bolo predčasne ukončené pre zvýšené riziko nežiaducich udalostí. V skupine aliskir</w:t>
      </w:r>
      <w:r w:rsidR="00D77292" w:rsidRPr="0012488B">
        <w:rPr>
          <w:szCs w:val="22"/>
          <w:lang w:val="sk-SK"/>
        </w:rPr>
        <w:t>é</w:t>
      </w:r>
      <w:r w:rsidRPr="0012488B">
        <w:rPr>
          <w:szCs w:val="22"/>
          <w:lang w:val="sk-SK"/>
        </w:rPr>
        <w:t>nu bolo numericky viac úmrtí z kardiovaskulárnej príčiny a cievnych mozgových príhod ako v skupine placeba a v skupine aliskir</w:t>
      </w:r>
      <w:r w:rsidR="00D77292" w:rsidRPr="0012488B">
        <w:rPr>
          <w:szCs w:val="22"/>
          <w:lang w:val="sk-SK"/>
        </w:rPr>
        <w:t>é</w:t>
      </w:r>
      <w:r w:rsidRPr="0012488B">
        <w:rPr>
          <w:szCs w:val="22"/>
          <w:lang w:val="sk-SK"/>
        </w:rPr>
        <w:t>nu boli častejšie hlásené sledované nežiaduce udalosti a závažné nežiaduce udalosti (hyperkaliémia, hypotenzia a renálna dysfunkcia) ako v skupine placeba.</w:t>
      </w:r>
    </w:p>
    <w:p w14:paraId="20D8D5FF" w14:textId="77777777" w:rsidR="00D52504" w:rsidRPr="0012488B" w:rsidRDefault="00D52504" w:rsidP="00D52504">
      <w:pPr>
        <w:keepNext/>
        <w:keepLines/>
        <w:spacing w:line="240" w:lineRule="auto"/>
        <w:rPr>
          <w:b/>
          <w:szCs w:val="22"/>
          <w:lang w:val="sk-SK"/>
        </w:rPr>
      </w:pPr>
    </w:p>
    <w:p w14:paraId="39965514" w14:textId="77777777" w:rsidR="00D52504" w:rsidRPr="0012488B" w:rsidRDefault="00D52504" w:rsidP="00D52504">
      <w:pPr>
        <w:keepNext/>
        <w:keepLines/>
        <w:spacing w:line="240" w:lineRule="auto"/>
        <w:rPr>
          <w:b/>
          <w:szCs w:val="22"/>
          <w:lang w:val="sk-SK"/>
        </w:rPr>
      </w:pPr>
      <w:r w:rsidRPr="0012488B">
        <w:rPr>
          <w:b/>
          <w:szCs w:val="22"/>
          <w:lang w:val="sk-SK"/>
        </w:rPr>
        <w:t>5.2</w:t>
      </w:r>
      <w:r w:rsidRPr="0012488B">
        <w:rPr>
          <w:b/>
          <w:szCs w:val="22"/>
          <w:lang w:val="sk-SK"/>
        </w:rPr>
        <w:tab/>
        <w:t>Farmakokinetické vlastnosti</w:t>
      </w:r>
    </w:p>
    <w:p w14:paraId="574AB801" w14:textId="77777777" w:rsidR="00D52504" w:rsidRPr="0012488B" w:rsidRDefault="00D52504" w:rsidP="00D52504">
      <w:pPr>
        <w:spacing w:line="240" w:lineRule="auto"/>
        <w:rPr>
          <w:szCs w:val="22"/>
          <w:lang w:val="sk-SK"/>
        </w:rPr>
      </w:pPr>
    </w:p>
    <w:p w14:paraId="6881F319" w14:textId="77777777" w:rsidR="00D52504" w:rsidRPr="0012488B" w:rsidRDefault="00D52504" w:rsidP="00D52504">
      <w:pPr>
        <w:spacing w:line="240" w:lineRule="auto"/>
        <w:rPr>
          <w:szCs w:val="22"/>
          <w:lang w:val="sk-SK"/>
        </w:rPr>
      </w:pPr>
      <w:r w:rsidRPr="0012488B">
        <w:rPr>
          <w:szCs w:val="22"/>
          <w:u w:val="single"/>
          <w:lang w:val="sk-SK"/>
        </w:rPr>
        <w:t>Absorpcia</w:t>
      </w:r>
    </w:p>
    <w:p w14:paraId="5C580622" w14:textId="77777777" w:rsidR="00D52504" w:rsidRPr="0012488B" w:rsidRDefault="00D52504" w:rsidP="00D52504">
      <w:pPr>
        <w:spacing w:line="240" w:lineRule="auto"/>
        <w:rPr>
          <w:szCs w:val="22"/>
          <w:lang w:val="sk-SK"/>
        </w:rPr>
      </w:pPr>
      <w:r w:rsidRPr="0012488B">
        <w:rPr>
          <w:szCs w:val="22"/>
          <w:lang w:val="sk-SK"/>
        </w:rPr>
        <w:t>Po perorálnom podaní je absorpcia perindoprilu rýchla a maximálna koncentrácia sa dosiahne v priebehu 1 hodiny. Plazmatický polčas perindoprilu je 1 hodina.</w:t>
      </w:r>
    </w:p>
    <w:p w14:paraId="37F03073" w14:textId="73C0C9FE" w:rsidR="00D52504" w:rsidRPr="0012488B" w:rsidRDefault="00D52504" w:rsidP="00D52504">
      <w:pPr>
        <w:spacing w:line="240" w:lineRule="auto"/>
        <w:rPr>
          <w:szCs w:val="22"/>
          <w:lang w:val="sk-SK"/>
        </w:rPr>
      </w:pPr>
      <w:r w:rsidRPr="0012488B">
        <w:rPr>
          <w:szCs w:val="22"/>
          <w:lang w:val="sk-SK"/>
        </w:rPr>
        <w:t xml:space="preserve">Perindopril je </w:t>
      </w:r>
      <w:r w:rsidR="009641F5" w:rsidRPr="0012488B">
        <w:rPr>
          <w:szCs w:val="22"/>
          <w:lang w:val="sk-SK"/>
        </w:rPr>
        <w:t>pro-drug forma</w:t>
      </w:r>
      <w:r w:rsidRPr="0012488B">
        <w:rPr>
          <w:szCs w:val="22"/>
          <w:lang w:val="sk-SK"/>
        </w:rPr>
        <w:t xml:space="preserve">. </w:t>
      </w:r>
      <w:r w:rsidR="009641F5" w:rsidRPr="0012488B">
        <w:rPr>
          <w:szCs w:val="22"/>
          <w:lang w:val="sk-SK"/>
        </w:rPr>
        <w:t>27%</w:t>
      </w:r>
      <w:r w:rsidRPr="0012488B">
        <w:rPr>
          <w:szCs w:val="22"/>
          <w:lang w:val="sk-SK"/>
        </w:rPr>
        <w:t xml:space="preserve"> podanej dávky perindoprilu sa dostane do krvného obehu ako aktívny metabolit perindoprilát. Okrem aktívneho perindoprilátu poskytuje perindopril ďalších päť metabolitov, ktoré sú všetky neaktívne. Maximálna plazmatická koncentrácia perindoprilátu sa dosiahne v priebehu 3 až 4 hodín.</w:t>
      </w:r>
    </w:p>
    <w:p w14:paraId="147F8D69" w14:textId="77777777" w:rsidR="00D52504" w:rsidRPr="0012488B" w:rsidRDefault="00D52504" w:rsidP="00D52504">
      <w:pPr>
        <w:spacing w:line="240" w:lineRule="auto"/>
        <w:rPr>
          <w:szCs w:val="22"/>
          <w:lang w:val="sk-SK"/>
        </w:rPr>
      </w:pPr>
      <w:r w:rsidRPr="0012488B">
        <w:rPr>
          <w:szCs w:val="22"/>
          <w:lang w:val="sk-SK"/>
        </w:rPr>
        <w:t>Keďže požitie jedla znižuje premenu na perindoprilát, a tým aj biodostupnosť, p</w:t>
      </w:r>
      <w:r w:rsidRPr="0012488B">
        <w:rPr>
          <w:szCs w:val="22"/>
          <w:lang w:val="sk-SK" w:eastAsia="sk-SK"/>
        </w:rPr>
        <w:t>erindopril arginín</w:t>
      </w:r>
      <w:r w:rsidRPr="0012488B">
        <w:rPr>
          <w:szCs w:val="22"/>
          <w:lang w:val="sk-SK"/>
        </w:rPr>
        <w:t xml:space="preserve"> sa má podávať perorálne v jednorazovej dennej dávke ráno pred jedlom.</w:t>
      </w:r>
    </w:p>
    <w:p w14:paraId="7C60C29E" w14:textId="77777777" w:rsidR="00D52504" w:rsidRPr="0012488B" w:rsidRDefault="00D52504" w:rsidP="00D52504">
      <w:pPr>
        <w:spacing w:line="240" w:lineRule="auto"/>
        <w:rPr>
          <w:szCs w:val="22"/>
          <w:lang w:val="sk-SK"/>
        </w:rPr>
      </w:pPr>
      <w:r w:rsidRPr="0012488B">
        <w:rPr>
          <w:szCs w:val="22"/>
          <w:lang w:val="sk-SK"/>
        </w:rPr>
        <w:t>Bol dokázaný lineárny vzťah medzi dávkou perindoprilu a jeho expozíciou v plazme.</w:t>
      </w:r>
    </w:p>
    <w:p w14:paraId="2717208F" w14:textId="77777777" w:rsidR="00D52504" w:rsidRPr="0012488B" w:rsidRDefault="00D52504" w:rsidP="00D52504">
      <w:pPr>
        <w:spacing w:line="240" w:lineRule="auto"/>
        <w:rPr>
          <w:szCs w:val="22"/>
          <w:u w:val="single"/>
          <w:lang w:val="sk-SK"/>
        </w:rPr>
      </w:pPr>
    </w:p>
    <w:p w14:paraId="3D48DCD9" w14:textId="77777777" w:rsidR="00D52504" w:rsidRPr="0012488B" w:rsidRDefault="00D52504" w:rsidP="00D52504">
      <w:pPr>
        <w:spacing w:line="240" w:lineRule="auto"/>
        <w:rPr>
          <w:bCs/>
          <w:iCs/>
          <w:szCs w:val="22"/>
          <w:lang w:val="sk-SK"/>
        </w:rPr>
      </w:pPr>
      <w:r w:rsidRPr="0012488B">
        <w:rPr>
          <w:szCs w:val="22"/>
          <w:u w:val="single"/>
          <w:lang w:val="sk-SK"/>
        </w:rPr>
        <w:t>Distribúcia</w:t>
      </w:r>
    </w:p>
    <w:p w14:paraId="2F4D54F0" w14:textId="77777777" w:rsidR="00D52504" w:rsidRPr="0012488B" w:rsidRDefault="00D52504" w:rsidP="00D52504">
      <w:pPr>
        <w:spacing w:line="240" w:lineRule="auto"/>
        <w:rPr>
          <w:bCs/>
          <w:iCs/>
          <w:szCs w:val="22"/>
          <w:lang w:val="sk-SK"/>
        </w:rPr>
      </w:pPr>
      <w:r w:rsidRPr="0012488B">
        <w:rPr>
          <w:bCs/>
          <w:iCs/>
          <w:szCs w:val="22"/>
          <w:lang w:val="sk-SK"/>
        </w:rPr>
        <w:t>Distribučný objem neviazaného perindoprilátu je približne 0,2 l/kg. Väzba perindoprilátu na plazmatické bielkoviny je 20 %, prevažne na angiotenzín-konvertujúci enzým, ale je závislá od koncentrácie.</w:t>
      </w:r>
    </w:p>
    <w:p w14:paraId="44C04870" w14:textId="77777777" w:rsidR="00D52504" w:rsidRPr="0012488B" w:rsidRDefault="00D52504" w:rsidP="00D52504">
      <w:pPr>
        <w:spacing w:line="240" w:lineRule="auto"/>
        <w:rPr>
          <w:szCs w:val="22"/>
          <w:u w:val="single"/>
          <w:lang w:val="sk-SK"/>
        </w:rPr>
      </w:pPr>
    </w:p>
    <w:p w14:paraId="1FA7D4F2" w14:textId="77777777" w:rsidR="00D52504" w:rsidRPr="0012488B" w:rsidRDefault="00D52504" w:rsidP="00D52504">
      <w:pPr>
        <w:spacing w:line="240" w:lineRule="auto"/>
        <w:rPr>
          <w:szCs w:val="22"/>
          <w:lang w:val="sk-SK"/>
        </w:rPr>
      </w:pPr>
      <w:r w:rsidRPr="0012488B">
        <w:rPr>
          <w:szCs w:val="22"/>
          <w:u w:val="single"/>
          <w:lang w:val="sk-SK"/>
        </w:rPr>
        <w:t>Eliminácia</w:t>
      </w:r>
    </w:p>
    <w:p w14:paraId="04A0FCBE" w14:textId="77777777" w:rsidR="00D52504" w:rsidRPr="0012488B" w:rsidRDefault="00D52504" w:rsidP="00D52504">
      <w:pPr>
        <w:spacing w:line="240" w:lineRule="auto"/>
        <w:rPr>
          <w:szCs w:val="22"/>
          <w:lang w:val="sk-SK"/>
        </w:rPr>
      </w:pPr>
      <w:r w:rsidRPr="0012488B">
        <w:rPr>
          <w:szCs w:val="22"/>
          <w:lang w:val="sk-SK"/>
        </w:rPr>
        <w:t>Perindoprilát sa eliminuje močom a konečný polčas neviazanej frakcie je približne 17 hodín, takže rovnovážny stav sa dosiahne v priebehu 4 dní.</w:t>
      </w:r>
    </w:p>
    <w:p w14:paraId="2F0CBAAC" w14:textId="77777777" w:rsidR="00D52504" w:rsidRPr="0012488B" w:rsidRDefault="00D52504" w:rsidP="00D52504">
      <w:pPr>
        <w:spacing w:line="240" w:lineRule="auto"/>
        <w:rPr>
          <w:szCs w:val="22"/>
          <w:u w:val="single"/>
          <w:lang w:val="sk-SK"/>
        </w:rPr>
      </w:pPr>
    </w:p>
    <w:p w14:paraId="1662346D" w14:textId="77777777" w:rsidR="00D52504" w:rsidRPr="0012488B" w:rsidRDefault="00D52504" w:rsidP="00D52504">
      <w:pPr>
        <w:spacing w:line="240" w:lineRule="auto"/>
        <w:rPr>
          <w:szCs w:val="22"/>
          <w:lang w:val="sk-SK"/>
        </w:rPr>
      </w:pPr>
      <w:r w:rsidRPr="0012488B">
        <w:rPr>
          <w:szCs w:val="22"/>
          <w:u w:val="single"/>
          <w:lang w:val="sk-SK"/>
        </w:rPr>
        <w:t>Osobitné skupiny pacientov</w:t>
      </w:r>
    </w:p>
    <w:p w14:paraId="5081E834" w14:textId="77777777" w:rsidR="00D52504" w:rsidRPr="0012488B" w:rsidRDefault="00D52504" w:rsidP="00D52504">
      <w:pPr>
        <w:spacing w:line="240" w:lineRule="auto"/>
        <w:rPr>
          <w:szCs w:val="22"/>
          <w:lang w:val="sk-SK"/>
        </w:rPr>
      </w:pPr>
      <w:r w:rsidRPr="0012488B">
        <w:rPr>
          <w:szCs w:val="22"/>
          <w:lang w:val="sk-SK"/>
        </w:rPr>
        <w:t>Vylučovanie perindoprilátu je znížené u starších osôb, a tiež u pacientov so srdcovým alebo renálnym zlyhaním. Úprava dávkovania pri renálnej insuficiencii sa vyžaduje v závislosti od stupňa poškodenia (klírensu kreatinínu).</w:t>
      </w:r>
    </w:p>
    <w:p w14:paraId="22B5EBFC" w14:textId="77777777" w:rsidR="00D52504" w:rsidRPr="0012488B" w:rsidRDefault="00D52504" w:rsidP="00D52504">
      <w:pPr>
        <w:spacing w:line="240" w:lineRule="auto"/>
        <w:rPr>
          <w:szCs w:val="22"/>
          <w:lang w:val="sk-SK"/>
        </w:rPr>
      </w:pPr>
      <w:r w:rsidRPr="0012488B">
        <w:rPr>
          <w:szCs w:val="22"/>
          <w:lang w:val="sk-SK"/>
        </w:rPr>
        <w:t>Dialyzačný klírens perindoprilátu je 70 ml/min.</w:t>
      </w:r>
    </w:p>
    <w:p w14:paraId="382AD4E6" w14:textId="77777777" w:rsidR="00D52504" w:rsidRPr="0012488B" w:rsidRDefault="00D52504" w:rsidP="00D52504">
      <w:pPr>
        <w:spacing w:line="240" w:lineRule="auto"/>
        <w:rPr>
          <w:szCs w:val="22"/>
          <w:lang w:val="sk-SK"/>
        </w:rPr>
      </w:pPr>
      <w:r w:rsidRPr="0012488B">
        <w:rPr>
          <w:szCs w:val="22"/>
          <w:lang w:val="sk-SK"/>
        </w:rPr>
        <w:t>Kinetika perindoprilu je modifikovaná u pacientov s cirhózou: hepatálny klírens pôvodnej molekuly je znížený o polovicu. Množstvo vytvoreného perindoprilátu však nie je znížené, a preto nie je nutná úprava dávkovania (pozri časti 4.2 a 4.4).</w:t>
      </w:r>
    </w:p>
    <w:p w14:paraId="5E3657CA" w14:textId="77777777" w:rsidR="00D52504" w:rsidRPr="0012488B" w:rsidRDefault="00D52504" w:rsidP="00D52504">
      <w:pPr>
        <w:spacing w:line="240" w:lineRule="auto"/>
        <w:rPr>
          <w:bCs/>
          <w:iCs/>
          <w:szCs w:val="22"/>
          <w:lang w:val="sk-SK"/>
        </w:rPr>
      </w:pPr>
    </w:p>
    <w:p w14:paraId="65D2D139" w14:textId="77777777" w:rsidR="00D52504" w:rsidRPr="0012488B" w:rsidRDefault="00D52504" w:rsidP="00D52504">
      <w:pPr>
        <w:keepNext/>
        <w:spacing w:line="240" w:lineRule="auto"/>
        <w:rPr>
          <w:b/>
          <w:szCs w:val="22"/>
          <w:lang w:val="sk-SK"/>
        </w:rPr>
      </w:pPr>
      <w:r w:rsidRPr="0012488B">
        <w:rPr>
          <w:b/>
          <w:szCs w:val="22"/>
          <w:lang w:val="sk-SK"/>
        </w:rPr>
        <w:t>5.3</w:t>
      </w:r>
      <w:r w:rsidRPr="0012488B">
        <w:rPr>
          <w:b/>
          <w:szCs w:val="22"/>
          <w:lang w:val="sk-SK"/>
        </w:rPr>
        <w:tab/>
        <w:t>Predklinické údaje o bezpečnosti</w:t>
      </w:r>
    </w:p>
    <w:p w14:paraId="63B166AD" w14:textId="77777777" w:rsidR="00D52504" w:rsidRPr="0012488B" w:rsidRDefault="00D52504" w:rsidP="00D52504">
      <w:pPr>
        <w:spacing w:line="240" w:lineRule="auto"/>
        <w:rPr>
          <w:bCs/>
          <w:iCs/>
          <w:szCs w:val="22"/>
          <w:lang w:val="sk-SK"/>
        </w:rPr>
      </w:pPr>
    </w:p>
    <w:p w14:paraId="27BCD510" w14:textId="77777777" w:rsidR="00D52504" w:rsidRPr="0012488B" w:rsidRDefault="00D52504" w:rsidP="00D52504">
      <w:pPr>
        <w:spacing w:line="240" w:lineRule="auto"/>
        <w:rPr>
          <w:bCs/>
          <w:iCs/>
          <w:szCs w:val="22"/>
          <w:lang w:val="sk-SK"/>
        </w:rPr>
      </w:pPr>
      <w:r w:rsidRPr="0012488B">
        <w:rPr>
          <w:szCs w:val="22"/>
          <w:lang w:val="sk-SK"/>
        </w:rPr>
        <w:t>V štúdiách chronickej perorálnej toxicity (na potkanoch a opiciach) sú cieľovým orgánom obličky s reverzibilným poškodením</w:t>
      </w:r>
      <w:r w:rsidRPr="0012488B">
        <w:rPr>
          <w:bCs/>
          <w:iCs/>
          <w:szCs w:val="22"/>
          <w:lang w:val="sk-SK"/>
        </w:rPr>
        <w:t>.</w:t>
      </w:r>
    </w:p>
    <w:p w14:paraId="124694F7" w14:textId="77777777" w:rsidR="00D52504" w:rsidRPr="0012488B" w:rsidRDefault="00D52504" w:rsidP="00D52504">
      <w:pPr>
        <w:spacing w:line="240" w:lineRule="auto"/>
        <w:rPr>
          <w:szCs w:val="22"/>
          <w:lang w:val="sk-SK"/>
        </w:rPr>
      </w:pPr>
      <w:r w:rsidRPr="0012488B">
        <w:rPr>
          <w:szCs w:val="22"/>
          <w:lang w:val="sk-SK"/>
        </w:rPr>
        <w:t xml:space="preserve">Mutagenita nebola pozorovaná v </w:t>
      </w:r>
      <w:r w:rsidRPr="0012488B">
        <w:rPr>
          <w:i/>
          <w:szCs w:val="22"/>
          <w:lang w:val="sk-SK"/>
        </w:rPr>
        <w:t>in vitro</w:t>
      </w:r>
      <w:r w:rsidRPr="0012488B">
        <w:rPr>
          <w:szCs w:val="22"/>
          <w:lang w:val="sk-SK"/>
        </w:rPr>
        <w:t xml:space="preserve">, ani v </w:t>
      </w:r>
      <w:r w:rsidRPr="0012488B">
        <w:rPr>
          <w:i/>
          <w:szCs w:val="22"/>
          <w:lang w:val="sk-SK"/>
        </w:rPr>
        <w:t>in vivo</w:t>
      </w:r>
      <w:r w:rsidRPr="0012488B">
        <w:rPr>
          <w:szCs w:val="22"/>
          <w:lang w:val="sk-SK"/>
        </w:rPr>
        <w:t xml:space="preserve"> štúdiách.</w:t>
      </w:r>
    </w:p>
    <w:p w14:paraId="38CD8C84" w14:textId="461213E7" w:rsidR="00D52504" w:rsidRPr="0012488B" w:rsidRDefault="00D52504" w:rsidP="00D52504">
      <w:pPr>
        <w:spacing w:line="240" w:lineRule="auto"/>
        <w:rPr>
          <w:szCs w:val="22"/>
          <w:lang w:val="sk-SK"/>
        </w:rPr>
      </w:pPr>
      <w:r w:rsidRPr="0012488B">
        <w:rPr>
          <w:szCs w:val="22"/>
          <w:lang w:val="sk-SK"/>
        </w:rPr>
        <w:t xml:space="preserve">Reprodukčné toxikologické štúdie (na potkanoch, myšiach, králikoch a opiciach) nepreukázali žiadne známky embryotoxicity alebo teratogenity. Pri inhibítoroch angiotenzín-konvertujúceho enzýmu ako skupine sa však potvrdilo, že vyvolávajú nežiaduce účinky na neskorý </w:t>
      </w:r>
      <w:r w:rsidR="00624256" w:rsidRPr="0012488B">
        <w:rPr>
          <w:szCs w:val="22"/>
          <w:lang w:val="sk-SK"/>
        </w:rPr>
        <w:t xml:space="preserve">vývin </w:t>
      </w:r>
      <w:r w:rsidRPr="0012488B">
        <w:rPr>
          <w:szCs w:val="22"/>
          <w:lang w:val="sk-SK"/>
        </w:rPr>
        <w:t>plodu, čo pri hlodavcoch a králikoch vedie k úmrtiu plodu a vrodeným defektom: boli pozorované renálne lézie a zvýšenie peri- a postnatálnej mortality.</w:t>
      </w:r>
    </w:p>
    <w:p w14:paraId="4094740D" w14:textId="77777777" w:rsidR="00D52504" w:rsidRPr="0012488B" w:rsidRDefault="00D52504" w:rsidP="00D52504">
      <w:pPr>
        <w:spacing w:line="240" w:lineRule="auto"/>
        <w:rPr>
          <w:szCs w:val="22"/>
          <w:lang w:val="sk-SK"/>
        </w:rPr>
      </w:pPr>
      <w:r w:rsidRPr="0012488B">
        <w:rPr>
          <w:szCs w:val="22"/>
          <w:lang w:val="sk-SK"/>
        </w:rPr>
        <w:t>V dlhodobých štúdiách na potkanoch a myšiach nebola pozorovaná karcinogenita.</w:t>
      </w:r>
    </w:p>
    <w:p w14:paraId="1A34F73C" w14:textId="77777777" w:rsidR="00D52504" w:rsidRPr="0012488B" w:rsidRDefault="00D52504" w:rsidP="00D52504">
      <w:pPr>
        <w:spacing w:line="240" w:lineRule="auto"/>
        <w:rPr>
          <w:szCs w:val="22"/>
          <w:lang w:val="sk-SK"/>
        </w:rPr>
      </w:pPr>
    </w:p>
    <w:p w14:paraId="7CFD6A79" w14:textId="77777777" w:rsidR="00D52504" w:rsidRPr="0012488B" w:rsidRDefault="00D52504" w:rsidP="00D52504">
      <w:pPr>
        <w:spacing w:line="240" w:lineRule="auto"/>
        <w:rPr>
          <w:szCs w:val="22"/>
          <w:lang w:val="sk-SK"/>
        </w:rPr>
      </w:pPr>
    </w:p>
    <w:p w14:paraId="20EA8E35" w14:textId="77777777" w:rsidR="00D52504" w:rsidRPr="0012488B" w:rsidRDefault="00D52504" w:rsidP="00D52504">
      <w:pPr>
        <w:keepNext/>
        <w:keepLines/>
        <w:spacing w:line="240" w:lineRule="auto"/>
        <w:rPr>
          <w:b/>
          <w:szCs w:val="22"/>
          <w:lang w:val="sk-SK"/>
        </w:rPr>
      </w:pPr>
      <w:r w:rsidRPr="0012488B">
        <w:rPr>
          <w:b/>
          <w:szCs w:val="22"/>
          <w:lang w:val="sk-SK"/>
        </w:rPr>
        <w:t>6.</w:t>
      </w:r>
      <w:r w:rsidRPr="0012488B">
        <w:rPr>
          <w:b/>
          <w:szCs w:val="22"/>
          <w:lang w:val="sk-SK"/>
        </w:rPr>
        <w:tab/>
        <w:t xml:space="preserve">FARMACEUTICKÉ </w:t>
      </w:r>
      <w:r w:rsidRPr="0012488B">
        <w:rPr>
          <w:b/>
          <w:caps/>
          <w:szCs w:val="22"/>
          <w:lang w:val="sk-SK"/>
        </w:rPr>
        <w:t>INFORMÁCIE</w:t>
      </w:r>
    </w:p>
    <w:p w14:paraId="615E509B" w14:textId="77777777" w:rsidR="00D52504" w:rsidRPr="0012488B" w:rsidRDefault="00D52504" w:rsidP="00D52504">
      <w:pPr>
        <w:keepNext/>
        <w:keepLines/>
        <w:spacing w:line="240" w:lineRule="auto"/>
        <w:rPr>
          <w:b/>
          <w:szCs w:val="22"/>
          <w:lang w:val="sk-SK"/>
        </w:rPr>
      </w:pPr>
    </w:p>
    <w:p w14:paraId="7A4743D7" w14:textId="77777777" w:rsidR="00D52504" w:rsidRPr="0012488B" w:rsidRDefault="00D52504" w:rsidP="00D52504">
      <w:pPr>
        <w:keepNext/>
        <w:keepLines/>
        <w:spacing w:line="240" w:lineRule="auto"/>
        <w:rPr>
          <w:b/>
          <w:szCs w:val="22"/>
          <w:lang w:val="sk-SK"/>
        </w:rPr>
      </w:pPr>
      <w:r w:rsidRPr="0012488B">
        <w:rPr>
          <w:b/>
          <w:szCs w:val="22"/>
          <w:lang w:val="sk-SK"/>
        </w:rPr>
        <w:t>6.1</w:t>
      </w:r>
      <w:r w:rsidRPr="0012488B">
        <w:rPr>
          <w:b/>
          <w:szCs w:val="22"/>
          <w:lang w:val="sk-SK"/>
        </w:rPr>
        <w:tab/>
        <w:t>Zoznam pomocných látok</w:t>
      </w:r>
    </w:p>
    <w:p w14:paraId="1B0280C6" w14:textId="77777777" w:rsidR="00D52504" w:rsidRPr="0012488B" w:rsidRDefault="00D52504" w:rsidP="00D52504">
      <w:pPr>
        <w:tabs>
          <w:tab w:val="left" w:pos="7080"/>
        </w:tabs>
        <w:spacing w:line="240" w:lineRule="auto"/>
        <w:ind w:left="476" w:hanging="476"/>
        <w:rPr>
          <w:szCs w:val="22"/>
          <w:lang w:val="sk-SK"/>
        </w:rPr>
      </w:pPr>
    </w:p>
    <w:p w14:paraId="4A12F489" w14:textId="77777777" w:rsidR="00624256" w:rsidRPr="0012488B" w:rsidRDefault="00624256" w:rsidP="00624256">
      <w:pPr>
        <w:tabs>
          <w:tab w:val="left" w:pos="7080"/>
        </w:tabs>
        <w:spacing w:line="240" w:lineRule="auto"/>
        <w:rPr>
          <w:i/>
          <w:iCs/>
          <w:szCs w:val="22"/>
          <w:lang w:val="sk-SK"/>
        </w:rPr>
      </w:pPr>
      <w:r w:rsidRPr="0012488B">
        <w:rPr>
          <w:i/>
          <w:iCs/>
          <w:szCs w:val="22"/>
          <w:lang w:val="sk-SK"/>
        </w:rPr>
        <w:t>Jadro:</w:t>
      </w:r>
    </w:p>
    <w:p w14:paraId="543C05FB" w14:textId="77777777" w:rsidR="00624256" w:rsidRPr="0012488B" w:rsidRDefault="00624256" w:rsidP="00624256">
      <w:pPr>
        <w:tabs>
          <w:tab w:val="clear" w:pos="567"/>
        </w:tabs>
        <w:spacing w:line="240" w:lineRule="auto"/>
        <w:ind w:right="-2"/>
        <w:rPr>
          <w:szCs w:val="22"/>
          <w:lang w:val="sk-SK"/>
        </w:rPr>
      </w:pPr>
      <w:r w:rsidRPr="0012488B">
        <w:rPr>
          <w:szCs w:val="22"/>
          <w:lang w:val="sk-SK"/>
        </w:rPr>
        <w:lastRenderedPageBreak/>
        <w:t>stearan horečnatý</w:t>
      </w:r>
    </w:p>
    <w:p w14:paraId="1DBE62B3" w14:textId="77777777" w:rsidR="00624256" w:rsidRPr="0012488B" w:rsidRDefault="00624256" w:rsidP="00624256">
      <w:pPr>
        <w:tabs>
          <w:tab w:val="clear" w:pos="567"/>
        </w:tabs>
        <w:spacing w:line="240" w:lineRule="auto"/>
        <w:ind w:right="-2"/>
      </w:pPr>
      <w:r w:rsidRPr="0012488B">
        <w:t>oxid kremičitý, koloidný hydrofóbny</w:t>
      </w:r>
    </w:p>
    <w:p w14:paraId="2BDD31D0" w14:textId="77777777" w:rsidR="00624256" w:rsidRPr="0012488B" w:rsidRDefault="00624256" w:rsidP="00624256">
      <w:pPr>
        <w:tabs>
          <w:tab w:val="clear" w:pos="567"/>
        </w:tabs>
        <w:spacing w:line="240" w:lineRule="auto"/>
        <w:ind w:right="-2"/>
        <w:rPr>
          <w:szCs w:val="22"/>
          <w:lang w:val="sk-SK"/>
        </w:rPr>
      </w:pPr>
      <w:r w:rsidRPr="0012488B">
        <w:rPr>
          <w:szCs w:val="22"/>
          <w:lang w:val="sk-SK"/>
        </w:rPr>
        <w:t>karboxymetylškrob A, sodná soľ</w:t>
      </w:r>
    </w:p>
    <w:p w14:paraId="5FCCC8A9" w14:textId="77777777" w:rsidR="00624256" w:rsidRPr="0012488B" w:rsidRDefault="00624256" w:rsidP="00624256">
      <w:pPr>
        <w:tabs>
          <w:tab w:val="clear" w:pos="567"/>
        </w:tabs>
        <w:spacing w:line="240" w:lineRule="auto"/>
        <w:ind w:right="-2"/>
        <w:rPr>
          <w:szCs w:val="22"/>
          <w:lang w:val="sk-SK"/>
        </w:rPr>
      </w:pPr>
      <w:r w:rsidRPr="0012488B">
        <w:rPr>
          <w:szCs w:val="22"/>
          <w:lang w:val="sk-SK"/>
        </w:rPr>
        <w:t>glyceroldibehenát</w:t>
      </w:r>
    </w:p>
    <w:p w14:paraId="4E3ADBE7" w14:textId="77777777" w:rsidR="00624256" w:rsidRPr="0012488B" w:rsidRDefault="00624256" w:rsidP="00624256">
      <w:pPr>
        <w:tabs>
          <w:tab w:val="clear" w:pos="567"/>
        </w:tabs>
        <w:spacing w:line="240" w:lineRule="auto"/>
        <w:ind w:right="-2"/>
        <w:rPr>
          <w:szCs w:val="22"/>
          <w:lang w:val="sk-SK"/>
        </w:rPr>
      </w:pPr>
      <w:r w:rsidRPr="0012488B">
        <w:rPr>
          <w:szCs w:val="22"/>
          <w:lang w:val="sk-SK"/>
        </w:rPr>
        <w:t>maltodextrín</w:t>
      </w:r>
    </w:p>
    <w:p w14:paraId="431304F5" w14:textId="77777777" w:rsidR="00624256" w:rsidRPr="0012488B" w:rsidRDefault="00624256" w:rsidP="00624256">
      <w:pPr>
        <w:tabs>
          <w:tab w:val="clear" w:pos="567"/>
        </w:tabs>
        <w:spacing w:line="240" w:lineRule="auto"/>
        <w:ind w:right="-2"/>
        <w:rPr>
          <w:szCs w:val="22"/>
          <w:lang w:val="sk-SK"/>
        </w:rPr>
      </w:pPr>
      <w:r w:rsidRPr="0012488B">
        <w:rPr>
          <w:szCs w:val="22"/>
          <w:lang w:val="sk-SK"/>
        </w:rPr>
        <w:t>laktóza, monohydrát</w:t>
      </w:r>
    </w:p>
    <w:p w14:paraId="4BB21540" w14:textId="77777777" w:rsidR="00624256" w:rsidRPr="0012488B" w:rsidRDefault="00624256" w:rsidP="00624256">
      <w:pPr>
        <w:tabs>
          <w:tab w:val="left" w:pos="7080"/>
        </w:tabs>
        <w:spacing w:line="240" w:lineRule="auto"/>
        <w:rPr>
          <w:szCs w:val="22"/>
          <w:lang w:val="sk-SK"/>
        </w:rPr>
      </w:pPr>
    </w:p>
    <w:p w14:paraId="09E627D2" w14:textId="77777777" w:rsidR="00624256" w:rsidRPr="0012488B" w:rsidRDefault="00624256" w:rsidP="00624256">
      <w:pPr>
        <w:tabs>
          <w:tab w:val="left" w:pos="7080"/>
        </w:tabs>
        <w:spacing w:line="240" w:lineRule="auto"/>
        <w:rPr>
          <w:szCs w:val="22"/>
          <w:lang w:val="sk-SK"/>
        </w:rPr>
      </w:pPr>
      <w:r w:rsidRPr="0012488B">
        <w:rPr>
          <w:i/>
          <w:iCs/>
          <w:szCs w:val="22"/>
          <w:lang w:val="sk-SK"/>
        </w:rPr>
        <w:t xml:space="preserve">Filmotvorná vrstva: </w:t>
      </w:r>
    </w:p>
    <w:p w14:paraId="5D926885" w14:textId="77777777" w:rsidR="00624256" w:rsidRPr="0012488B" w:rsidRDefault="00624256" w:rsidP="00624256">
      <w:pPr>
        <w:tabs>
          <w:tab w:val="clear" w:pos="567"/>
        </w:tabs>
        <w:spacing w:line="240" w:lineRule="auto"/>
        <w:ind w:right="-2"/>
        <w:rPr>
          <w:szCs w:val="22"/>
          <w:lang w:val="sk-SK"/>
        </w:rPr>
      </w:pPr>
      <w:r w:rsidRPr="0012488B">
        <w:rPr>
          <w:szCs w:val="22"/>
          <w:lang w:val="sk-SK"/>
        </w:rPr>
        <w:t>čiastočne hydrolyzovaný polyvinylalkohol (E1203)</w:t>
      </w:r>
    </w:p>
    <w:p w14:paraId="54C0B039" w14:textId="77777777" w:rsidR="00624256" w:rsidRPr="0012488B" w:rsidRDefault="00624256" w:rsidP="00624256">
      <w:pPr>
        <w:tabs>
          <w:tab w:val="clear" w:pos="567"/>
        </w:tabs>
        <w:spacing w:line="240" w:lineRule="auto"/>
        <w:ind w:right="-2"/>
        <w:rPr>
          <w:szCs w:val="22"/>
          <w:lang w:val="sk-SK"/>
        </w:rPr>
      </w:pPr>
      <w:r w:rsidRPr="0012488B">
        <w:rPr>
          <w:szCs w:val="22"/>
          <w:lang w:val="sk-SK"/>
        </w:rPr>
        <w:t>oxid titaničitý (E171)</w:t>
      </w:r>
    </w:p>
    <w:p w14:paraId="7F3568D9" w14:textId="77777777" w:rsidR="00624256" w:rsidRPr="0012488B" w:rsidRDefault="00624256" w:rsidP="00624256">
      <w:pPr>
        <w:tabs>
          <w:tab w:val="clear" w:pos="567"/>
        </w:tabs>
        <w:spacing w:line="240" w:lineRule="auto"/>
        <w:ind w:right="-2"/>
        <w:rPr>
          <w:szCs w:val="22"/>
          <w:lang w:val="sk-SK"/>
        </w:rPr>
      </w:pPr>
      <w:r w:rsidRPr="0012488B">
        <w:rPr>
          <w:szCs w:val="22"/>
          <w:lang w:val="sk-SK"/>
        </w:rPr>
        <w:t>makrogol (E1521)</w:t>
      </w:r>
    </w:p>
    <w:p w14:paraId="3F044D7C" w14:textId="77777777" w:rsidR="00624256" w:rsidRPr="0012488B" w:rsidRDefault="00624256" w:rsidP="00624256">
      <w:pPr>
        <w:tabs>
          <w:tab w:val="clear" w:pos="567"/>
        </w:tabs>
        <w:spacing w:line="240" w:lineRule="auto"/>
        <w:ind w:right="-2"/>
        <w:rPr>
          <w:szCs w:val="22"/>
          <w:lang w:val="sk-SK"/>
        </w:rPr>
      </w:pPr>
      <w:r w:rsidRPr="0012488B">
        <w:rPr>
          <w:szCs w:val="22"/>
          <w:lang w:val="sk-SK"/>
        </w:rPr>
        <w:t>mastenec (E553b)</w:t>
      </w:r>
    </w:p>
    <w:p w14:paraId="231D633E" w14:textId="77777777" w:rsidR="00D52504" w:rsidRPr="0012488B" w:rsidRDefault="00D52504" w:rsidP="00D52504">
      <w:pPr>
        <w:tabs>
          <w:tab w:val="left" w:pos="7080"/>
        </w:tabs>
        <w:spacing w:line="240" w:lineRule="auto"/>
        <w:ind w:left="476" w:hanging="476"/>
        <w:rPr>
          <w:szCs w:val="22"/>
          <w:lang w:val="sk-SK"/>
        </w:rPr>
      </w:pPr>
    </w:p>
    <w:p w14:paraId="39750928" w14:textId="77777777" w:rsidR="00D52504" w:rsidRPr="0012488B" w:rsidRDefault="00D52504" w:rsidP="00D52504">
      <w:pPr>
        <w:keepNext/>
        <w:keepLines/>
        <w:spacing w:line="240" w:lineRule="auto"/>
        <w:rPr>
          <w:b/>
          <w:szCs w:val="22"/>
          <w:lang w:val="sk-SK"/>
        </w:rPr>
      </w:pPr>
      <w:r w:rsidRPr="0012488B">
        <w:rPr>
          <w:b/>
          <w:szCs w:val="22"/>
          <w:lang w:val="sk-SK"/>
        </w:rPr>
        <w:t>6.2</w:t>
      </w:r>
      <w:r w:rsidRPr="0012488B">
        <w:rPr>
          <w:b/>
          <w:szCs w:val="22"/>
          <w:lang w:val="sk-SK"/>
        </w:rPr>
        <w:tab/>
        <w:t>Inkompatibility</w:t>
      </w:r>
    </w:p>
    <w:p w14:paraId="59ED0FE2" w14:textId="77777777" w:rsidR="00D52504" w:rsidRPr="0012488B" w:rsidRDefault="00D52504" w:rsidP="00D52504">
      <w:pPr>
        <w:tabs>
          <w:tab w:val="left" w:pos="7080"/>
        </w:tabs>
        <w:spacing w:line="240" w:lineRule="auto"/>
        <w:ind w:left="476" w:hanging="476"/>
        <w:rPr>
          <w:szCs w:val="22"/>
          <w:lang w:val="sk-SK"/>
        </w:rPr>
      </w:pPr>
    </w:p>
    <w:p w14:paraId="76872E76" w14:textId="77777777" w:rsidR="00D52504" w:rsidRPr="0012488B" w:rsidRDefault="00D52504" w:rsidP="00D52504">
      <w:pPr>
        <w:tabs>
          <w:tab w:val="left" w:pos="7080"/>
        </w:tabs>
        <w:spacing w:line="240" w:lineRule="auto"/>
        <w:ind w:left="476" w:hanging="476"/>
        <w:rPr>
          <w:szCs w:val="22"/>
          <w:lang w:val="sk-SK"/>
        </w:rPr>
      </w:pPr>
      <w:r w:rsidRPr="0012488B">
        <w:rPr>
          <w:szCs w:val="22"/>
          <w:lang w:val="sk-SK"/>
        </w:rPr>
        <w:t>Neaplikovateľné.</w:t>
      </w:r>
    </w:p>
    <w:p w14:paraId="3B0E4B25" w14:textId="77777777" w:rsidR="00D52504" w:rsidRPr="0012488B" w:rsidRDefault="00D52504" w:rsidP="00D52504">
      <w:pPr>
        <w:spacing w:line="240" w:lineRule="auto"/>
        <w:rPr>
          <w:szCs w:val="22"/>
          <w:lang w:val="sk-SK"/>
        </w:rPr>
      </w:pPr>
    </w:p>
    <w:p w14:paraId="2E65A209" w14:textId="77777777" w:rsidR="00D52504" w:rsidRPr="0012488B" w:rsidRDefault="00D52504" w:rsidP="00D52504">
      <w:pPr>
        <w:keepNext/>
        <w:keepLines/>
        <w:spacing w:line="240" w:lineRule="auto"/>
        <w:rPr>
          <w:b/>
          <w:szCs w:val="22"/>
          <w:lang w:val="sk-SK"/>
        </w:rPr>
      </w:pPr>
      <w:r w:rsidRPr="0012488B">
        <w:rPr>
          <w:b/>
          <w:szCs w:val="22"/>
          <w:lang w:val="sk-SK"/>
        </w:rPr>
        <w:t>6.3</w:t>
      </w:r>
      <w:r w:rsidRPr="0012488B">
        <w:rPr>
          <w:b/>
          <w:szCs w:val="22"/>
          <w:lang w:val="sk-SK"/>
        </w:rPr>
        <w:tab/>
        <w:t>Čas použiteľnosti</w:t>
      </w:r>
    </w:p>
    <w:p w14:paraId="0C05F3B6" w14:textId="77777777" w:rsidR="00D52504" w:rsidRPr="0012488B" w:rsidRDefault="00D52504" w:rsidP="00D52504">
      <w:pPr>
        <w:tabs>
          <w:tab w:val="left" w:pos="7080"/>
        </w:tabs>
        <w:spacing w:line="240" w:lineRule="auto"/>
        <w:ind w:left="476" w:hanging="476"/>
        <w:rPr>
          <w:iCs/>
          <w:szCs w:val="22"/>
          <w:lang w:val="sk-SK"/>
        </w:rPr>
      </w:pPr>
    </w:p>
    <w:p w14:paraId="5B6348AF" w14:textId="77777777" w:rsidR="00D52504" w:rsidRPr="0012488B" w:rsidRDefault="00D52504" w:rsidP="00D52504">
      <w:pPr>
        <w:tabs>
          <w:tab w:val="left" w:pos="7080"/>
        </w:tabs>
        <w:spacing w:line="240" w:lineRule="auto"/>
        <w:ind w:left="476" w:hanging="476"/>
        <w:rPr>
          <w:iCs/>
          <w:szCs w:val="22"/>
          <w:lang w:val="sk-SK"/>
        </w:rPr>
      </w:pPr>
      <w:r w:rsidRPr="0012488B">
        <w:rPr>
          <w:iCs/>
          <w:szCs w:val="22"/>
          <w:lang w:val="sk-SK"/>
        </w:rPr>
        <w:t>18 mesiacov</w:t>
      </w:r>
    </w:p>
    <w:p w14:paraId="0AE84AED" w14:textId="77777777" w:rsidR="00D52504" w:rsidRPr="0012488B" w:rsidRDefault="00D52504" w:rsidP="00D52504">
      <w:pPr>
        <w:spacing w:line="240" w:lineRule="auto"/>
        <w:rPr>
          <w:szCs w:val="22"/>
          <w:lang w:val="sk-SK"/>
        </w:rPr>
      </w:pPr>
    </w:p>
    <w:p w14:paraId="0C8F286A" w14:textId="77777777" w:rsidR="00D52504" w:rsidRPr="0012488B" w:rsidRDefault="00D52504" w:rsidP="00D52504">
      <w:pPr>
        <w:keepNext/>
        <w:keepLines/>
        <w:spacing w:line="240" w:lineRule="auto"/>
        <w:rPr>
          <w:b/>
          <w:szCs w:val="22"/>
          <w:lang w:val="sk-SK"/>
        </w:rPr>
      </w:pPr>
      <w:r w:rsidRPr="0012488B">
        <w:rPr>
          <w:b/>
          <w:szCs w:val="22"/>
          <w:lang w:val="sk-SK"/>
        </w:rPr>
        <w:t>6.4</w:t>
      </w:r>
      <w:r w:rsidRPr="0012488B">
        <w:rPr>
          <w:b/>
          <w:szCs w:val="22"/>
          <w:lang w:val="sk-SK"/>
        </w:rPr>
        <w:tab/>
        <w:t>Špeciálne upozornenia na uchovávanie</w:t>
      </w:r>
    </w:p>
    <w:p w14:paraId="6B0E1477" w14:textId="77777777" w:rsidR="00D52504" w:rsidRPr="0012488B" w:rsidRDefault="00D52504" w:rsidP="00D52504">
      <w:pPr>
        <w:tabs>
          <w:tab w:val="left" w:pos="7080"/>
        </w:tabs>
        <w:spacing w:line="240" w:lineRule="auto"/>
        <w:ind w:left="476" w:hanging="476"/>
        <w:rPr>
          <w:szCs w:val="22"/>
          <w:lang w:val="sk-SK"/>
        </w:rPr>
      </w:pPr>
    </w:p>
    <w:p w14:paraId="16340EA5" w14:textId="77777777" w:rsidR="00D52504" w:rsidRPr="0012488B" w:rsidRDefault="00D52504" w:rsidP="00D52504">
      <w:pPr>
        <w:widowControl w:val="0"/>
        <w:rPr>
          <w:noProof/>
          <w:snapToGrid w:val="0"/>
          <w:szCs w:val="22"/>
        </w:rPr>
      </w:pPr>
      <w:r w:rsidRPr="0012488B">
        <w:rPr>
          <w:szCs w:val="22"/>
          <w:lang w:val="sk-SK"/>
        </w:rPr>
        <w:t xml:space="preserve">Blistrové balenie:  </w:t>
      </w:r>
      <w:r w:rsidRPr="0012488B">
        <w:rPr>
          <w:noProof/>
          <w:snapToGrid w:val="0"/>
          <w:szCs w:val="22"/>
        </w:rPr>
        <w:t>Uchovávajte pri teplote do 30 °C. Uchovávajte v pôvodnom obale na ochranu pred vlhkosťou.</w:t>
      </w:r>
    </w:p>
    <w:p w14:paraId="66229BB1" w14:textId="77777777" w:rsidR="00D52504" w:rsidRPr="0012488B" w:rsidRDefault="00D52504" w:rsidP="00D52504">
      <w:pPr>
        <w:tabs>
          <w:tab w:val="clear" w:pos="567"/>
        </w:tabs>
        <w:spacing w:line="240" w:lineRule="auto"/>
        <w:rPr>
          <w:szCs w:val="22"/>
          <w:lang w:val="sk-SK"/>
        </w:rPr>
      </w:pPr>
      <w:r w:rsidRPr="0012488B">
        <w:rPr>
          <w:szCs w:val="22"/>
          <w:lang w:val="sk-SK"/>
        </w:rPr>
        <w:t xml:space="preserve">Obal na tablety (HDPE) uchovávajte </w:t>
      </w:r>
      <w:r w:rsidRPr="0012488B">
        <w:rPr>
          <w:noProof/>
          <w:szCs w:val="22"/>
        </w:rPr>
        <w:t>pevne uzatvorený, na ochranu pred vlhkosťou.</w:t>
      </w:r>
    </w:p>
    <w:p w14:paraId="58BBC7A4" w14:textId="77777777" w:rsidR="00D52504" w:rsidRPr="0012488B" w:rsidRDefault="00D52504" w:rsidP="00D52504">
      <w:pPr>
        <w:spacing w:line="240" w:lineRule="auto"/>
        <w:rPr>
          <w:szCs w:val="22"/>
          <w:u w:val="single"/>
          <w:lang w:val="sk-SK"/>
        </w:rPr>
      </w:pPr>
    </w:p>
    <w:p w14:paraId="36E6BF76" w14:textId="77777777" w:rsidR="00D52504" w:rsidRPr="0012488B" w:rsidRDefault="00D52504" w:rsidP="00D52504">
      <w:pPr>
        <w:spacing w:line="240" w:lineRule="auto"/>
        <w:rPr>
          <w:b/>
          <w:szCs w:val="22"/>
          <w:lang w:val="sk-SK"/>
        </w:rPr>
      </w:pPr>
      <w:r w:rsidRPr="0012488B">
        <w:rPr>
          <w:b/>
          <w:szCs w:val="22"/>
          <w:lang w:val="sk-SK"/>
        </w:rPr>
        <w:t>6.5</w:t>
      </w:r>
      <w:r w:rsidRPr="0012488B">
        <w:rPr>
          <w:b/>
          <w:szCs w:val="22"/>
          <w:lang w:val="sk-SK"/>
        </w:rPr>
        <w:tab/>
        <w:t>Druh obalu a obsah balenia</w:t>
      </w:r>
    </w:p>
    <w:p w14:paraId="4D4BE663" w14:textId="77777777" w:rsidR="00D52504" w:rsidRPr="0012488B" w:rsidRDefault="00D52504" w:rsidP="00D52504">
      <w:pPr>
        <w:tabs>
          <w:tab w:val="left" w:pos="7080"/>
        </w:tabs>
        <w:spacing w:line="240" w:lineRule="auto"/>
        <w:ind w:left="476" w:hanging="476"/>
        <w:rPr>
          <w:i/>
          <w:iCs/>
          <w:szCs w:val="22"/>
          <w:lang w:val="sk-SK"/>
        </w:rPr>
      </w:pPr>
    </w:p>
    <w:p w14:paraId="73D2399B" w14:textId="77777777" w:rsidR="00D52504" w:rsidRPr="0012488B" w:rsidRDefault="00D52504" w:rsidP="00D52504">
      <w:pPr>
        <w:tabs>
          <w:tab w:val="left" w:pos="7080"/>
        </w:tabs>
        <w:spacing w:line="240" w:lineRule="auto"/>
        <w:rPr>
          <w:szCs w:val="22"/>
          <w:lang w:val="sk-SK"/>
        </w:rPr>
      </w:pPr>
      <w:r w:rsidRPr="0012488B">
        <w:rPr>
          <w:szCs w:val="22"/>
          <w:lang w:val="sk-SK"/>
        </w:rPr>
        <w:t>OPA/Al/PVC/Al blister</w:t>
      </w:r>
    </w:p>
    <w:p w14:paraId="62F8E0C0" w14:textId="77777777" w:rsidR="00D52504" w:rsidRPr="0012488B" w:rsidRDefault="00D52504" w:rsidP="00D52504">
      <w:pPr>
        <w:tabs>
          <w:tab w:val="left" w:pos="7080"/>
        </w:tabs>
        <w:spacing w:line="240" w:lineRule="auto"/>
        <w:rPr>
          <w:szCs w:val="22"/>
          <w:lang w:val="sk-SK"/>
        </w:rPr>
      </w:pPr>
      <w:r w:rsidRPr="0012488B">
        <w:rPr>
          <w:szCs w:val="22"/>
          <w:lang w:val="sk-SK"/>
        </w:rPr>
        <w:t xml:space="preserve">HDPE obal na tablety obsahuje 2 vysušovadlá, utesnené fóliou a uzatvorené uzáverom s detskou poistkou (PP).  </w:t>
      </w:r>
    </w:p>
    <w:p w14:paraId="00D2FFE5" w14:textId="77777777" w:rsidR="00D52504" w:rsidRPr="0012488B" w:rsidRDefault="00D52504" w:rsidP="00D52504">
      <w:pPr>
        <w:tabs>
          <w:tab w:val="left" w:pos="7080"/>
        </w:tabs>
        <w:spacing w:line="240" w:lineRule="auto"/>
        <w:rPr>
          <w:szCs w:val="22"/>
          <w:lang w:val="sk-SK"/>
        </w:rPr>
      </w:pPr>
    </w:p>
    <w:p w14:paraId="39AF9503" w14:textId="77777777" w:rsidR="00D52504" w:rsidRPr="0012488B" w:rsidRDefault="00D52504" w:rsidP="00D52504">
      <w:pPr>
        <w:tabs>
          <w:tab w:val="left" w:pos="7080"/>
        </w:tabs>
        <w:spacing w:line="240" w:lineRule="auto"/>
        <w:rPr>
          <w:i/>
          <w:szCs w:val="22"/>
          <w:lang w:val="sk-SK"/>
        </w:rPr>
      </w:pPr>
      <w:r w:rsidRPr="0012488B">
        <w:rPr>
          <w:i/>
          <w:szCs w:val="22"/>
          <w:lang w:val="sk-SK"/>
        </w:rPr>
        <w:t>Veľkosti balenia:</w:t>
      </w:r>
    </w:p>
    <w:p w14:paraId="1FF45D00" w14:textId="10278BB4" w:rsidR="00D52504" w:rsidRPr="0012488B" w:rsidRDefault="00D52504" w:rsidP="00D52504">
      <w:pPr>
        <w:tabs>
          <w:tab w:val="left" w:pos="7080"/>
        </w:tabs>
        <w:spacing w:line="240" w:lineRule="auto"/>
        <w:rPr>
          <w:szCs w:val="22"/>
          <w:lang w:val="sk-SK"/>
        </w:rPr>
      </w:pPr>
      <w:r w:rsidRPr="0012488B">
        <w:rPr>
          <w:szCs w:val="22"/>
          <w:lang w:val="sk-SK"/>
        </w:rPr>
        <w:t xml:space="preserve">Blister:  5, 10, 14, 20, 30, 50, 60, 90, 100 a 120 filmom </w:t>
      </w:r>
      <w:r w:rsidR="00EF2C28" w:rsidRPr="0012488B">
        <w:rPr>
          <w:szCs w:val="22"/>
          <w:lang w:val="sk-SK"/>
        </w:rPr>
        <w:t>obalen</w:t>
      </w:r>
      <w:r w:rsidR="00CD4EAA" w:rsidRPr="0012488B">
        <w:rPr>
          <w:szCs w:val="22"/>
          <w:lang w:val="sk-SK"/>
        </w:rPr>
        <w:t>ý</w:t>
      </w:r>
      <w:r w:rsidR="00EF2C28" w:rsidRPr="0012488B">
        <w:rPr>
          <w:szCs w:val="22"/>
          <w:lang w:val="sk-SK"/>
        </w:rPr>
        <w:t>ch tabliet.</w:t>
      </w:r>
    </w:p>
    <w:p w14:paraId="7CA07DD2" w14:textId="77777777" w:rsidR="00D52504" w:rsidRPr="0012488B" w:rsidRDefault="00D52504" w:rsidP="00D52504">
      <w:pPr>
        <w:tabs>
          <w:tab w:val="left" w:pos="7080"/>
        </w:tabs>
        <w:spacing w:line="240" w:lineRule="auto"/>
        <w:rPr>
          <w:szCs w:val="22"/>
          <w:lang w:val="sk-SK"/>
        </w:rPr>
      </w:pPr>
      <w:r w:rsidRPr="0012488B">
        <w:rPr>
          <w:szCs w:val="22"/>
          <w:lang w:val="sk-SK"/>
        </w:rPr>
        <w:t>HDPE obal na tablety: 30, 60, 90 a 500 filmom obalených tabliet.</w:t>
      </w:r>
    </w:p>
    <w:p w14:paraId="3407E3AA" w14:textId="77777777" w:rsidR="00D52504" w:rsidRPr="0012488B" w:rsidRDefault="00D52504" w:rsidP="00D52504">
      <w:pPr>
        <w:tabs>
          <w:tab w:val="left" w:pos="7080"/>
        </w:tabs>
        <w:spacing w:line="240" w:lineRule="auto"/>
        <w:rPr>
          <w:szCs w:val="22"/>
          <w:lang w:val="sk-SK"/>
        </w:rPr>
      </w:pPr>
    </w:p>
    <w:p w14:paraId="2DB5CCB2" w14:textId="77777777" w:rsidR="00D52504" w:rsidRPr="0012488B" w:rsidRDefault="00D52504" w:rsidP="00D52504">
      <w:pPr>
        <w:tabs>
          <w:tab w:val="left" w:pos="7080"/>
        </w:tabs>
        <w:spacing w:line="240" w:lineRule="auto"/>
        <w:rPr>
          <w:szCs w:val="22"/>
          <w:lang w:val="sk-SK"/>
        </w:rPr>
      </w:pPr>
      <w:r w:rsidRPr="0012488B">
        <w:rPr>
          <w:szCs w:val="22"/>
          <w:lang w:val="sk-SK"/>
        </w:rPr>
        <w:t xml:space="preserve">Na trh nemusia byť uvedené všetky veľkosti balenia. </w:t>
      </w:r>
    </w:p>
    <w:p w14:paraId="327A9DA2" w14:textId="77777777" w:rsidR="00D52504" w:rsidRPr="0012488B" w:rsidRDefault="00D52504" w:rsidP="00D52504">
      <w:pPr>
        <w:spacing w:line="240" w:lineRule="auto"/>
        <w:rPr>
          <w:szCs w:val="22"/>
          <w:lang w:val="sk-SK"/>
        </w:rPr>
      </w:pPr>
    </w:p>
    <w:p w14:paraId="24FE28F1" w14:textId="77777777" w:rsidR="00D52504" w:rsidRPr="0012488B" w:rsidRDefault="00D52504" w:rsidP="00D52504">
      <w:pPr>
        <w:spacing w:line="240" w:lineRule="auto"/>
        <w:rPr>
          <w:b/>
          <w:szCs w:val="22"/>
          <w:lang w:val="sk-SK"/>
        </w:rPr>
      </w:pPr>
      <w:r w:rsidRPr="0012488B">
        <w:rPr>
          <w:b/>
          <w:szCs w:val="22"/>
          <w:lang w:val="sk-SK"/>
        </w:rPr>
        <w:t>6.6</w:t>
      </w:r>
      <w:r w:rsidRPr="0012488B">
        <w:rPr>
          <w:b/>
          <w:szCs w:val="22"/>
          <w:lang w:val="sk-SK"/>
        </w:rPr>
        <w:tab/>
        <w:t>Špeciálne opatrenia na likvidáciu</w:t>
      </w:r>
    </w:p>
    <w:p w14:paraId="45757E44" w14:textId="77777777" w:rsidR="00D52504" w:rsidRPr="0012488B" w:rsidRDefault="00D52504" w:rsidP="00D52504">
      <w:pPr>
        <w:tabs>
          <w:tab w:val="left" w:pos="7080"/>
        </w:tabs>
        <w:spacing w:line="240" w:lineRule="auto"/>
        <w:ind w:left="476" w:hanging="476"/>
        <w:rPr>
          <w:szCs w:val="22"/>
          <w:lang w:val="sk-SK"/>
        </w:rPr>
      </w:pPr>
    </w:p>
    <w:p w14:paraId="4779D2F1" w14:textId="77777777" w:rsidR="00D52504" w:rsidRPr="0012488B" w:rsidRDefault="00D52504" w:rsidP="00D52504">
      <w:pPr>
        <w:tabs>
          <w:tab w:val="left" w:pos="7080"/>
        </w:tabs>
        <w:spacing w:line="240" w:lineRule="auto"/>
        <w:rPr>
          <w:szCs w:val="22"/>
          <w:lang w:val="sk-SK"/>
        </w:rPr>
      </w:pPr>
      <w:r w:rsidRPr="0012488B">
        <w:rPr>
          <w:szCs w:val="22"/>
          <w:lang w:val="sk-SK"/>
        </w:rPr>
        <w:t>Žiadne zvláštne požiadavky.</w:t>
      </w:r>
    </w:p>
    <w:p w14:paraId="279E3208" w14:textId="77777777" w:rsidR="00D52504" w:rsidRPr="0012488B" w:rsidRDefault="00D52504" w:rsidP="00D52504">
      <w:pPr>
        <w:spacing w:line="240" w:lineRule="auto"/>
        <w:rPr>
          <w:b/>
          <w:szCs w:val="22"/>
          <w:lang w:val="sk-SK"/>
        </w:rPr>
      </w:pPr>
    </w:p>
    <w:p w14:paraId="7AF22582" w14:textId="77777777" w:rsidR="00D52504" w:rsidRPr="0012488B" w:rsidRDefault="00D52504" w:rsidP="00D52504">
      <w:pPr>
        <w:spacing w:line="240" w:lineRule="auto"/>
        <w:rPr>
          <w:b/>
          <w:szCs w:val="22"/>
          <w:lang w:val="sk-SK"/>
        </w:rPr>
      </w:pPr>
      <w:r w:rsidRPr="0012488B">
        <w:rPr>
          <w:b/>
          <w:szCs w:val="22"/>
          <w:lang w:val="sk-SK"/>
        </w:rPr>
        <w:t xml:space="preserve"> </w:t>
      </w:r>
    </w:p>
    <w:p w14:paraId="3695ECCE" w14:textId="77777777" w:rsidR="00D52504" w:rsidRPr="0012488B" w:rsidRDefault="00D52504" w:rsidP="00D52504">
      <w:pPr>
        <w:spacing w:line="240" w:lineRule="auto"/>
        <w:rPr>
          <w:b/>
          <w:szCs w:val="22"/>
          <w:lang w:val="sk-SK"/>
        </w:rPr>
      </w:pPr>
      <w:r w:rsidRPr="0012488B">
        <w:rPr>
          <w:b/>
          <w:szCs w:val="22"/>
          <w:lang w:val="sk-SK"/>
        </w:rPr>
        <w:t>7.</w:t>
      </w:r>
      <w:r w:rsidRPr="0012488B">
        <w:rPr>
          <w:b/>
          <w:szCs w:val="22"/>
          <w:lang w:val="sk-SK"/>
        </w:rPr>
        <w:tab/>
      </w:r>
      <w:r w:rsidRPr="0012488B">
        <w:rPr>
          <w:b/>
          <w:caps/>
          <w:szCs w:val="22"/>
          <w:lang w:val="sk-SK"/>
        </w:rPr>
        <w:t>DržiteĽ rozhodnutia O REGISTRÁCII</w:t>
      </w:r>
    </w:p>
    <w:p w14:paraId="30AA68FD" w14:textId="77777777" w:rsidR="00D52504" w:rsidRPr="0012488B" w:rsidRDefault="00D52504" w:rsidP="00D52504">
      <w:pPr>
        <w:spacing w:line="240" w:lineRule="auto"/>
        <w:rPr>
          <w:i/>
          <w:szCs w:val="22"/>
          <w:lang w:val="sk-SK"/>
        </w:rPr>
      </w:pPr>
    </w:p>
    <w:p w14:paraId="148A76B3" w14:textId="77777777" w:rsidR="00D52504" w:rsidRPr="0012488B" w:rsidRDefault="00D52504" w:rsidP="00D52504">
      <w:pPr>
        <w:spacing w:line="240" w:lineRule="auto"/>
        <w:rPr>
          <w:szCs w:val="22"/>
          <w:lang w:val="sk-SK"/>
        </w:rPr>
      </w:pPr>
      <w:r w:rsidRPr="0012488B">
        <w:rPr>
          <w:szCs w:val="22"/>
          <w:lang w:val="sk-SK"/>
        </w:rPr>
        <w:t>Actavis Group PTC ehf.</w:t>
      </w:r>
    </w:p>
    <w:p w14:paraId="1EF85AC4" w14:textId="77777777" w:rsidR="00D52504" w:rsidRPr="0012488B" w:rsidRDefault="00D52504" w:rsidP="00D52504">
      <w:pPr>
        <w:tabs>
          <w:tab w:val="left" w:pos="284"/>
        </w:tabs>
        <w:spacing w:line="240" w:lineRule="auto"/>
        <w:rPr>
          <w:szCs w:val="22"/>
          <w:lang w:val="sk-SK"/>
        </w:rPr>
      </w:pPr>
      <w:r w:rsidRPr="0012488B">
        <w:rPr>
          <w:szCs w:val="22"/>
          <w:lang w:val="sk-SK"/>
        </w:rPr>
        <w:t>Reykjavikurvegur 76-78</w:t>
      </w:r>
    </w:p>
    <w:p w14:paraId="38BECB59" w14:textId="77777777" w:rsidR="00D52504" w:rsidRPr="0012488B" w:rsidRDefault="00D52504" w:rsidP="00D52504">
      <w:pPr>
        <w:tabs>
          <w:tab w:val="left" w:pos="284"/>
        </w:tabs>
        <w:spacing w:line="240" w:lineRule="auto"/>
        <w:rPr>
          <w:szCs w:val="22"/>
          <w:lang w:val="sk-SK"/>
        </w:rPr>
      </w:pPr>
      <w:r w:rsidRPr="0012488B">
        <w:rPr>
          <w:szCs w:val="22"/>
          <w:lang w:val="sk-SK"/>
        </w:rPr>
        <w:t>220 Hafnarfjordur</w:t>
      </w:r>
    </w:p>
    <w:p w14:paraId="0A8BED60" w14:textId="77777777" w:rsidR="00D52504" w:rsidRPr="0012488B" w:rsidRDefault="00D52504" w:rsidP="00D52504">
      <w:pPr>
        <w:tabs>
          <w:tab w:val="left" w:pos="284"/>
        </w:tabs>
        <w:spacing w:line="240" w:lineRule="auto"/>
        <w:rPr>
          <w:szCs w:val="22"/>
          <w:lang w:val="sk-SK"/>
        </w:rPr>
      </w:pPr>
      <w:r w:rsidRPr="0012488B">
        <w:rPr>
          <w:szCs w:val="22"/>
          <w:lang w:val="sk-SK"/>
        </w:rPr>
        <w:t>Island</w:t>
      </w:r>
    </w:p>
    <w:p w14:paraId="351E3FC3" w14:textId="77777777" w:rsidR="00D52504" w:rsidRPr="0012488B" w:rsidRDefault="00D52504" w:rsidP="00D52504">
      <w:pPr>
        <w:spacing w:line="240" w:lineRule="auto"/>
        <w:rPr>
          <w:iCs/>
          <w:szCs w:val="22"/>
          <w:lang w:val="sk-SK"/>
        </w:rPr>
      </w:pPr>
    </w:p>
    <w:p w14:paraId="6480E50B" w14:textId="77777777" w:rsidR="00D52504" w:rsidRPr="0012488B" w:rsidRDefault="00D52504" w:rsidP="00D52504">
      <w:pPr>
        <w:spacing w:line="240" w:lineRule="auto"/>
        <w:rPr>
          <w:i/>
          <w:szCs w:val="22"/>
          <w:lang w:val="sk-SK"/>
        </w:rPr>
      </w:pPr>
    </w:p>
    <w:p w14:paraId="3FDFC298" w14:textId="77777777" w:rsidR="00D52504" w:rsidRPr="0012488B" w:rsidRDefault="00D52504" w:rsidP="00D52504">
      <w:pPr>
        <w:spacing w:line="240" w:lineRule="auto"/>
        <w:rPr>
          <w:b/>
          <w:szCs w:val="22"/>
          <w:lang w:val="sk-SK"/>
        </w:rPr>
      </w:pPr>
      <w:r w:rsidRPr="0012488B">
        <w:rPr>
          <w:b/>
          <w:szCs w:val="22"/>
          <w:lang w:val="sk-SK"/>
        </w:rPr>
        <w:t>8.</w:t>
      </w:r>
      <w:r w:rsidRPr="0012488B">
        <w:rPr>
          <w:b/>
          <w:szCs w:val="22"/>
          <w:lang w:val="sk-SK"/>
        </w:rPr>
        <w:tab/>
        <w:t>REGISTRAČNÉ ČÍSLO</w:t>
      </w:r>
    </w:p>
    <w:p w14:paraId="063914C5" w14:textId="77777777" w:rsidR="00D52504" w:rsidRPr="0012488B" w:rsidRDefault="00D52504" w:rsidP="00D52504">
      <w:pPr>
        <w:spacing w:line="240" w:lineRule="auto"/>
        <w:rPr>
          <w:b/>
          <w:szCs w:val="22"/>
          <w:lang w:val="sk-SK"/>
        </w:rPr>
      </w:pPr>
    </w:p>
    <w:p w14:paraId="56DE6AFC" w14:textId="2D29EF5C" w:rsidR="00D52504" w:rsidRPr="0012488B" w:rsidRDefault="00532B18" w:rsidP="00D52504">
      <w:pPr>
        <w:spacing w:line="240" w:lineRule="auto"/>
        <w:rPr>
          <w:szCs w:val="22"/>
          <w:lang w:val="sk-SK"/>
        </w:rPr>
      </w:pPr>
      <w:r w:rsidRPr="0012488B">
        <w:rPr>
          <w:szCs w:val="22"/>
          <w:lang w:val="sk-SK"/>
        </w:rPr>
        <w:t>58/0052/16-S</w:t>
      </w:r>
    </w:p>
    <w:p w14:paraId="3CD0713E" w14:textId="77777777" w:rsidR="00532B18" w:rsidRPr="0012488B" w:rsidRDefault="00532B18" w:rsidP="00D52504">
      <w:pPr>
        <w:spacing w:line="240" w:lineRule="auto"/>
        <w:rPr>
          <w:i/>
          <w:szCs w:val="22"/>
          <w:lang w:val="sk-SK"/>
        </w:rPr>
      </w:pPr>
    </w:p>
    <w:p w14:paraId="2DBB1FD6" w14:textId="77777777" w:rsidR="00D52504" w:rsidRPr="0012488B" w:rsidRDefault="00D52504" w:rsidP="00D52504">
      <w:pPr>
        <w:spacing w:line="240" w:lineRule="auto"/>
        <w:rPr>
          <w:i/>
          <w:szCs w:val="22"/>
          <w:lang w:val="sk-SK"/>
        </w:rPr>
      </w:pPr>
    </w:p>
    <w:p w14:paraId="7EC129DB" w14:textId="77777777" w:rsidR="00D52504" w:rsidRPr="0012488B" w:rsidRDefault="00D52504" w:rsidP="00D52504">
      <w:pPr>
        <w:spacing w:line="240" w:lineRule="auto"/>
        <w:rPr>
          <w:b/>
          <w:szCs w:val="22"/>
          <w:lang w:val="sk-SK"/>
        </w:rPr>
      </w:pPr>
      <w:r w:rsidRPr="0012488B">
        <w:rPr>
          <w:b/>
          <w:szCs w:val="22"/>
          <w:lang w:val="sk-SK"/>
        </w:rPr>
        <w:lastRenderedPageBreak/>
        <w:t>9.</w:t>
      </w:r>
      <w:r w:rsidRPr="0012488B">
        <w:rPr>
          <w:b/>
          <w:szCs w:val="22"/>
          <w:lang w:val="sk-SK"/>
        </w:rPr>
        <w:tab/>
        <w:t>DÁTUM PRVEJ REGISTRÁCIE/PREDĹŽENIA REGISTRÁCIE</w:t>
      </w:r>
    </w:p>
    <w:p w14:paraId="536FC3F3" w14:textId="77777777" w:rsidR="00D52504" w:rsidRPr="0012488B" w:rsidRDefault="00D52504" w:rsidP="00D52504">
      <w:pPr>
        <w:spacing w:line="240" w:lineRule="auto"/>
        <w:rPr>
          <w:b/>
          <w:szCs w:val="22"/>
          <w:lang w:val="sk-SK"/>
        </w:rPr>
      </w:pPr>
    </w:p>
    <w:p w14:paraId="01BD11D4" w14:textId="77777777" w:rsidR="00D52504" w:rsidRPr="0012488B" w:rsidRDefault="00D52504" w:rsidP="00D52504">
      <w:pPr>
        <w:spacing w:line="240" w:lineRule="auto"/>
        <w:rPr>
          <w:bCs/>
          <w:szCs w:val="22"/>
          <w:lang w:val="sk-SK"/>
        </w:rPr>
      </w:pPr>
      <w:r w:rsidRPr="0012488B">
        <w:rPr>
          <w:bCs/>
          <w:szCs w:val="22"/>
          <w:lang w:val="sk-SK"/>
        </w:rPr>
        <w:t>Dátum prvej registrácie:</w:t>
      </w:r>
    </w:p>
    <w:p w14:paraId="4D61AF9B" w14:textId="77777777" w:rsidR="00D52504" w:rsidRPr="0012488B" w:rsidRDefault="00D52504" w:rsidP="00D52504">
      <w:pPr>
        <w:spacing w:line="240" w:lineRule="auto"/>
        <w:rPr>
          <w:bCs/>
          <w:szCs w:val="22"/>
          <w:lang w:val="sk-SK"/>
        </w:rPr>
      </w:pPr>
      <w:r w:rsidRPr="0012488B">
        <w:rPr>
          <w:bCs/>
          <w:szCs w:val="22"/>
          <w:lang w:val="sk-SK"/>
        </w:rPr>
        <w:t xml:space="preserve">Dátum posledného predĺženia registrácie: </w:t>
      </w:r>
    </w:p>
    <w:p w14:paraId="379AB2FD" w14:textId="77777777" w:rsidR="00D52504" w:rsidRPr="0012488B" w:rsidRDefault="00D52504" w:rsidP="00D52504">
      <w:pPr>
        <w:spacing w:line="240" w:lineRule="auto"/>
        <w:rPr>
          <w:szCs w:val="22"/>
          <w:lang w:val="sk-SK"/>
        </w:rPr>
      </w:pPr>
    </w:p>
    <w:p w14:paraId="44D1710C" w14:textId="77777777" w:rsidR="00D52504" w:rsidRPr="0012488B" w:rsidRDefault="00D52504" w:rsidP="00D52504">
      <w:pPr>
        <w:spacing w:line="240" w:lineRule="auto"/>
        <w:rPr>
          <w:i/>
          <w:szCs w:val="22"/>
          <w:lang w:val="sk-SK"/>
        </w:rPr>
      </w:pPr>
    </w:p>
    <w:p w14:paraId="31EAAABC" w14:textId="77777777" w:rsidR="00D52504" w:rsidRPr="0012488B" w:rsidRDefault="00D52504" w:rsidP="00D52504">
      <w:pPr>
        <w:spacing w:line="240" w:lineRule="auto"/>
        <w:rPr>
          <w:szCs w:val="22"/>
          <w:lang w:val="sk-SK"/>
        </w:rPr>
      </w:pPr>
      <w:r w:rsidRPr="0012488B">
        <w:rPr>
          <w:b/>
          <w:szCs w:val="22"/>
          <w:lang w:val="sk-SK"/>
        </w:rPr>
        <w:t>10.</w:t>
      </w:r>
      <w:r w:rsidRPr="0012488B">
        <w:rPr>
          <w:b/>
          <w:szCs w:val="22"/>
          <w:lang w:val="sk-SK"/>
        </w:rPr>
        <w:tab/>
        <w:t>DÁTUM REVÍZIE TEXTU</w:t>
      </w:r>
    </w:p>
    <w:p w14:paraId="52602945" w14:textId="77777777" w:rsidR="00D52504" w:rsidRPr="0012488B" w:rsidRDefault="00D52504" w:rsidP="00D52504">
      <w:pPr>
        <w:tabs>
          <w:tab w:val="clear" w:pos="567"/>
        </w:tabs>
        <w:spacing w:line="240" w:lineRule="auto"/>
        <w:ind w:right="566"/>
        <w:rPr>
          <w:noProof/>
          <w:szCs w:val="22"/>
          <w:lang w:val="sk-SK"/>
        </w:rPr>
      </w:pPr>
    </w:p>
    <w:p w14:paraId="4E1C2CAF" w14:textId="119503FA" w:rsidR="00D646D7" w:rsidRDefault="002E7A46">
      <w:r w:rsidRPr="0012488B">
        <w:t>02</w:t>
      </w:r>
      <w:r w:rsidR="00EF2C28" w:rsidRPr="0012488B">
        <w:t>/201</w:t>
      </w:r>
      <w:r w:rsidR="00A33784" w:rsidRPr="0012488B">
        <w:t>6</w:t>
      </w:r>
      <w:bookmarkStart w:id="6" w:name="_GoBack"/>
      <w:bookmarkEnd w:id="6"/>
    </w:p>
    <w:sectPr w:rsidR="00D646D7" w:rsidSect="004C045C">
      <w:footerReference w:type="default" r:id="rId8"/>
      <w:headerReference w:type="first" r:id="rId9"/>
      <w:footerReference w:type="first" r:id="rId10"/>
      <w:endnotePr>
        <w:numFmt w:val="decimal"/>
      </w:endnotePr>
      <w:pgSz w:w="11907" w:h="16839" w:code="9"/>
      <w:pgMar w:top="1134" w:right="1134" w:bottom="1134" w:left="1134" w:header="737"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F86B5" w14:textId="77777777" w:rsidR="001E1D70" w:rsidRDefault="001E1D70" w:rsidP="00CA41B4">
      <w:pPr>
        <w:spacing w:line="240" w:lineRule="auto"/>
      </w:pPr>
      <w:r>
        <w:separator/>
      </w:r>
    </w:p>
  </w:endnote>
  <w:endnote w:type="continuationSeparator" w:id="0">
    <w:p w14:paraId="18556907" w14:textId="77777777" w:rsidR="001E1D70" w:rsidRDefault="001E1D70" w:rsidP="00CA4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E">
    <w:altName w:val="Courier New"/>
    <w:panose1 w:val="00000000000000000000"/>
    <w:charset w:val="FF"/>
    <w:family w:val="decorative"/>
    <w:notTrueType/>
    <w:pitch w:val="variable"/>
    <w:sig w:usb0="00000003"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98D8" w14:textId="77777777" w:rsidR="00864DF6" w:rsidRPr="005F2276" w:rsidRDefault="00864DF6">
    <w:pPr>
      <w:pStyle w:val="Pta"/>
      <w:jc w:val="center"/>
      <w:rPr>
        <w:rFonts w:ascii="Times New Roman" w:hAnsi="Times New Roman"/>
        <w:sz w:val="22"/>
        <w:szCs w:val="22"/>
      </w:rPr>
    </w:pPr>
    <w:r w:rsidRPr="005F2276">
      <w:rPr>
        <w:rFonts w:ascii="Times New Roman" w:hAnsi="Times New Roman"/>
        <w:sz w:val="22"/>
        <w:szCs w:val="22"/>
      </w:rPr>
      <w:fldChar w:fldCharType="begin"/>
    </w:r>
    <w:r w:rsidRPr="005F2276">
      <w:rPr>
        <w:rFonts w:ascii="Times New Roman" w:hAnsi="Times New Roman"/>
        <w:sz w:val="22"/>
        <w:szCs w:val="22"/>
      </w:rPr>
      <w:instrText>PAGE   \* MERGEFORMAT</w:instrText>
    </w:r>
    <w:r w:rsidRPr="005F2276">
      <w:rPr>
        <w:rFonts w:ascii="Times New Roman" w:hAnsi="Times New Roman"/>
        <w:sz w:val="22"/>
        <w:szCs w:val="22"/>
      </w:rPr>
      <w:fldChar w:fldCharType="separate"/>
    </w:r>
    <w:r w:rsidR="0012488B" w:rsidRPr="0012488B">
      <w:rPr>
        <w:rFonts w:ascii="Times New Roman" w:hAnsi="Times New Roman"/>
        <w:noProof/>
        <w:sz w:val="22"/>
        <w:szCs w:val="22"/>
        <w:lang w:val="sk-SK"/>
      </w:rPr>
      <w:t>11</w:t>
    </w:r>
    <w:r w:rsidRPr="005F2276">
      <w:rPr>
        <w:rFonts w:ascii="Times New Roman" w:hAnsi="Times New Roman"/>
        <w:sz w:val="22"/>
        <w:szCs w:val="22"/>
      </w:rPr>
      <w:fldChar w:fldCharType="end"/>
    </w:r>
  </w:p>
  <w:p w14:paraId="5AAC7E65" w14:textId="77777777" w:rsidR="00864DF6" w:rsidRDefault="00864DF6">
    <w:pPr>
      <w:pStyle w:val="Pta"/>
      <w:tabs>
        <w:tab w:val="clear" w:pos="8930"/>
        <w:tab w:val="right" w:pos="8931"/>
      </w:tabs>
      <w:ind w:right="9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148E" w14:textId="77777777" w:rsidR="00864DF6" w:rsidRPr="005F2276" w:rsidRDefault="00864DF6">
    <w:pPr>
      <w:pStyle w:val="Pta"/>
      <w:tabs>
        <w:tab w:val="clear" w:pos="8930"/>
        <w:tab w:val="right" w:pos="8931"/>
      </w:tabs>
      <w:ind w:right="96"/>
      <w:jc w:val="center"/>
      <w:rPr>
        <w:rFonts w:ascii="Times New Roman" w:hAnsi="Times New Roman"/>
        <w:sz w:val="22"/>
        <w:szCs w:val="22"/>
      </w:rPr>
    </w:pPr>
    <w:r>
      <w:fldChar w:fldCharType="begin"/>
    </w:r>
    <w:r>
      <w:instrText xml:space="preserve"> EQ </w:instrText>
    </w:r>
    <w:r>
      <w:fldChar w:fldCharType="end"/>
    </w:r>
    <w:r>
      <w:rPr>
        <w:rStyle w:val="slostrany"/>
        <w:sz w:val="22"/>
        <w:szCs w:val="22"/>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759AC" w14:textId="77777777" w:rsidR="001E1D70" w:rsidRDefault="001E1D70" w:rsidP="00CA41B4">
      <w:pPr>
        <w:spacing w:line="240" w:lineRule="auto"/>
      </w:pPr>
      <w:r>
        <w:separator/>
      </w:r>
    </w:p>
  </w:footnote>
  <w:footnote w:type="continuationSeparator" w:id="0">
    <w:p w14:paraId="6ED17AB1" w14:textId="77777777" w:rsidR="001E1D70" w:rsidRDefault="001E1D70" w:rsidP="00CA41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9D159" w14:textId="77777777" w:rsidR="00864DF6" w:rsidRPr="00A44894" w:rsidRDefault="00864DF6" w:rsidP="004C045C">
    <w:pPr>
      <w:pStyle w:val="Hlavika"/>
      <w:rPr>
        <w:rFonts w:ascii="Times New Roman" w:hAnsi="Times New Roman"/>
        <w:sz w:val="18"/>
        <w:szCs w:val="18"/>
        <w:lang w:val="sk-SK"/>
      </w:rPr>
    </w:pPr>
    <w:r w:rsidRPr="00A44894">
      <w:rPr>
        <w:rFonts w:ascii="Times New Roman" w:hAnsi="Times New Roman"/>
        <w:sz w:val="18"/>
        <w:szCs w:val="18"/>
        <w:lang w:val="sk-SK"/>
      </w:rPr>
      <w:t>Schválený text k rozhodnutiu o registrácii, ev.č.:  2014/0673</w:t>
    </w:r>
    <w:r>
      <w:rPr>
        <w:rFonts w:ascii="Times New Roman" w:hAnsi="Times New Roman"/>
        <w:sz w:val="18"/>
        <w:szCs w:val="18"/>
        <w:lang w:val="sk-SK"/>
      </w:rPr>
      <w:t>9</w:t>
    </w:r>
    <w:r w:rsidRPr="00A44894">
      <w:rPr>
        <w:rFonts w:ascii="Times New Roman" w:hAnsi="Times New Roman"/>
        <w:sz w:val="18"/>
        <w:szCs w:val="18"/>
        <w:lang w:val="sk-SK"/>
      </w:rPr>
      <w:t>-REG</w:t>
    </w:r>
  </w:p>
  <w:p w14:paraId="04710B44" w14:textId="77777777" w:rsidR="00864DF6" w:rsidRDefault="00864DF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5B82F2E"/>
    <w:lvl w:ilvl="0">
      <w:start w:val="1"/>
      <w:numFmt w:val="decimal"/>
      <w:pStyle w:val="slovanzoznam4"/>
      <w:lvlText w:val="%1."/>
      <w:lvlJc w:val="left"/>
      <w:pPr>
        <w:tabs>
          <w:tab w:val="num" w:pos="1209"/>
        </w:tabs>
        <w:ind w:left="1209"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8BB79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4" w15:restartNumberingAfterBreak="0">
    <w:nsid w:val="24F171CE"/>
    <w:multiLevelType w:val="multilevel"/>
    <w:tmpl w:val="845668BC"/>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C4D4C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E761AA8"/>
    <w:multiLevelType w:val="hybridMultilevel"/>
    <w:tmpl w:val="F2789784"/>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E96540"/>
    <w:multiLevelType w:val="hybridMultilevel"/>
    <w:tmpl w:val="15163F72"/>
    <w:lvl w:ilvl="0" w:tplc="FD6CA7D6">
      <w:start w:val="2"/>
      <w:numFmt w:val="bullet"/>
      <w:lvlText w:val="-"/>
      <w:lvlJc w:val="left"/>
      <w:pPr>
        <w:tabs>
          <w:tab w:val="num" w:pos="927"/>
        </w:tabs>
        <w:ind w:left="927" w:hanging="360"/>
      </w:pPr>
      <w:rPr>
        <w:rFonts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3ECE3724"/>
    <w:multiLevelType w:val="hybridMultilevel"/>
    <w:tmpl w:val="18EC7286"/>
    <w:lvl w:ilvl="0" w:tplc="040C000F">
      <w:start w:val="1"/>
      <w:numFmt w:val="decimal"/>
      <w:lvlText w:val="%1."/>
      <w:lvlJc w:val="left"/>
      <w:pPr>
        <w:tabs>
          <w:tab w:val="num" w:pos="720"/>
        </w:tabs>
        <w:ind w:left="720" w:hanging="360"/>
      </w:pPr>
    </w:lvl>
    <w:lvl w:ilvl="1" w:tplc="42981C6A">
      <w:start w:val="1"/>
      <w:numFmt w:val="bullet"/>
      <w:lvlText w:val=""/>
      <w:lvlJc w:val="left"/>
      <w:pPr>
        <w:tabs>
          <w:tab w:val="num" w:pos="1476"/>
        </w:tabs>
        <w:ind w:left="1476" w:hanging="396"/>
      </w:pPr>
      <w:rPr>
        <w:rFonts w:ascii="Symbol" w:hAnsi="Symbol" w:hint="default"/>
        <w:sz w:val="16"/>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42625A2D"/>
    <w:multiLevelType w:val="hybridMultilevel"/>
    <w:tmpl w:val="8ED0654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A2ECF"/>
    <w:multiLevelType w:val="hybridMultilevel"/>
    <w:tmpl w:val="B406E894"/>
    <w:lvl w:ilvl="0" w:tplc="642C7F36">
      <w:start w:val="5"/>
      <w:numFmt w:val="bullet"/>
      <w:lvlText w:val="–"/>
      <w:lvlJc w:val="left"/>
      <w:pPr>
        <w:tabs>
          <w:tab w:val="num" w:pos="1245"/>
        </w:tabs>
        <w:ind w:left="1245" w:hanging="360"/>
      </w:pPr>
      <w:rPr>
        <w:rFonts w:ascii="Times New Roman" w:eastAsia="Times New Roman" w:hAnsi="Times New Roman" w:cs="Times New Roman" w:hint="default"/>
      </w:rPr>
    </w:lvl>
    <w:lvl w:ilvl="1" w:tplc="041B0003" w:tentative="1">
      <w:start w:val="1"/>
      <w:numFmt w:val="bullet"/>
      <w:lvlText w:val="o"/>
      <w:lvlJc w:val="left"/>
      <w:pPr>
        <w:tabs>
          <w:tab w:val="num" w:pos="1965"/>
        </w:tabs>
        <w:ind w:left="1965" w:hanging="360"/>
      </w:pPr>
      <w:rPr>
        <w:rFonts w:ascii="Courier New" w:hAnsi="Courier New" w:cs="Courier New" w:hint="default"/>
      </w:rPr>
    </w:lvl>
    <w:lvl w:ilvl="2" w:tplc="041B0005" w:tentative="1">
      <w:start w:val="1"/>
      <w:numFmt w:val="bullet"/>
      <w:lvlText w:val=""/>
      <w:lvlJc w:val="left"/>
      <w:pPr>
        <w:tabs>
          <w:tab w:val="num" w:pos="2685"/>
        </w:tabs>
        <w:ind w:left="2685" w:hanging="360"/>
      </w:pPr>
      <w:rPr>
        <w:rFonts w:ascii="Wingdings" w:hAnsi="Wingdings" w:hint="default"/>
      </w:rPr>
    </w:lvl>
    <w:lvl w:ilvl="3" w:tplc="041B0001" w:tentative="1">
      <w:start w:val="1"/>
      <w:numFmt w:val="bullet"/>
      <w:lvlText w:val=""/>
      <w:lvlJc w:val="left"/>
      <w:pPr>
        <w:tabs>
          <w:tab w:val="num" w:pos="3405"/>
        </w:tabs>
        <w:ind w:left="3405" w:hanging="360"/>
      </w:pPr>
      <w:rPr>
        <w:rFonts w:ascii="Symbol" w:hAnsi="Symbol" w:hint="default"/>
      </w:rPr>
    </w:lvl>
    <w:lvl w:ilvl="4" w:tplc="041B0003" w:tentative="1">
      <w:start w:val="1"/>
      <w:numFmt w:val="bullet"/>
      <w:lvlText w:val="o"/>
      <w:lvlJc w:val="left"/>
      <w:pPr>
        <w:tabs>
          <w:tab w:val="num" w:pos="4125"/>
        </w:tabs>
        <w:ind w:left="4125" w:hanging="360"/>
      </w:pPr>
      <w:rPr>
        <w:rFonts w:ascii="Courier New" w:hAnsi="Courier New" w:cs="Courier New" w:hint="default"/>
      </w:rPr>
    </w:lvl>
    <w:lvl w:ilvl="5" w:tplc="041B0005" w:tentative="1">
      <w:start w:val="1"/>
      <w:numFmt w:val="bullet"/>
      <w:lvlText w:val=""/>
      <w:lvlJc w:val="left"/>
      <w:pPr>
        <w:tabs>
          <w:tab w:val="num" w:pos="4845"/>
        </w:tabs>
        <w:ind w:left="4845" w:hanging="360"/>
      </w:pPr>
      <w:rPr>
        <w:rFonts w:ascii="Wingdings" w:hAnsi="Wingdings" w:hint="default"/>
      </w:rPr>
    </w:lvl>
    <w:lvl w:ilvl="6" w:tplc="041B0001" w:tentative="1">
      <w:start w:val="1"/>
      <w:numFmt w:val="bullet"/>
      <w:lvlText w:val=""/>
      <w:lvlJc w:val="left"/>
      <w:pPr>
        <w:tabs>
          <w:tab w:val="num" w:pos="5565"/>
        </w:tabs>
        <w:ind w:left="5565" w:hanging="360"/>
      </w:pPr>
      <w:rPr>
        <w:rFonts w:ascii="Symbol" w:hAnsi="Symbol" w:hint="default"/>
      </w:rPr>
    </w:lvl>
    <w:lvl w:ilvl="7" w:tplc="041B0003" w:tentative="1">
      <w:start w:val="1"/>
      <w:numFmt w:val="bullet"/>
      <w:lvlText w:val="o"/>
      <w:lvlJc w:val="left"/>
      <w:pPr>
        <w:tabs>
          <w:tab w:val="num" w:pos="6285"/>
        </w:tabs>
        <w:ind w:left="6285" w:hanging="360"/>
      </w:pPr>
      <w:rPr>
        <w:rFonts w:ascii="Courier New" w:hAnsi="Courier New" w:cs="Courier New" w:hint="default"/>
      </w:rPr>
    </w:lvl>
    <w:lvl w:ilvl="8" w:tplc="041B0005" w:tentative="1">
      <w:start w:val="1"/>
      <w:numFmt w:val="bullet"/>
      <w:lvlText w:val=""/>
      <w:lvlJc w:val="left"/>
      <w:pPr>
        <w:tabs>
          <w:tab w:val="num" w:pos="7005"/>
        </w:tabs>
        <w:ind w:left="7005" w:hanging="360"/>
      </w:pPr>
      <w:rPr>
        <w:rFonts w:ascii="Wingdings" w:hAnsi="Wingdings" w:hint="default"/>
      </w:rPr>
    </w:lvl>
  </w:abstractNum>
  <w:abstractNum w:abstractNumId="12" w15:restartNumberingAfterBreak="0">
    <w:nsid w:val="51270A2B"/>
    <w:multiLevelType w:val="hybridMultilevel"/>
    <w:tmpl w:val="7242B822"/>
    <w:lvl w:ilvl="0" w:tplc="17DA6AB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8D5659"/>
    <w:multiLevelType w:val="hybridMultilevel"/>
    <w:tmpl w:val="D4AE95A2"/>
    <w:lvl w:ilvl="0" w:tplc="FFFFFFFF">
      <w:start w:val="1"/>
      <w:numFmt w:val="bullet"/>
      <w:lvlText w:val="-"/>
      <w:legacy w:legacy="1" w:legacySpace="0" w:legacyIndent="360"/>
      <w:lvlJc w:val="left"/>
      <w:pPr>
        <w:ind w:left="360" w:hanging="360"/>
      </w:p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B6F04BB"/>
    <w:multiLevelType w:val="hybridMultilevel"/>
    <w:tmpl w:val="490002CC"/>
    <w:lvl w:ilvl="0" w:tplc="FD6CA7D6">
      <w:start w:val="2"/>
      <w:numFmt w:val="bullet"/>
      <w:lvlText w:val="-"/>
      <w:lvlJc w:val="left"/>
      <w:pPr>
        <w:tabs>
          <w:tab w:val="num" w:pos="360"/>
        </w:tabs>
        <w:ind w:left="36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17" w15:restartNumberingAfterBreak="0">
    <w:nsid w:val="7C5D4FBA"/>
    <w:multiLevelType w:val="hybridMultilevel"/>
    <w:tmpl w:val="9BB04C8E"/>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360" w:hanging="360"/>
        </w:pPr>
      </w:lvl>
    </w:lvlOverride>
  </w:num>
  <w:num w:numId="2">
    <w:abstractNumId w:val="16"/>
  </w:num>
  <w:num w:numId="3">
    <w:abstractNumId w:val="14"/>
  </w:num>
  <w:num w:numId="4">
    <w:abstractNumId w:val="6"/>
  </w:num>
  <w:num w:numId="5">
    <w:abstractNumId w:val="3"/>
  </w:num>
  <w:num w:numId="6">
    <w:abstractNumId w:val="15"/>
  </w:num>
  <w:num w:numId="7">
    <w:abstractNumId w:val="1"/>
    <w:lvlOverride w:ilvl="0">
      <w:lvl w:ilvl="0">
        <w:start w:val="1"/>
        <w:numFmt w:val="bullet"/>
        <w:lvlText w:val="-"/>
        <w:legacy w:legacy="1" w:legacySpace="0" w:legacyIndent="360"/>
        <w:lvlJc w:val="left"/>
        <w:pPr>
          <w:ind w:left="360" w:hanging="360"/>
        </w:pPr>
      </w:lvl>
    </w:lvlOverride>
  </w:num>
  <w:num w:numId="8">
    <w:abstractNumId w:val="13"/>
  </w:num>
  <w:num w:numId="9">
    <w:abstractNumId w:val="8"/>
  </w:num>
  <w:num w:numId="10">
    <w:abstractNumId w:val="0"/>
  </w:num>
  <w:num w:numId="11">
    <w:abstractNumId w:val="2"/>
  </w:num>
  <w:num w:numId="12">
    <w:abstractNumId w:val="4"/>
  </w:num>
  <w:num w:numId="13">
    <w:abstractNumId w:val="5"/>
  </w:num>
  <w:num w:numId="14">
    <w:abstractNumId w:val="7"/>
  </w:num>
  <w:num w:numId="15">
    <w:abstractNumId w:val="11"/>
  </w:num>
  <w:num w:numId="16">
    <w:abstractNumId w:val="9"/>
  </w:num>
  <w:num w:numId="17">
    <w:abstractNumId w:val="12"/>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D52504"/>
    <w:rsid w:val="00042E1B"/>
    <w:rsid w:val="0008253E"/>
    <w:rsid w:val="00095021"/>
    <w:rsid w:val="001211CF"/>
    <w:rsid w:val="0012488B"/>
    <w:rsid w:val="001260BE"/>
    <w:rsid w:val="00176E50"/>
    <w:rsid w:val="001E1D70"/>
    <w:rsid w:val="00205CB7"/>
    <w:rsid w:val="002637D8"/>
    <w:rsid w:val="002E7A46"/>
    <w:rsid w:val="002F31C2"/>
    <w:rsid w:val="0040169D"/>
    <w:rsid w:val="004C045C"/>
    <w:rsid w:val="00532B18"/>
    <w:rsid w:val="005642DA"/>
    <w:rsid w:val="005B4C59"/>
    <w:rsid w:val="005C1E64"/>
    <w:rsid w:val="005F20DA"/>
    <w:rsid w:val="00624256"/>
    <w:rsid w:val="006C2033"/>
    <w:rsid w:val="006C398C"/>
    <w:rsid w:val="00725073"/>
    <w:rsid w:val="0074555B"/>
    <w:rsid w:val="00767CA3"/>
    <w:rsid w:val="00864DF6"/>
    <w:rsid w:val="008A3D1C"/>
    <w:rsid w:val="009641F5"/>
    <w:rsid w:val="009667F6"/>
    <w:rsid w:val="009A1C98"/>
    <w:rsid w:val="009A5F1A"/>
    <w:rsid w:val="009A7D2C"/>
    <w:rsid w:val="009C51B7"/>
    <w:rsid w:val="009D1BAA"/>
    <w:rsid w:val="009D5995"/>
    <w:rsid w:val="009F6D7E"/>
    <w:rsid w:val="00A23FBB"/>
    <w:rsid w:val="00A33784"/>
    <w:rsid w:val="00A72D8D"/>
    <w:rsid w:val="00A93A78"/>
    <w:rsid w:val="00BA6BC8"/>
    <w:rsid w:val="00CA41B4"/>
    <w:rsid w:val="00CD4EAA"/>
    <w:rsid w:val="00CF53B1"/>
    <w:rsid w:val="00D2338F"/>
    <w:rsid w:val="00D267C6"/>
    <w:rsid w:val="00D52504"/>
    <w:rsid w:val="00D646D7"/>
    <w:rsid w:val="00D77292"/>
    <w:rsid w:val="00D85334"/>
    <w:rsid w:val="00E4356E"/>
    <w:rsid w:val="00E45C94"/>
    <w:rsid w:val="00E65F66"/>
    <w:rsid w:val="00E73893"/>
    <w:rsid w:val="00E80A39"/>
    <w:rsid w:val="00EF2C28"/>
    <w:rsid w:val="00FA4D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A5FA965"/>
  <w15:docId w15:val="{AF163E20-2E99-44D6-95E7-7F1FEEEA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52504"/>
    <w:pPr>
      <w:tabs>
        <w:tab w:val="left" w:pos="567"/>
      </w:tabs>
      <w:spacing w:after="0" w:line="260" w:lineRule="exact"/>
    </w:pPr>
    <w:rPr>
      <w:rFonts w:ascii="Times New Roman" w:eastAsia="Times New Roman" w:hAnsi="Times New Roman" w:cs="Times New Roman"/>
      <w:szCs w:val="20"/>
      <w:lang w:val="en-GB"/>
    </w:rPr>
  </w:style>
  <w:style w:type="paragraph" w:styleId="Nadpis1">
    <w:name w:val="heading 1"/>
    <w:aliases w:val="Info rubrik 1"/>
    <w:basedOn w:val="Normlny"/>
    <w:next w:val="Normlny"/>
    <w:link w:val="Nadpis1Char"/>
    <w:qFormat/>
    <w:rsid w:val="00D52504"/>
    <w:pPr>
      <w:spacing w:before="240" w:after="120"/>
      <w:ind w:left="357" w:hanging="357"/>
      <w:outlineLvl w:val="0"/>
    </w:pPr>
    <w:rPr>
      <w:b/>
      <w:caps/>
      <w:sz w:val="26"/>
      <w:lang w:val="en-US"/>
    </w:rPr>
  </w:style>
  <w:style w:type="paragraph" w:styleId="Nadpis2">
    <w:name w:val="heading 2"/>
    <w:basedOn w:val="Normlny"/>
    <w:next w:val="Normlny"/>
    <w:link w:val="Nadpis2Char"/>
    <w:qFormat/>
    <w:rsid w:val="00D52504"/>
    <w:pPr>
      <w:keepNext/>
      <w:spacing w:before="240" w:after="60"/>
      <w:outlineLvl w:val="1"/>
    </w:pPr>
    <w:rPr>
      <w:rFonts w:ascii="Helvetica" w:hAnsi="Helvetica"/>
      <w:b/>
      <w:i/>
      <w:sz w:val="24"/>
    </w:rPr>
  </w:style>
  <w:style w:type="paragraph" w:styleId="Nadpis3">
    <w:name w:val="heading 3"/>
    <w:basedOn w:val="Normlny"/>
    <w:next w:val="Normlny"/>
    <w:link w:val="Nadpis3Char"/>
    <w:qFormat/>
    <w:rsid w:val="00D52504"/>
    <w:pPr>
      <w:keepNext/>
      <w:keepLines/>
      <w:spacing w:before="120" w:after="80"/>
      <w:outlineLvl w:val="2"/>
    </w:pPr>
    <w:rPr>
      <w:b/>
      <w:kern w:val="28"/>
      <w:sz w:val="24"/>
      <w:lang w:val="en-US"/>
    </w:rPr>
  </w:style>
  <w:style w:type="paragraph" w:styleId="Nadpis4">
    <w:name w:val="heading 4"/>
    <w:basedOn w:val="Normlny"/>
    <w:next w:val="Normlny"/>
    <w:link w:val="Nadpis4Char"/>
    <w:qFormat/>
    <w:rsid w:val="00D52504"/>
    <w:pPr>
      <w:keepNext/>
      <w:jc w:val="both"/>
      <w:outlineLvl w:val="3"/>
    </w:pPr>
    <w:rPr>
      <w:b/>
      <w:noProof/>
    </w:rPr>
  </w:style>
  <w:style w:type="paragraph" w:styleId="Nadpis5">
    <w:name w:val="heading 5"/>
    <w:basedOn w:val="Normlny"/>
    <w:next w:val="Normlny"/>
    <w:link w:val="Nadpis5Char"/>
    <w:qFormat/>
    <w:rsid w:val="00D52504"/>
    <w:pPr>
      <w:keepNext/>
      <w:jc w:val="both"/>
      <w:outlineLvl w:val="4"/>
    </w:pPr>
    <w:rPr>
      <w:noProof/>
    </w:rPr>
  </w:style>
  <w:style w:type="paragraph" w:styleId="Nadpis6">
    <w:name w:val="heading 6"/>
    <w:basedOn w:val="Normlny"/>
    <w:next w:val="Normlny"/>
    <w:link w:val="Nadpis6Char"/>
    <w:qFormat/>
    <w:rsid w:val="00D52504"/>
    <w:pPr>
      <w:keepNext/>
      <w:tabs>
        <w:tab w:val="left" w:pos="-720"/>
        <w:tab w:val="left" w:pos="4536"/>
      </w:tabs>
      <w:suppressAutoHyphens/>
      <w:outlineLvl w:val="5"/>
    </w:pPr>
    <w:rPr>
      <w:i/>
    </w:rPr>
  </w:style>
  <w:style w:type="paragraph" w:styleId="Nadpis7">
    <w:name w:val="heading 7"/>
    <w:basedOn w:val="Normlny"/>
    <w:next w:val="Normlny"/>
    <w:link w:val="Nadpis7Char"/>
    <w:qFormat/>
    <w:rsid w:val="00D52504"/>
    <w:pPr>
      <w:keepNext/>
      <w:tabs>
        <w:tab w:val="left" w:pos="-720"/>
        <w:tab w:val="left" w:pos="4536"/>
      </w:tabs>
      <w:suppressAutoHyphens/>
      <w:jc w:val="both"/>
      <w:outlineLvl w:val="6"/>
    </w:pPr>
    <w:rPr>
      <w:i/>
    </w:rPr>
  </w:style>
  <w:style w:type="paragraph" w:styleId="Nadpis8">
    <w:name w:val="heading 8"/>
    <w:basedOn w:val="Normlny"/>
    <w:next w:val="Normlny"/>
    <w:link w:val="Nadpis8Char"/>
    <w:qFormat/>
    <w:rsid w:val="00D52504"/>
    <w:pPr>
      <w:keepNext/>
      <w:ind w:left="567" w:hanging="567"/>
      <w:jc w:val="both"/>
      <w:outlineLvl w:val="7"/>
    </w:pPr>
    <w:rPr>
      <w:b/>
      <w:i/>
    </w:rPr>
  </w:style>
  <w:style w:type="paragraph" w:styleId="Nadpis9">
    <w:name w:val="heading 9"/>
    <w:basedOn w:val="Normlny"/>
    <w:next w:val="Normlny"/>
    <w:link w:val="Nadpis9Char"/>
    <w:qFormat/>
    <w:rsid w:val="00D52504"/>
    <w:pPr>
      <w:keepNext/>
      <w:jc w:val="both"/>
      <w:outlineLvl w:val="8"/>
    </w:pPr>
    <w:rPr>
      <w:b/>
      <w:i/>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Info rubrik 1 Char"/>
    <w:basedOn w:val="Predvolenpsmoodseku"/>
    <w:link w:val="Nadpis1"/>
    <w:rsid w:val="00D52504"/>
    <w:rPr>
      <w:rFonts w:ascii="Times New Roman" w:eastAsia="Times New Roman" w:hAnsi="Times New Roman" w:cs="Times New Roman"/>
      <w:b/>
      <w:caps/>
      <w:sz w:val="26"/>
      <w:szCs w:val="20"/>
    </w:rPr>
  </w:style>
  <w:style w:type="character" w:customStyle="1" w:styleId="Nadpis2Char">
    <w:name w:val="Nadpis 2 Char"/>
    <w:basedOn w:val="Predvolenpsmoodseku"/>
    <w:link w:val="Nadpis2"/>
    <w:rsid w:val="00D52504"/>
    <w:rPr>
      <w:rFonts w:ascii="Helvetica" w:eastAsia="Times New Roman" w:hAnsi="Helvetica" w:cs="Times New Roman"/>
      <w:b/>
      <w:i/>
      <w:sz w:val="24"/>
      <w:szCs w:val="20"/>
      <w:lang w:val="en-GB"/>
    </w:rPr>
  </w:style>
  <w:style w:type="character" w:customStyle="1" w:styleId="Nadpis3Char">
    <w:name w:val="Nadpis 3 Char"/>
    <w:basedOn w:val="Predvolenpsmoodseku"/>
    <w:link w:val="Nadpis3"/>
    <w:rsid w:val="00D52504"/>
    <w:rPr>
      <w:rFonts w:ascii="Times New Roman" w:eastAsia="Times New Roman" w:hAnsi="Times New Roman" w:cs="Times New Roman"/>
      <w:b/>
      <w:kern w:val="28"/>
      <w:sz w:val="24"/>
      <w:szCs w:val="20"/>
    </w:rPr>
  </w:style>
  <w:style w:type="character" w:customStyle="1" w:styleId="Nadpis4Char">
    <w:name w:val="Nadpis 4 Char"/>
    <w:basedOn w:val="Predvolenpsmoodseku"/>
    <w:link w:val="Nadpis4"/>
    <w:rsid w:val="00D52504"/>
    <w:rPr>
      <w:rFonts w:ascii="Times New Roman" w:eastAsia="Times New Roman" w:hAnsi="Times New Roman" w:cs="Times New Roman"/>
      <w:b/>
      <w:noProof/>
      <w:szCs w:val="20"/>
      <w:lang w:val="en-GB"/>
    </w:rPr>
  </w:style>
  <w:style w:type="character" w:customStyle="1" w:styleId="Nadpis5Char">
    <w:name w:val="Nadpis 5 Char"/>
    <w:basedOn w:val="Predvolenpsmoodseku"/>
    <w:link w:val="Nadpis5"/>
    <w:rsid w:val="00D52504"/>
    <w:rPr>
      <w:rFonts w:ascii="Times New Roman" w:eastAsia="Times New Roman" w:hAnsi="Times New Roman" w:cs="Times New Roman"/>
      <w:noProof/>
      <w:szCs w:val="20"/>
      <w:lang w:val="en-GB"/>
    </w:rPr>
  </w:style>
  <w:style w:type="character" w:customStyle="1" w:styleId="Nadpis6Char">
    <w:name w:val="Nadpis 6 Char"/>
    <w:basedOn w:val="Predvolenpsmoodseku"/>
    <w:link w:val="Nadpis6"/>
    <w:rsid w:val="00D52504"/>
    <w:rPr>
      <w:rFonts w:ascii="Times New Roman" w:eastAsia="Times New Roman" w:hAnsi="Times New Roman" w:cs="Times New Roman"/>
      <w:i/>
      <w:szCs w:val="20"/>
      <w:lang w:val="en-GB"/>
    </w:rPr>
  </w:style>
  <w:style w:type="character" w:customStyle="1" w:styleId="Nadpis7Char">
    <w:name w:val="Nadpis 7 Char"/>
    <w:basedOn w:val="Predvolenpsmoodseku"/>
    <w:link w:val="Nadpis7"/>
    <w:rsid w:val="00D52504"/>
    <w:rPr>
      <w:rFonts w:ascii="Times New Roman" w:eastAsia="Times New Roman" w:hAnsi="Times New Roman" w:cs="Times New Roman"/>
      <w:i/>
      <w:szCs w:val="20"/>
      <w:lang w:val="en-GB"/>
    </w:rPr>
  </w:style>
  <w:style w:type="character" w:customStyle="1" w:styleId="Nadpis8Char">
    <w:name w:val="Nadpis 8 Char"/>
    <w:basedOn w:val="Predvolenpsmoodseku"/>
    <w:link w:val="Nadpis8"/>
    <w:rsid w:val="00D52504"/>
    <w:rPr>
      <w:rFonts w:ascii="Times New Roman" w:eastAsia="Times New Roman" w:hAnsi="Times New Roman" w:cs="Times New Roman"/>
      <w:b/>
      <w:i/>
      <w:szCs w:val="20"/>
      <w:lang w:val="en-GB"/>
    </w:rPr>
  </w:style>
  <w:style w:type="character" w:customStyle="1" w:styleId="Nadpis9Char">
    <w:name w:val="Nadpis 9 Char"/>
    <w:basedOn w:val="Predvolenpsmoodseku"/>
    <w:link w:val="Nadpis9"/>
    <w:rsid w:val="00D52504"/>
    <w:rPr>
      <w:rFonts w:ascii="Times New Roman" w:eastAsia="Times New Roman" w:hAnsi="Times New Roman" w:cs="Times New Roman"/>
      <w:b/>
      <w:i/>
      <w:szCs w:val="20"/>
      <w:lang w:val="en-GB"/>
    </w:rPr>
  </w:style>
  <w:style w:type="paragraph" w:styleId="Hlavika">
    <w:name w:val="header"/>
    <w:basedOn w:val="Normlny"/>
    <w:link w:val="HlavikaChar"/>
    <w:rsid w:val="00D52504"/>
    <w:pPr>
      <w:tabs>
        <w:tab w:val="center" w:pos="4153"/>
        <w:tab w:val="right" w:pos="8306"/>
      </w:tabs>
      <w:spacing w:line="240" w:lineRule="auto"/>
    </w:pPr>
    <w:rPr>
      <w:rFonts w:ascii="Helvetica" w:hAnsi="Helvetica"/>
      <w:sz w:val="20"/>
    </w:rPr>
  </w:style>
  <w:style w:type="character" w:customStyle="1" w:styleId="HlavikaChar">
    <w:name w:val="Hlavička Char"/>
    <w:basedOn w:val="Predvolenpsmoodseku"/>
    <w:link w:val="Hlavika"/>
    <w:rsid w:val="00D52504"/>
    <w:rPr>
      <w:rFonts w:ascii="Helvetica" w:eastAsia="Times New Roman" w:hAnsi="Helvetica" w:cs="Times New Roman"/>
      <w:sz w:val="20"/>
      <w:szCs w:val="20"/>
      <w:lang w:val="en-GB"/>
    </w:rPr>
  </w:style>
  <w:style w:type="paragraph" w:styleId="Pta">
    <w:name w:val="footer"/>
    <w:basedOn w:val="Normlny"/>
    <w:link w:val="PtaChar"/>
    <w:uiPriority w:val="99"/>
    <w:rsid w:val="00D52504"/>
    <w:pPr>
      <w:tabs>
        <w:tab w:val="center" w:pos="4536"/>
        <w:tab w:val="center" w:pos="8930"/>
      </w:tabs>
      <w:spacing w:line="240" w:lineRule="auto"/>
    </w:pPr>
    <w:rPr>
      <w:rFonts w:ascii="Helvetica" w:hAnsi="Helvetica"/>
      <w:sz w:val="16"/>
    </w:rPr>
  </w:style>
  <w:style w:type="character" w:customStyle="1" w:styleId="PtaChar">
    <w:name w:val="Päta Char"/>
    <w:basedOn w:val="Predvolenpsmoodseku"/>
    <w:link w:val="Pta"/>
    <w:uiPriority w:val="99"/>
    <w:rsid w:val="00D52504"/>
    <w:rPr>
      <w:rFonts w:ascii="Helvetica" w:eastAsia="Times New Roman" w:hAnsi="Helvetica" w:cs="Times New Roman"/>
      <w:sz w:val="16"/>
      <w:szCs w:val="20"/>
      <w:lang w:val="en-GB"/>
    </w:rPr>
  </w:style>
  <w:style w:type="character" w:styleId="slostrany">
    <w:name w:val="page number"/>
    <w:basedOn w:val="Predvolenpsmoodseku"/>
    <w:rsid w:val="00D52504"/>
  </w:style>
  <w:style w:type="paragraph" w:styleId="Zarkazkladnhotextu">
    <w:name w:val="Body Text Indent"/>
    <w:basedOn w:val="Normlny"/>
    <w:link w:val="ZarkazkladnhotextuChar"/>
    <w:rsid w:val="00D52504"/>
    <w:pPr>
      <w:tabs>
        <w:tab w:val="clear" w:pos="567"/>
      </w:tabs>
      <w:autoSpaceDE w:val="0"/>
      <w:autoSpaceDN w:val="0"/>
      <w:adjustRightInd w:val="0"/>
      <w:spacing w:line="240" w:lineRule="auto"/>
      <w:ind w:left="720"/>
      <w:jc w:val="both"/>
    </w:pPr>
    <w:rPr>
      <w:szCs w:val="22"/>
      <w:lang w:eastAsia="en-GB"/>
    </w:rPr>
  </w:style>
  <w:style w:type="character" w:customStyle="1" w:styleId="ZarkazkladnhotextuChar">
    <w:name w:val="Zarážka základného textu Char"/>
    <w:basedOn w:val="Predvolenpsmoodseku"/>
    <w:link w:val="Zarkazkladnhotextu"/>
    <w:rsid w:val="00D52504"/>
    <w:rPr>
      <w:rFonts w:ascii="Times New Roman" w:eastAsia="Times New Roman" w:hAnsi="Times New Roman" w:cs="Times New Roman"/>
      <w:lang w:val="en-GB" w:eastAsia="en-GB"/>
    </w:rPr>
  </w:style>
  <w:style w:type="paragraph" w:styleId="Zkladntext3">
    <w:name w:val="Body Text 3"/>
    <w:basedOn w:val="Normlny"/>
    <w:link w:val="Zkladntext3Char"/>
    <w:rsid w:val="00D52504"/>
    <w:pPr>
      <w:tabs>
        <w:tab w:val="clear" w:pos="567"/>
      </w:tabs>
      <w:autoSpaceDE w:val="0"/>
      <w:autoSpaceDN w:val="0"/>
      <w:adjustRightInd w:val="0"/>
      <w:spacing w:line="240" w:lineRule="auto"/>
      <w:jc w:val="both"/>
    </w:pPr>
    <w:rPr>
      <w:color w:val="0000FF"/>
      <w:szCs w:val="22"/>
      <w:lang w:eastAsia="en-GB"/>
    </w:rPr>
  </w:style>
  <w:style w:type="character" w:customStyle="1" w:styleId="Zkladntext3Char">
    <w:name w:val="Základný text 3 Char"/>
    <w:basedOn w:val="Predvolenpsmoodseku"/>
    <w:link w:val="Zkladntext3"/>
    <w:rsid w:val="00D52504"/>
    <w:rPr>
      <w:rFonts w:ascii="Times New Roman" w:eastAsia="Times New Roman" w:hAnsi="Times New Roman" w:cs="Times New Roman"/>
      <w:color w:val="0000FF"/>
      <w:lang w:val="en-GB" w:eastAsia="en-GB"/>
    </w:rPr>
  </w:style>
  <w:style w:type="paragraph" w:styleId="Zarkazkladnhotextu2">
    <w:name w:val="Body Text Indent 2"/>
    <w:basedOn w:val="Normlny"/>
    <w:link w:val="Zarkazkladnhotextu2Char"/>
    <w:rsid w:val="00D52504"/>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character" w:customStyle="1" w:styleId="Zarkazkladnhotextu2Char">
    <w:name w:val="Zarážka základného textu 2 Char"/>
    <w:basedOn w:val="Predvolenpsmoodseku"/>
    <w:link w:val="Zarkazkladnhotextu2"/>
    <w:rsid w:val="00D52504"/>
    <w:rPr>
      <w:rFonts w:ascii="Times New Roman" w:eastAsia="Times New Roman" w:hAnsi="Times New Roman" w:cs="Times New Roman"/>
      <w:b/>
      <w:bCs/>
      <w:color w:val="0000FF"/>
      <w:lang w:val="en-GB"/>
    </w:rPr>
  </w:style>
  <w:style w:type="paragraph" w:styleId="Zkladntext">
    <w:name w:val="Body Text"/>
    <w:basedOn w:val="Normlny"/>
    <w:link w:val="ZkladntextChar"/>
    <w:rsid w:val="00D52504"/>
    <w:pPr>
      <w:tabs>
        <w:tab w:val="clear" w:pos="567"/>
      </w:tabs>
      <w:spacing w:line="240" w:lineRule="auto"/>
    </w:pPr>
    <w:rPr>
      <w:i/>
      <w:color w:val="008000"/>
    </w:rPr>
  </w:style>
  <w:style w:type="character" w:customStyle="1" w:styleId="ZkladntextChar">
    <w:name w:val="Základný text Char"/>
    <w:basedOn w:val="Predvolenpsmoodseku"/>
    <w:link w:val="Zkladntext"/>
    <w:rsid w:val="00D52504"/>
    <w:rPr>
      <w:rFonts w:ascii="Times New Roman" w:eastAsia="Times New Roman" w:hAnsi="Times New Roman" w:cs="Times New Roman"/>
      <w:i/>
      <w:color w:val="008000"/>
      <w:szCs w:val="20"/>
      <w:lang w:val="en-GB"/>
    </w:rPr>
  </w:style>
  <w:style w:type="paragraph" w:styleId="Zkladntext2">
    <w:name w:val="Body Text 2"/>
    <w:basedOn w:val="Normlny"/>
    <w:link w:val="Zkladntext2Char"/>
    <w:rsid w:val="00D52504"/>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customStyle="1" w:styleId="Zkladntext2Char">
    <w:name w:val="Základný text 2 Char"/>
    <w:basedOn w:val="Predvolenpsmoodseku"/>
    <w:link w:val="Zkladntext2"/>
    <w:rsid w:val="00D52504"/>
    <w:rPr>
      <w:rFonts w:ascii="Times New Roman" w:eastAsia="Times New Roman" w:hAnsi="Times New Roman" w:cs="Times New Roman"/>
      <w:b/>
      <w:bCs/>
      <w:color w:val="0000FF"/>
      <w:u w:val="single"/>
      <w:lang w:val="en-GB"/>
    </w:rPr>
  </w:style>
  <w:style w:type="character" w:styleId="Odkaznakomentr">
    <w:name w:val="annotation reference"/>
    <w:semiHidden/>
    <w:rsid w:val="00D52504"/>
    <w:rPr>
      <w:sz w:val="16"/>
      <w:szCs w:val="16"/>
    </w:rPr>
  </w:style>
  <w:style w:type="paragraph" w:styleId="Textkomentra">
    <w:name w:val="annotation text"/>
    <w:basedOn w:val="Normlny"/>
    <w:link w:val="TextkomentraChar"/>
    <w:semiHidden/>
    <w:rsid w:val="00D52504"/>
    <w:rPr>
      <w:sz w:val="20"/>
    </w:rPr>
  </w:style>
  <w:style w:type="character" w:customStyle="1" w:styleId="TextkomentraChar">
    <w:name w:val="Text komentára Char"/>
    <w:basedOn w:val="Predvolenpsmoodseku"/>
    <w:link w:val="Textkomentra"/>
    <w:semiHidden/>
    <w:rsid w:val="00D52504"/>
    <w:rPr>
      <w:rFonts w:ascii="Times New Roman" w:eastAsia="Times New Roman" w:hAnsi="Times New Roman" w:cs="Times New Roman"/>
      <w:sz w:val="20"/>
      <w:szCs w:val="20"/>
      <w:lang w:val="en-GB"/>
    </w:rPr>
  </w:style>
  <w:style w:type="paragraph" w:customStyle="1" w:styleId="EMEAEnBodyText">
    <w:name w:val="EMEA En Body Text"/>
    <w:basedOn w:val="Normlny"/>
    <w:rsid w:val="00D52504"/>
    <w:pPr>
      <w:tabs>
        <w:tab w:val="clear" w:pos="567"/>
      </w:tabs>
      <w:spacing w:before="120" w:after="120" w:line="240" w:lineRule="auto"/>
      <w:jc w:val="both"/>
    </w:pPr>
    <w:rPr>
      <w:lang w:val="en-US"/>
    </w:rPr>
  </w:style>
  <w:style w:type="paragraph" w:styleId="truktradokumentu">
    <w:name w:val="Document Map"/>
    <w:basedOn w:val="Normlny"/>
    <w:link w:val="truktradokumentuChar"/>
    <w:semiHidden/>
    <w:rsid w:val="00D52504"/>
    <w:pPr>
      <w:shd w:val="clear" w:color="auto" w:fill="000080"/>
    </w:pPr>
    <w:rPr>
      <w:rFonts w:ascii="Tahoma" w:hAnsi="Tahoma" w:cs="Tahoma"/>
    </w:rPr>
  </w:style>
  <w:style w:type="character" w:customStyle="1" w:styleId="truktradokumentuChar">
    <w:name w:val="Štruktúra dokumentu Char"/>
    <w:basedOn w:val="Predvolenpsmoodseku"/>
    <w:link w:val="truktradokumentu"/>
    <w:semiHidden/>
    <w:rsid w:val="00D52504"/>
    <w:rPr>
      <w:rFonts w:ascii="Tahoma" w:eastAsia="Times New Roman" w:hAnsi="Tahoma" w:cs="Tahoma"/>
      <w:szCs w:val="20"/>
      <w:shd w:val="clear" w:color="auto" w:fill="000080"/>
      <w:lang w:val="en-GB"/>
    </w:rPr>
  </w:style>
  <w:style w:type="character" w:styleId="Hypertextovprepojenie">
    <w:name w:val="Hyperlink"/>
    <w:rsid w:val="00D52504"/>
    <w:rPr>
      <w:color w:val="0000FF"/>
      <w:u w:val="single"/>
    </w:rPr>
  </w:style>
  <w:style w:type="paragraph" w:customStyle="1" w:styleId="AHeader1">
    <w:name w:val="AHeader 1"/>
    <w:basedOn w:val="Normlny"/>
    <w:rsid w:val="00D52504"/>
    <w:pPr>
      <w:numPr>
        <w:numId w:val="5"/>
      </w:numPr>
      <w:tabs>
        <w:tab w:val="clear" w:pos="567"/>
      </w:tabs>
      <w:spacing w:after="120" w:line="240" w:lineRule="auto"/>
    </w:pPr>
    <w:rPr>
      <w:rFonts w:ascii="Arial" w:hAnsi="Arial" w:cs="Arial"/>
      <w:b/>
      <w:bCs/>
      <w:sz w:val="24"/>
    </w:rPr>
  </w:style>
  <w:style w:type="paragraph" w:customStyle="1" w:styleId="AHeader2">
    <w:name w:val="AHeader 2"/>
    <w:basedOn w:val="AHeader1"/>
    <w:rsid w:val="00D52504"/>
    <w:pPr>
      <w:numPr>
        <w:ilvl w:val="1"/>
      </w:numPr>
      <w:tabs>
        <w:tab w:val="clear" w:pos="709"/>
        <w:tab w:val="num" w:pos="360"/>
      </w:tabs>
    </w:pPr>
    <w:rPr>
      <w:sz w:val="22"/>
    </w:rPr>
  </w:style>
  <w:style w:type="paragraph" w:customStyle="1" w:styleId="AHeader3">
    <w:name w:val="AHeader 3"/>
    <w:basedOn w:val="AHeader2"/>
    <w:rsid w:val="00D52504"/>
    <w:pPr>
      <w:numPr>
        <w:ilvl w:val="2"/>
      </w:numPr>
      <w:tabs>
        <w:tab w:val="clear" w:pos="1276"/>
        <w:tab w:val="num" w:pos="360"/>
      </w:tabs>
    </w:pPr>
  </w:style>
  <w:style w:type="paragraph" w:customStyle="1" w:styleId="AHeader2abc">
    <w:name w:val="AHeader 2 abc"/>
    <w:basedOn w:val="AHeader3"/>
    <w:rsid w:val="00D52504"/>
    <w:pPr>
      <w:numPr>
        <w:ilvl w:val="3"/>
      </w:numPr>
      <w:tabs>
        <w:tab w:val="clear" w:pos="1276"/>
        <w:tab w:val="num" w:pos="360"/>
      </w:tabs>
      <w:jc w:val="both"/>
    </w:pPr>
    <w:rPr>
      <w:b w:val="0"/>
      <w:bCs w:val="0"/>
    </w:rPr>
  </w:style>
  <w:style w:type="paragraph" w:customStyle="1" w:styleId="AHeader3abc">
    <w:name w:val="AHeader 3 abc"/>
    <w:basedOn w:val="AHeader2abc"/>
    <w:rsid w:val="00D52504"/>
    <w:pPr>
      <w:numPr>
        <w:ilvl w:val="4"/>
      </w:numPr>
      <w:tabs>
        <w:tab w:val="clear" w:pos="1701"/>
        <w:tab w:val="num" w:pos="360"/>
      </w:tabs>
    </w:pPr>
  </w:style>
  <w:style w:type="paragraph" w:styleId="Zarkazkladnhotextu3">
    <w:name w:val="Body Text Indent 3"/>
    <w:basedOn w:val="Normlny"/>
    <w:link w:val="Zarkazkladnhotextu3Char"/>
    <w:rsid w:val="00D52504"/>
    <w:pPr>
      <w:tabs>
        <w:tab w:val="left" w:pos="1134"/>
      </w:tabs>
      <w:autoSpaceDE w:val="0"/>
      <w:autoSpaceDN w:val="0"/>
      <w:adjustRightInd w:val="0"/>
      <w:ind w:left="633"/>
      <w:jc w:val="both"/>
    </w:pPr>
    <w:rPr>
      <w:szCs w:val="21"/>
    </w:rPr>
  </w:style>
  <w:style w:type="character" w:customStyle="1" w:styleId="Zarkazkladnhotextu3Char">
    <w:name w:val="Zarážka základného textu 3 Char"/>
    <w:basedOn w:val="Predvolenpsmoodseku"/>
    <w:link w:val="Zarkazkladnhotextu3"/>
    <w:rsid w:val="00D52504"/>
    <w:rPr>
      <w:rFonts w:ascii="Times New Roman" w:eastAsia="Times New Roman" w:hAnsi="Times New Roman" w:cs="Times New Roman"/>
      <w:szCs w:val="21"/>
      <w:lang w:val="en-GB"/>
    </w:rPr>
  </w:style>
  <w:style w:type="character" w:styleId="PouitHypertextovPrepojenie">
    <w:name w:val="FollowedHyperlink"/>
    <w:rsid w:val="00D52504"/>
    <w:rPr>
      <w:color w:val="800080"/>
      <w:u w:val="single"/>
    </w:rPr>
  </w:style>
  <w:style w:type="paragraph" w:customStyle="1" w:styleId="Default">
    <w:name w:val="Default"/>
    <w:rsid w:val="00D52504"/>
    <w:pPr>
      <w:autoSpaceDE w:val="0"/>
      <w:autoSpaceDN w:val="0"/>
      <w:adjustRightInd w:val="0"/>
      <w:spacing w:after="0" w:line="240" w:lineRule="auto"/>
    </w:pPr>
    <w:rPr>
      <w:rFonts w:ascii="Times New Roman" w:eastAsia="Times New Roman" w:hAnsi="Times New Roman" w:cs="Times New Roman"/>
      <w:sz w:val="20"/>
      <w:szCs w:val="20"/>
    </w:rPr>
  </w:style>
  <w:style w:type="paragraph" w:styleId="slovanzoznam4">
    <w:name w:val="List Number 4"/>
    <w:basedOn w:val="Normlny"/>
    <w:rsid w:val="00D52504"/>
    <w:pPr>
      <w:numPr>
        <w:numId w:val="10"/>
      </w:numPr>
      <w:tabs>
        <w:tab w:val="clear" w:pos="567"/>
      </w:tabs>
      <w:spacing w:line="240" w:lineRule="auto"/>
    </w:pPr>
  </w:style>
  <w:style w:type="paragraph" w:styleId="Nzov">
    <w:name w:val="Title"/>
    <w:basedOn w:val="Normlny"/>
    <w:link w:val="NzovChar"/>
    <w:qFormat/>
    <w:rsid w:val="00D52504"/>
    <w:pPr>
      <w:tabs>
        <w:tab w:val="clear" w:pos="567"/>
      </w:tabs>
      <w:spacing w:line="240" w:lineRule="auto"/>
      <w:jc w:val="center"/>
    </w:pPr>
    <w:rPr>
      <w:b/>
      <w:sz w:val="32"/>
      <w:lang w:eastAsia="fr-FR"/>
    </w:rPr>
  </w:style>
  <w:style w:type="character" w:customStyle="1" w:styleId="NzovChar">
    <w:name w:val="Názov Char"/>
    <w:basedOn w:val="Predvolenpsmoodseku"/>
    <w:link w:val="Nzov"/>
    <w:rsid w:val="00D52504"/>
    <w:rPr>
      <w:rFonts w:ascii="Times New Roman" w:eastAsia="Times New Roman" w:hAnsi="Times New Roman" w:cs="Times New Roman"/>
      <w:b/>
      <w:sz w:val="32"/>
      <w:szCs w:val="20"/>
      <w:lang w:val="en-GB" w:eastAsia="fr-FR"/>
    </w:rPr>
  </w:style>
  <w:style w:type="paragraph" w:customStyle="1" w:styleId="nr2g">
    <w:name w:val="nr2g'"/>
    <w:basedOn w:val="Normlny"/>
    <w:rsid w:val="00D52504"/>
    <w:pPr>
      <w:tabs>
        <w:tab w:val="clear" w:pos="567"/>
        <w:tab w:val="center" w:pos="5387"/>
      </w:tabs>
      <w:spacing w:line="240" w:lineRule="auto"/>
      <w:ind w:left="993"/>
      <w:jc w:val="both"/>
    </w:pPr>
    <w:rPr>
      <w:sz w:val="24"/>
      <w:lang w:val="en-US" w:eastAsia="fr-FR"/>
    </w:rPr>
  </w:style>
  <w:style w:type="paragraph" w:styleId="Textbubliny">
    <w:name w:val="Balloon Text"/>
    <w:basedOn w:val="Normlny"/>
    <w:link w:val="TextbublinyChar"/>
    <w:semiHidden/>
    <w:rsid w:val="00D52504"/>
    <w:rPr>
      <w:rFonts w:ascii="Tahoma" w:hAnsi="Tahoma" w:cs="Tahoma"/>
      <w:sz w:val="16"/>
      <w:szCs w:val="16"/>
    </w:rPr>
  </w:style>
  <w:style w:type="character" w:customStyle="1" w:styleId="TextbublinyChar">
    <w:name w:val="Text bubliny Char"/>
    <w:basedOn w:val="Predvolenpsmoodseku"/>
    <w:link w:val="Textbubliny"/>
    <w:semiHidden/>
    <w:rsid w:val="00D52504"/>
    <w:rPr>
      <w:rFonts w:ascii="Tahoma" w:eastAsia="Times New Roman" w:hAnsi="Tahoma" w:cs="Tahoma"/>
      <w:sz w:val="16"/>
      <w:szCs w:val="16"/>
      <w:lang w:val="en-GB"/>
    </w:rPr>
  </w:style>
  <w:style w:type="paragraph" w:customStyle="1" w:styleId="BodyText31">
    <w:name w:val="Body Text 31"/>
    <w:basedOn w:val="Normlny"/>
    <w:rsid w:val="00D52504"/>
    <w:pPr>
      <w:tabs>
        <w:tab w:val="clear" w:pos="567"/>
      </w:tabs>
      <w:overflowPunct w:val="0"/>
      <w:autoSpaceDE w:val="0"/>
      <w:autoSpaceDN w:val="0"/>
      <w:adjustRightInd w:val="0"/>
      <w:spacing w:line="240" w:lineRule="auto"/>
      <w:textAlignment w:val="baseline"/>
    </w:pPr>
    <w:rPr>
      <w:rFonts w:ascii="Arial" w:hAnsi="Arial"/>
      <w:sz w:val="20"/>
      <w:lang w:val="sk-SK" w:eastAsia="sk-SK"/>
    </w:rPr>
  </w:style>
  <w:style w:type="paragraph" w:customStyle="1" w:styleId="Texttelo">
    <w:name w:val="Text telo"/>
    <w:rsid w:val="00D52504"/>
    <w:pPr>
      <w:tabs>
        <w:tab w:val="left" w:pos="170"/>
      </w:tabs>
      <w:spacing w:after="0" w:line="240" w:lineRule="auto"/>
      <w:jc w:val="both"/>
    </w:pPr>
    <w:rPr>
      <w:rFonts w:ascii="TimesE" w:eastAsia="Times New Roman" w:hAnsi="TimesE" w:cs="Times New Roman"/>
      <w:color w:val="000000"/>
      <w:spacing w:val="15"/>
      <w:sz w:val="16"/>
      <w:szCs w:val="20"/>
      <w:lang w:val="cs-CZ"/>
    </w:rPr>
  </w:style>
  <w:style w:type="paragraph" w:styleId="Bezriadkovania">
    <w:name w:val="No Spacing"/>
    <w:uiPriority w:val="1"/>
    <w:qFormat/>
    <w:rsid w:val="00D52504"/>
    <w:pPr>
      <w:spacing w:after="0" w:line="240" w:lineRule="auto"/>
    </w:pPr>
    <w:rPr>
      <w:rFonts w:ascii="Times New Roman" w:eastAsia="Times New Roman" w:hAnsi="Times New Roman" w:cs="Times New Roman"/>
      <w:sz w:val="24"/>
      <w:szCs w:val="20"/>
      <w:lang w:val="sk-SK"/>
    </w:rPr>
  </w:style>
  <w:style w:type="paragraph" w:styleId="Predmetkomentra">
    <w:name w:val="annotation subject"/>
    <w:basedOn w:val="Textkomentra"/>
    <w:next w:val="Textkomentra"/>
    <w:link w:val="PredmetkomentraChar"/>
    <w:uiPriority w:val="99"/>
    <w:semiHidden/>
    <w:unhideWhenUsed/>
    <w:rsid w:val="00D267C6"/>
    <w:pPr>
      <w:spacing w:line="240" w:lineRule="auto"/>
    </w:pPr>
    <w:rPr>
      <w:b/>
      <w:bCs/>
    </w:rPr>
  </w:style>
  <w:style w:type="character" w:customStyle="1" w:styleId="PredmetkomentraChar">
    <w:name w:val="Predmet komentára Char"/>
    <w:basedOn w:val="TextkomentraChar"/>
    <w:link w:val="Predmetkomentra"/>
    <w:uiPriority w:val="99"/>
    <w:semiHidden/>
    <w:rsid w:val="00D267C6"/>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6191</Words>
  <Characters>35291</Characters>
  <Application>Microsoft Office Word</Application>
  <DocSecurity>0</DocSecurity>
  <Lines>294</Lines>
  <Paragraphs>82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Actavis</Company>
  <LinksUpToDate>false</LinksUpToDate>
  <CharactersWithSpaces>41400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 Molnarova</dc:creator>
  <cp:lastModifiedBy>Petriková, Miroslava</cp:lastModifiedBy>
  <cp:revision>44</cp:revision>
  <dcterms:created xsi:type="dcterms:W3CDTF">2015-12-08T13:11:00Z</dcterms:created>
  <dcterms:modified xsi:type="dcterms:W3CDTF">2016-01-27T09:54:00Z</dcterms:modified>
</cp:coreProperties>
</file>