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C4D21" w14:textId="77777777" w:rsidR="00FC6382" w:rsidRDefault="00FC6382" w:rsidP="00FC6382">
      <w:pPr>
        <w:pStyle w:val="Hlavika"/>
        <w:rPr>
          <w:bCs/>
          <w:sz w:val="18"/>
          <w:szCs w:val="18"/>
        </w:rPr>
      </w:pPr>
      <w:r w:rsidRPr="00894D5A">
        <w:rPr>
          <w:bCs/>
          <w:sz w:val="18"/>
          <w:szCs w:val="18"/>
        </w:rPr>
        <w:t xml:space="preserve">Schválený text k rozhodnutiu o registrácii, ev. č.: </w:t>
      </w:r>
      <w:r w:rsidR="005415D3" w:rsidRPr="005415D3">
        <w:rPr>
          <w:bCs/>
          <w:sz w:val="18"/>
          <w:szCs w:val="18"/>
        </w:rPr>
        <w:t>2014/06407-REG</w:t>
      </w:r>
      <w:r w:rsidRPr="00894D5A">
        <w:rPr>
          <w:bCs/>
          <w:sz w:val="18"/>
          <w:szCs w:val="18"/>
        </w:rPr>
        <w:t xml:space="preserve"> </w:t>
      </w:r>
    </w:p>
    <w:p w14:paraId="0AF7F336" w14:textId="77777777" w:rsidR="00FC6382" w:rsidRPr="00894D5A" w:rsidRDefault="00FC6382" w:rsidP="00FC6382">
      <w:pPr>
        <w:pStyle w:val="Hlavika"/>
        <w:rPr>
          <w:sz w:val="18"/>
          <w:szCs w:val="18"/>
        </w:rPr>
      </w:pPr>
    </w:p>
    <w:p w14:paraId="653A1AC8" w14:textId="77777777" w:rsidR="00FC6382" w:rsidRDefault="00FC6382" w:rsidP="00B179A8">
      <w:pPr>
        <w:autoSpaceDE w:val="0"/>
        <w:autoSpaceDN w:val="0"/>
        <w:adjustRightInd w:val="0"/>
        <w:ind w:left="567" w:hanging="567"/>
        <w:jc w:val="center"/>
        <w:rPr>
          <w:b/>
          <w:caps/>
          <w:sz w:val="22"/>
          <w:szCs w:val="22"/>
        </w:rPr>
      </w:pPr>
      <w:r w:rsidRPr="00FC6382">
        <w:rPr>
          <w:b/>
          <w:caps/>
          <w:sz w:val="22"/>
          <w:szCs w:val="22"/>
        </w:rPr>
        <w:t>SÚHRN CHARAKTERISTICKÝCH VLASTNOSTÍ LIEKU</w:t>
      </w:r>
    </w:p>
    <w:p w14:paraId="01226565" w14:textId="77777777" w:rsidR="00FC6382" w:rsidRPr="00FC6382" w:rsidRDefault="00FC6382" w:rsidP="00FC6382">
      <w:pPr>
        <w:autoSpaceDE w:val="0"/>
        <w:autoSpaceDN w:val="0"/>
        <w:adjustRightInd w:val="0"/>
        <w:ind w:left="567" w:hanging="567"/>
        <w:jc w:val="center"/>
        <w:rPr>
          <w:b/>
          <w:caps/>
          <w:sz w:val="22"/>
          <w:szCs w:val="22"/>
        </w:rPr>
      </w:pPr>
    </w:p>
    <w:p w14:paraId="1F987509" w14:textId="77777777" w:rsidR="00220454" w:rsidRPr="00972868" w:rsidRDefault="00220454" w:rsidP="00220454">
      <w:pPr>
        <w:pStyle w:val="Textkomentra"/>
        <w:keepNext/>
        <w:adjustRightInd w:val="0"/>
        <w:snapToGrid w:val="0"/>
        <w:spacing w:after="0"/>
        <w:rPr>
          <w:b/>
          <w:caps/>
          <w:sz w:val="22"/>
          <w:szCs w:val="22"/>
        </w:rPr>
      </w:pPr>
      <w:r w:rsidRPr="00972868">
        <w:rPr>
          <w:b/>
          <w:caps/>
          <w:sz w:val="22"/>
          <w:szCs w:val="22"/>
        </w:rPr>
        <w:t>1.</w:t>
      </w:r>
      <w:r w:rsidRPr="00972868">
        <w:rPr>
          <w:b/>
          <w:caps/>
          <w:sz w:val="22"/>
          <w:szCs w:val="22"/>
        </w:rPr>
        <w:tab/>
        <w:t>Názov LIEKU</w:t>
      </w:r>
    </w:p>
    <w:p w14:paraId="36CEAD98" w14:textId="77777777" w:rsidR="00220454" w:rsidRPr="00972868" w:rsidRDefault="00220454" w:rsidP="00421BFC">
      <w:pPr>
        <w:pStyle w:val="Textkomentra"/>
        <w:adjustRightInd w:val="0"/>
        <w:snapToGrid w:val="0"/>
        <w:spacing w:after="0"/>
        <w:rPr>
          <w:caps/>
          <w:sz w:val="22"/>
          <w:szCs w:val="22"/>
        </w:rPr>
      </w:pPr>
    </w:p>
    <w:p w14:paraId="31E65E99" w14:textId="77777777" w:rsidR="00220454" w:rsidRPr="00972868" w:rsidRDefault="00421BFC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Coltowan</w:t>
      </w:r>
      <w:r w:rsidR="00220454" w:rsidRPr="00972868">
        <w:rPr>
          <w:sz w:val="22"/>
          <w:szCs w:val="22"/>
        </w:rPr>
        <w:t xml:space="preserve"> 10 mg tablety</w:t>
      </w:r>
    </w:p>
    <w:p w14:paraId="6DC7E28E" w14:textId="77777777" w:rsidR="00220454" w:rsidRPr="00972868" w:rsidRDefault="00220454" w:rsidP="00220454">
      <w:pPr>
        <w:pStyle w:val="Textkomentra"/>
        <w:adjustRightInd w:val="0"/>
        <w:snapToGrid w:val="0"/>
        <w:spacing w:after="0"/>
        <w:rPr>
          <w:caps/>
          <w:sz w:val="22"/>
          <w:szCs w:val="22"/>
        </w:rPr>
      </w:pPr>
    </w:p>
    <w:p w14:paraId="284B4CA9" w14:textId="77777777" w:rsidR="00220454" w:rsidRPr="00972868" w:rsidRDefault="00220454" w:rsidP="00220454">
      <w:pPr>
        <w:pStyle w:val="Textkomentra"/>
        <w:adjustRightInd w:val="0"/>
        <w:snapToGrid w:val="0"/>
        <w:spacing w:after="0"/>
        <w:rPr>
          <w:caps/>
          <w:sz w:val="22"/>
          <w:szCs w:val="22"/>
        </w:rPr>
      </w:pPr>
    </w:p>
    <w:p w14:paraId="6BC8B899" w14:textId="77777777" w:rsidR="00220454" w:rsidRPr="00972868" w:rsidRDefault="00220454" w:rsidP="00220454">
      <w:pPr>
        <w:pStyle w:val="Textkomentra"/>
        <w:keepNext/>
        <w:adjustRightInd w:val="0"/>
        <w:snapToGrid w:val="0"/>
        <w:spacing w:after="0"/>
        <w:rPr>
          <w:b/>
          <w:caps/>
          <w:sz w:val="22"/>
          <w:szCs w:val="22"/>
        </w:rPr>
      </w:pPr>
      <w:r w:rsidRPr="00972868">
        <w:rPr>
          <w:b/>
          <w:caps/>
          <w:sz w:val="22"/>
          <w:szCs w:val="22"/>
        </w:rPr>
        <w:t>2.</w:t>
      </w:r>
      <w:r w:rsidRPr="00972868">
        <w:rPr>
          <w:b/>
          <w:caps/>
          <w:sz w:val="22"/>
          <w:szCs w:val="22"/>
        </w:rPr>
        <w:tab/>
        <w:t>Kvalitatívne a kvantitatívne zloženie</w:t>
      </w:r>
    </w:p>
    <w:p w14:paraId="0E5EB12F" w14:textId="77777777" w:rsidR="00220454" w:rsidRPr="00972868" w:rsidRDefault="00220454" w:rsidP="00421BFC">
      <w:pPr>
        <w:pStyle w:val="Textkomentra"/>
        <w:adjustRightInd w:val="0"/>
        <w:snapToGrid w:val="0"/>
        <w:spacing w:after="0"/>
        <w:rPr>
          <w:caps/>
          <w:sz w:val="22"/>
          <w:szCs w:val="22"/>
        </w:rPr>
      </w:pPr>
    </w:p>
    <w:p w14:paraId="61C00541" w14:textId="77777777" w:rsidR="00220454" w:rsidRPr="00972868" w:rsidRDefault="00D42117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Jedna</w:t>
      </w:r>
      <w:r w:rsidR="00220454" w:rsidRPr="00972868">
        <w:rPr>
          <w:sz w:val="22"/>
          <w:szCs w:val="22"/>
        </w:rPr>
        <w:t xml:space="preserve"> tableta obsahuje 10 mg ezetimibu.</w:t>
      </w:r>
    </w:p>
    <w:p w14:paraId="1E967CC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0E3CF8C5" w14:textId="77777777" w:rsidR="00220454" w:rsidRPr="00972868" w:rsidRDefault="00220454" w:rsidP="00D42117">
      <w:pPr>
        <w:keepNext/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  <w:u w:val="single"/>
        </w:rPr>
        <w:t>Pomocná látka so známym účinkom:</w:t>
      </w:r>
      <w:r w:rsidR="00D42117" w:rsidRPr="00972868">
        <w:rPr>
          <w:sz w:val="22"/>
          <w:szCs w:val="22"/>
          <w:u w:val="single"/>
        </w:rPr>
        <w:t xml:space="preserve"> </w:t>
      </w:r>
      <w:r w:rsidRPr="00972868">
        <w:rPr>
          <w:sz w:val="22"/>
          <w:szCs w:val="22"/>
        </w:rPr>
        <w:t>Každá tableta obsahuje 55 mg monohydrátu laktózy.</w:t>
      </w:r>
    </w:p>
    <w:p w14:paraId="54204C52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61CCCD0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Úplný zoznam pomocných látok, pozri časť 6.1.</w:t>
      </w:r>
    </w:p>
    <w:p w14:paraId="49EA3E66" w14:textId="77777777" w:rsidR="00220454" w:rsidRPr="00972868" w:rsidRDefault="00220454" w:rsidP="00220454">
      <w:pPr>
        <w:pStyle w:val="Textkomentra"/>
        <w:adjustRightInd w:val="0"/>
        <w:snapToGrid w:val="0"/>
        <w:spacing w:after="0"/>
        <w:rPr>
          <w:caps/>
          <w:sz w:val="22"/>
          <w:szCs w:val="22"/>
        </w:rPr>
      </w:pPr>
    </w:p>
    <w:p w14:paraId="3A68AC31" w14:textId="77777777" w:rsidR="00220454" w:rsidRPr="00972868" w:rsidRDefault="00220454" w:rsidP="00220454">
      <w:pPr>
        <w:pStyle w:val="Textkomentra"/>
        <w:adjustRightInd w:val="0"/>
        <w:snapToGrid w:val="0"/>
        <w:spacing w:after="0"/>
        <w:rPr>
          <w:caps/>
          <w:sz w:val="22"/>
          <w:szCs w:val="22"/>
        </w:rPr>
      </w:pPr>
    </w:p>
    <w:p w14:paraId="5CA2A52C" w14:textId="77777777" w:rsidR="00220454" w:rsidRPr="00972868" w:rsidRDefault="00220454" w:rsidP="00220454">
      <w:pPr>
        <w:pStyle w:val="Textkomentra"/>
        <w:keepNext/>
        <w:adjustRightInd w:val="0"/>
        <w:snapToGrid w:val="0"/>
        <w:spacing w:after="0"/>
        <w:rPr>
          <w:b/>
          <w:caps/>
          <w:sz w:val="22"/>
          <w:szCs w:val="22"/>
        </w:rPr>
      </w:pPr>
      <w:r w:rsidRPr="00972868">
        <w:rPr>
          <w:b/>
          <w:caps/>
          <w:sz w:val="22"/>
          <w:szCs w:val="22"/>
        </w:rPr>
        <w:t>3.</w:t>
      </w:r>
      <w:r w:rsidRPr="00972868">
        <w:rPr>
          <w:b/>
          <w:caps/>
          <w:sz w:val="22"/>
          <w:szCs w:val="22"/>
        </w:rPr>
        <w:tab/>
        <w:t>LIEKOVÁ forma</w:t>
      </w:r>
    </w:p>
    <w:p w14:paraId="66A76CDD" w14:textId="77777777" w:rsidR="00220454" w:rsidRPr="00972868" w:rsidRDefault="00220454" w:rsidP="00D42117">
      <w:pPr>
        <w:pStyle w:val="Textkomentra"/>
        <w:adjustRightInd w:val="0"/>
        <w:snapToGrid w:val="0"/>
        <w:spacing w:after="0"/>
        <w:rPr>
          <w:caps/>
          <w:sz w:val="22"/>
          <w:szCs w:val="22"/>
        </w:rPr>
      </w:pPr>
    </w:p>
    <w:p w14:paraId="400838F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Tableta.</w:t>
      </w:r>
    </w:p>
    <w:p w14:paraId="167F58E5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Biel</w:t>
      </w:r>
      <w:r w:rsidR="00D42117" w:rsidRPr="00972868">
        <w:rPr>
          <w:sz w:val="22"/>
          <w:szCs w:val="22"/>
        </w:rPr>
        <w:t>a, okrúhla, plochá tableta s priemerom</w:t>
      </w:r>
      <w:r w:rsidRPr="00972868">
        <w:rPr>
          <w:sz w:val="22"/>
          <w:szCs w:val="22"/>
        </w:rPr>
        <w:t xml:space="preserve"> približne 6 mm</w:t>
      </w:r>
      <w:r w:rsidR="00D42117" w:rsidRPr="00972868">
        <w:rPr>
          <w:sz w:val="22"/>
          <w:szCs w:val="22"/>
        </w:rPr>
        <w:t>. S</w:t>
      </w:r>
      <w:r w:rsidRPr="00972868">
        <w:rPr>
          <w:sz w:val="22"/>
          <w:szCs w:val="22"/>
        </w:rPr>
        <w:t xml:space="preserve"> vyrazením </w:t>
      </w:r>
      <w:r w:rsidR="00D42117" w:rsidRPr="00972868">
        <w:rPr>
          <w:sz w:val="22"/>
          <w:szCs w:val="22"/>
        </w:rPr>
        <w:t>CB3</w:t>
      </w:r>
      <w:r w:rsidRPr="00972868">
        <w:rPr>
          <w:sz w:val="22"/>
          <w:szCs w:val="22"/>
        </w:rPr>
        <w:t xml:space="preserve"> na jednej strane.</w:t>
      </w:r>
    </w:p>
    <w:p w14:paraId="2E81FCE5" w14:textId="77777777" w:rsidR="00220454" w:rsidRPr="00972868" w:rsidRDefault="00220454" w:rsidP="00220454">
      <w:pPr>
        <w:pStyle w:val="Predmetkomentra"/>
        <w:adjustRightInd w:val="0"/>
        <w:snapToGrid w:val="0"/>
        <w:spacing w:after="0"/>
        <w:rPr>
          <w:b w:val="0"/>
          <w:caps/>
          <w:sz w:val="22"/>
          <w:szCs w:val="22"/>
        </w:rPr>
      </w:pPr>
    </w:p>
    <w:p w14:paraId="4BCF9D68" w14:textId="77777777" w:rsidR="00220454" w:rsidRPr="00972868" w:rsidRDefault="00220454" w:rsidP="00220454">
      <w:pPr>
        <w:pStyle w:val="Textkomentra"/>
        <w:adjustRightInd w:val="0"/>
        <w:snapToGrid w:val="0"/>
        <w:spacing w:after="0"/>
        <w:rPr>
          <w:sz w:val="22"/>
          <w:szCs w:val="22"/>
        </w:rPr>
      </w:pPr>
    </w:p>
    <w:p w14:paraId="76D66BCE" w14:textId="77777777" w:rsidR="00220454" w:rsidRPr="00972868" w:rsidRDefault="00220454" w:rsidP="00220454">
      <w:pPr>
        <w:pStyle w:val="Predmetkomentra"/>
        <w:keepNext/>
        <w:adjustRightInd w:val="0"/>
        <w:snapToGrid w:val="0"/>
        <w:spacing w:after="0"/>
        <w:rPr>
          <w:caps/>
          <w:sz w:val="22"/>
          <w:szCs w:val="22"/>
        </w:rPr>
      </w:pPr>
      <w:r w:rsidRPr="00972868">
        <w:rPr>
          <w:caps/>
          <w:sz w:val="22"/>
          <w:szCs w:val="22"/>
        </w:rPr>
        <w:t>4.</w:t>
      </w:r>
      <w:r w:rsidRPr="00972868">
        <w:rPr>
          <w:caps/>
          <w:sz w:val="22"/>
          <w:szCs w:val="22"/>
        </w:rPr>
        <w:tab/>
        <w:t>Klinické údaje</w:t>
      </w:r>
    </w:p>
    <w:p w14:paraId="1AF2B38D" w14:textId="77777777" w:rsidR="00220454" w:rsidRPr="00972868" w:rsidRDefault="00220454" w:rsidP="00D42117">
      <w:pPr>
        <w:pStyle w:val="Textkomentra"/>
        <w:adjustRightInd w:val="0"/>
        <w:snapToGrid w:val="0"/>
        <w:spacing w:after="0"/>
        <w:rPr>
          <w:caps/>
          <w:sz w:val="22"/>
          <w:szCs w:val="22"/>
        </w:rPr>
      </w:pPr>
    </w:p>
    <w:p w14:paraId="6BDEE97C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b/>
          <w:sz w:val="22"/>
          <w:szCs w:val="22"/>
        </w:rPr>
      </w:pPr>
      <w:r w:rsidRPr="00972868">
        <w:rPr>
          <w:b/>
          <w:sz w:val="22"/>
          <w:szCs w:val="22"/>
        </w:rPr>
        <w:t>4.1</w:t>
      </w:r>
      <w:r w:rsidRPr="00972868">
        <w:rPr>
          <w:b/>
          <w:sz w:val="22"/>
          <w:szCs w:val="22"/>
        </w:rPr>
        <w:tab/>
        <w:t>Terapeutické indikácie</w:t>
      </w:r>
    </w:p>
    <w:p w14:paraId="61B01BE7" w14:textId="77777777" w:rsidR="00220454" w:rsidRPr="00972868" w:rsidRDefault="00220454" w:rsidP="00D42117">
      <w:pPr>
        <w:pStyle w:val="Textkomentra"/>
        <w:adjustRightInd w:val="0"/>
        <w:snapToGrid w:val="0"/>
        <w:spacing w:after="0"/>
        <w:rPr>
          <w:caps/>
          <w:sz w:val="22"/>
          <w:szCs w:val="22"/>
        </w:rPr>
      </w:pPr>
    </w:p>
    <w:p w14:paraId="3C2B4F73" w14:textId="77777777" w:rsidR="00220454" w:rsidRPr="00972868" w:rsidRDefault="00220454" w:rsidP="00220454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  <w:u w:val="single"/>
        </w:rPr>
      </w:pPr>
      <w:r w:rsidRPr="00972868">
        <w:rPr>
          <w:rFonts w:ascii="Times New Roman" w:hAnsi="Times New Roman"/>
          <w:b w:val="0"/>
          <w:sz w:val="22"/>
          <w:szCs w:val="22"/>
          <w:u w:val="single"/>
        </w:rPr>
        <w:t>Primárna hypercholesterolémia</w:t>
      </w:r>
    </w:p>
    <w:p w14:paraId="6493C325" w14:textId="77777777" w:rsidR="00220454" w:rsidRPr="00972868" w:rsidRDefault="00421BFC" w:rsidP="00220454">
      <w:pPr>
        <w:adjustRightInd w:val="0"/>
        <w:snapToGrid w:val="0"/>
        <w:spacing w:after="0"/>
        <w:rPr>
          <w:sz w:val="22"/>
          <w:szCs w:val="22"/>
        </w:rPr>
      </w:pPr>
      <w:bookmarkStart w:id="0" w:name="OLE_LINK1"/>
      <w:r w:rsidRPr="00972868">
        <w:rPr>
          <w:sz w:val="22"/>
          <w:szCs w:val="22"/>
        </w:rPr>
        <w:t>Coltowan</w:t>
      </w:r>
      <w:r w:rsidR="00220454" w:rsidRPr="00972868">
        <w:rPr>
          <w:sz w:val="22"/>
          <w:szCs w:val="22"/>
        </w:rPr>
        <w:t xml:space="preserve"> podávaný súbežne s inhibítorom HMG-CoA reduktázy (statínom) je indikovaný ako prídavná liečba k diéte u pacientov s primárnou (heterozygotnou familiárnou a non-familiárnou) hypercholesterolémiou, ktorí nie sú dostatočne kontrolovaní samotným statínom.</w:t>
      </w:r>
      <w:bookmarkEnd w:id="0"/>
    </w:p>
    <w:p w14:paraId="13B2508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3AC784E9" w14:textId="77777777" w:rsidR="00220454" w:rsidRPr="00972868" w:rsidRDefault="00421BFC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Coltowan</w:t>
      </w:r>
      <w:r w:rsidR="00220454" w:rsidRPr="00972868">
        <w:rPr>
          <w:sz w:val="22"/>
          <w:szCs w:val="22"/>
        </w:rPr>
        <w:t xml:space="preserve"> je v monoterapii indikovaný ako prídavná liečba k diéte u pacientov s primárnou (heterozygotnou familiárnou a non-familiárnou) hypercholesterolémiou, u ktorých je statín považovaný za nevhodný alebo nie je tolerovaný.</w:t>
      </w:r>
    </w:p>
    <w:p w14:paraId="1342B7E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01953FC2" w14:textId="77777777" w:rsidR="00220454" w:rsidRPr="00972868" w:rsidRDefault="00220454" w:rsidP="00D42117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  <w:u w:val="single"/>
        </w:rPr>
      </w:pPr>
      <w:r w:rsidRPr="00972868">
        <w:rPr>
          <w:rFonts w:ascii="Times New Roman" w:hAnsi="Times New Roman"/>
          <w:b w:val="0"/>
          <w:sz w:val="22"/>
          <w:szCs w:val="22"/>
          <w:u w:val="single"/>
        </w:rPr>
        <w:t>Homozygotná familiárna hypercholesterolémia (HoFH)</w:t>
      </w:r>
    </w:p>
    <w:p w14:paraId="55BBA31B" w14:textId="77777777" w:rsidR="00220454" w:rsidRPr="00972868" w:rsidRDefault="00421BFC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Coltowan</w:t>
      </w:r>
      <w:r w:rsidR="00220454" w:rsidRPr="00972868">
        <w:rPr>
          <w:sz w:val="22"/>
          <w:szCs w:val="22"/>
        </w:rPr>
        <w:t xml:space="preserve"> podávaný súbežne so statínom je indikovaný ako prídavná liečba k diéte u pacientov s HoFH. Pacienti môžu dostávať aj podporné liečby (napr. LDL aferézu).</w:t>
      </w:r>
    </w:p>
    <w:p w14:paraId="1A6D3467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6A802071" w14:textId="77777777" w:rsidR="00220454" w:rsidRPr="00972868" w:rsidRDefault="00220454" w:rsidP="00D42117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  <w:u w:val="single"/>
        </w:rPr>
      </w:pPr>
      <w:r w:rsidRPr="00972868">
        <w:rPr>
          <w:rFonts w:ascii="Times New Roman" w:hAnsi="Times New Roman"/>
          <w:b w:val="0"/>
          <w:sz w:val="22"/>
          <w:szCs w:val="22"/>
          <w:u w:val="single"/>
        </w:rPr>
        <w:t>Homozygotná sitosterolémia (fytosterolémia)</w:t>
      </w:r>
    </w:p>
    <w:p w14:paraId="506984C3" w14:textId="77777777" w:rsidR="00220454" w:rsidRPr="00972868" w:rsidRDefault="00421BFC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Coltowan</w:t>
      </w:r>
      <w:r w:rsidR="00220454" w:rsidRPr="00972868">
        <w:rPr>
          <w:sz w:val="22"/>
          <w:szCs w:val="22"/>
        </w:rPr>
        <w:t xml:space="preserve"> je indikovaný ako prídavná liečba k diéte u pacientov s homozygotnou familiárnou sitosterolémiou.</w:t>
      </w:r>
    </w:p>
    <w:p w14:paraId="7B17146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3F761B37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bookmarkStart w:id="1" w:name="OLE_LINK6"/>
      <w:bookmarkStart w:id="2" w:name="OLE_LINK7"/>
      <w:r w:rsidRPr="00972868">
        <w:rPr>
          <w:sz w:val="22"/>
          <w:szCs w:val="22"/>
        </w:rPr>
        <w:t xml:space="preserve">Priaznivý účinok </w:t>
      </w:r>
      <w:r w:rsidR="00D42117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 na kardiovaskulárnu morbiditu a mortalitu zatiaľ nebol preukázaný.</w:t>
      </w:r>
    </w:p>
    <w:bookmarkEnd w:id="1"/>
    <w:bookmarkEnd w:id="2"/>
    <w:p w14:paraId="30FEF38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3FD281FA" w14:textId="77777777" w:rsidR="00220454" w:rsidRPr="00972868" w:rsidRDefault="00220454" w:rsidP="00220454">
      <w:pPr>
        <w:pStyle w:val="Predmetkomentra"/>
        <w:keepNext/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4.2</w:t>
      </w:r>
      <w:r w:rsidRPr="00972868">
        <w:rPr>
          <w:sz w:val="22"/>
          <w:szCs w:val="22"/>
        </w:rPr>
        <w:tab/>
        <w:t>Dávkovanie a spôsob podávania</w:t>
      </w:r>
    </w:p>
    <w:p w14:paraId="09D1232C" w14:textId="77777777" w:rsidR="00220454" w:rsidRPr="00972868" w:rsidRDefault="00220454" w:rsidP="00D42117">
      <w:pPr>
        <w:pStyle w:val="Textkomentra"/>
        <w:adjustRightInd w:val="0"/>
        <w:snapToGrid w:val="0"/>
        <w:spacing w:after="0"/>
        <w:rPr>
          <w:caps/>
          <w:sz w:val="22"/>
          <w:szCs w:val="22"/>
        </w:rPr>
      </w:pPr>
    </w:p>
    <w:p w14:paraId="373F102C" w14:textId="77777777" w:rsidR="00220454" w:rsidRPr="00972868" w:rsidRDefault="00220454" w:rsidP="00220454">
      <w:pPr>
        <w:pStyle w:val="Zkladntext"/>
        <w:adjustRightInd w:val="0"/>
        <w:snapToGrid w:val="0"/>
        <w:spacing w:after="0"/>
        <w:rPr>
          <w:rFonts w:ascii="Times New Roman" w:hAnsi="Times New Roman"/>
          <w:sz w:val="22"/>
          <w:szCs w:val="22"/>
        </w:rPr>
      </w:pPr>
      <w:r w:rsidRPr="00972868">
        <w:rPr>
          <w:rFonts w:ascii="Times New Roman" w:hAnsi="Times New Roman"/>
          <w:sz w:val="22"/>
          <w:szCs w:val="22"/>
        </w:rPr>
        <w:t xml:space="preserve">Pacient má držať primeranú diétu na zníženie lipidov a počas liečby </w:t>
      </w:r>
      <w:r w:rsidR="00421BFC" w:rsidRPr="00972868">
        <w:rPr>
          <w:rFonts w:ascii="Times New Roman" w:hAnsi="Times New Roman"/>
          <w:sz w:val="22"/>
          <w:szCs w:val="22"/>
        </w:rPr>
        <w:t>Coltowan</w:t>
      </w:r>
      <w:r w:rsidR="00D42117" w:rsidRPr="00972868">
        <w:rPr>
          <w:rFonts w:ascii="Times New Roman" w:hAnsi="Times New Roman"/>
          <w:sz w:val="22"/>
          <w:szCs w:val="22"/>
        </w:rPr>
        <w:t>om</w:t>
      </w:r>
      <w:r w:rsidRPr="00972868">
        <w:rPr>
          <w:rFonts w:ascii="Times New Roman" w:hAnsi="Times New Roman"/>
          <w:sz w:val="22"/>
          <w:szCs w:val="22"/>
        </w:rPr>
        <w:t xml:space="preserve"> má v tejto diéte pokračovať.</w:t>
      </w:r>
    </w:p>
    <w:p w14:paraId="095C42E0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337E4B84" w14:textId="77777777" w:rsidR="00D42117" w:rsidRPr="00972868" w:rsidRDefault="00D42117" w:rsidP="00D42117">
      <w:pPr>
        <w:keepNext/>
        <w:spacing w:after="0"/>
        <w:ind w:left="567" w:hanging="567"/>
        <w:rPr>
          <w:sz w:val="22"/>
          <w:szCs w:val="22"/>
          <w:u w:val="single"/>
        </w:rPr>
      </w:pPr>
      <w:r w:rsidRPr="00972868">
        <w:rPr>
          <w:sz w:val="22"/>
          <w:szCs w:val="22"/>
          <w:u w:val="single"/>
        </w:rPr>
        <w:t>Dávkovanie</w:t>
      </w:r>
    </w:p>
    <w:p w14:paraId="0F23CD0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Odporúčaná dávka </w:t>
      </w:r>
      <w:r w:rsidR="00421BFC" w:rsidRPr="00972868">
        <w:rPr>
          <w:sz w:val="22"/>
          <w:szCs w:val="22"/>
        </w:rPr>
        <w:t>Coltowan</w:t>
      </w:r>
      <w:r w:rsidR="00D42117" w:rsidRPr="00972868">
        <w:rPr>
          <w:sz w:val="22"/>
          <w:szCs w:val="22"/>
        </w:rPr>
        <w:t>u</w:t>
      </w:r>
      <w:r w:rsidRPr="00972868">
        <w:rPr>
          <w:sz w:val="22"/>
          <w:szCs w:val="22"/>
        </w:rPr>
        <w:t xml:space="preserve"> je 10 mg jedenkrát denne. </w:t>
      </w:r>
    </w:p>
    <w:p w14:paraId="6B7CBF8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lastRenderedPageBreak/>
        <w:t xml:space="preserve">Keď sa </w:t>
      </w:r>
      <w:r w:rsidR="00421BFC" w:rsidRPr="00972868">
        <w:rPr>
          <w:sz w:val="22"/>
          <w:szCs w:val="22"/>
        </w:rPr>
        <w:t>Coltowan</w:t>
      </w:r>
      <w:r w:rsidRPr="00972868">
        <w:rPr>
          <w:sz w:val="22"/>
          <w:szCs w:val="22"/>
        </w:rPr>
        <w:t xml:space="preserve"> pridá k statínu, má sa pokračovať buď v indikovanej zvyčajnej počiatočnej dávke príslušného statínu, alebo sa má pokračovať v už určenej vyššej dávke. V tomto prípade sa treba oboznámiť s pokynmi pre dávkovanie príslušného statínu.</w:t>
      </w:r>
    </w:p>
    <w:p w14:paraId="2BCDB821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0E1D821D" w14:textId="77777777" w:rsidR="00220454" w:rsidRPr="00972868" w:rsidRDefault="00220454" w:rsidP="00220454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</w:rPr>
      </w:pPr>
      <w:r w:rsidRPr="00972868">
        <w:rPr>
          <w:rFonts w:ascii="Times New Roman" w:hAnsi="Times New Roman"/>
          <w:b w:val="0"/>
          <w:sz w:val="22"/>
          <w:szCs w:val="22"/>
        </w:rPr>
        <w:t>Súbežné podávanie so sekvestrantmi žlčových kyselín</w:t>
      </w:r>
    </w:p>
    <w:p w14:paraId="1D1547E3" w14:textId="77777777" w:rsidR="00220454" w:rsidRPr="00972868" w:rsidRDefault="00421BFC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Coltowan</w:t>
      </w:r>
      <w:r w:rsidR="00220454" w:rsidRPr="00972868">
        <w:rPr>
          <w:sz w:val="22"/>
          <w:szCs w:val="22"/>
        </w:rPr>
        <w:t xml:space="preserve"> sa má podať ≥</w:t>
      </w:r>
      <w:r w:rsidR="00EE408A">
        <w:rPr>
          <w:sz w:val="22"/>
          <w:szCs w:val="22"/>
        </w:rPr>
        <w:t xml:space="preserve"> </w:t>
      </w:r>
      <w:r w:rsidR="00220454" w:rsidRPr="00972868">
        <w:rPr>
          <w:sz w:val="22"/>
          <w:szCs w:val="22"/>
        </w:rPr>
        <w:t>2 hodiny pred alebo ≥</w:t>
      </w:r>
      <w:r w:rsidR="00EE408A">
        <w:rPr>
          <w:sz w:val="22"/>
          <w:szCs w:val="22"/>
        </w:rPr>
        <w:t xml:space="preserve"> </w:t>
      </w:r>
      <w:r w:rsidR="00220454" w:rsidRPr="00972868">
        <w:rPr>
          <w:sz w:val="22"/>
          <w:szCs w:val="22"/>
        </w:rPr>
        <w:t>4 hodiny po podaní sekvestrantu žlčov</w:t>
      </w:r>
      <w:r w:rsidR="00EE408A">
        <w:rPr>
          <w:sz w:val="22"/>
          <w:szCs w:val="22"/>
        </w:rPr>
        <w:t>ých</w:t>
      </w:r>
      <w:r w:rsidR="00220454" w:rsidRPr="00972868">
        <w:rPr>
          <w:sz w:val="22"/>
          <w:szCs w:val="22"/>
        </w:rPr>
        <w:t xml:space="preserve"> kysel</w:t>
      </w:r>
      <w:r w:rsidR="00EE408A">
        <w:rPr>
          <w:sz w:val="22"/>
          <w:szCs w:val="22"/>
        </w:rPr>
        <w:t>ín</w:t>
      </w:r>
      <w:r w:rsidR="00220454" w:rsidRPr="00972868">
        <w:rPr>
          <w:sz w:val="22"/>
          <w:szCs w:val="22"/>
        </w:rPr>
        <w:t>.</w:t>
      </w:r>
    </w:p>
    <w:p w14:paraId="54738F87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056137E" w14:textId="77777777" w:rsidR="00220454" w:rsidRPr="00972868" w:rsidRDefault="00220454" w:rsidP="00220454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</w:rPr>
      </w:pPr>
      <w:r w:rsidRPr="00972868">
        <w:rPr>
          <w:rFonts w:ascii="Times New Roman" w:hAnsi="Times New Roman"/>
          <w:b w:val="0"/>
          <w:sz w:val="22"/>
          <w:szCs w:val="22"/>
        </w:rPr>
        <w:t>Staršie osoby</w:t>
      </w:r>
    </w:p>
    <w:p w14:paraId="3136C6BB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U starších pacientov nie je potrebná úprava dávkovania (pozri časť 5.2).</w:t>
      </w:r>
    </w:p>
    <w:p w14:paraId="1D72B47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54816250" w14:textId="77777777" w:rsidR="00220454" w:rsidRPr="00972868" w:rsidRDefault="00220454" w:rsidP="00220454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</w:rPr>
      </w:pPr>
      <w:r w:rsidRPr="00972868">
        <w:rPr>
          <w:rFonts w:ascii="Times New Roman" w:hAnsi="Times New Roman"/>
          <w:b w:val="0"/>
          <w:sz w:val="22"/>
          <w:szCs w:val="22"/>
        </w:rPr>
        <w:t>Pediatrická populácia</w:t>
      </w:r>
    </w:p>
    <w:p w14:paraId="02A57C4B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Liečba sa musí začať pod dohľadom špecialistu.</w:t>
      </w:r>
    </w:p>
    <w:p w14:paraId="219E0BEF" w14:textId="77777777" w:rsidR="00220454" w:rsidRPr="00972868" w:rsidRDefault="00EE408A" w:rsidP="00220454">
      <w:pPr>
        <w:adjustRightInd w:val="0"/>
        <w:snapToGrid w:val="0"/>
        <w:spacing w:after="0"/>
        <w:rPr>
          <w:sz w:val="22"/>
          <w:szCs w:val="22"/>
        </w:rPr>
      </w:pPr>
      <w:r>
        <w:rPr>
          <w:sz w:val="22"/>
          <w:szCs w:val="22"/>
        </w:rPr>
        <w:t>D</w:t>
      </w:r>
      <w:r w:rsidR="00220454" w:rsidRPr="00972868">
        <w:rPr>
          <w:sz w:val="22"/>
          <w:szCs w:val="22"/>
        </w:rPr>
        <w:t xml:space="preserve">ospievajúci </w:t>
      </w:r>
      <w:r>
        <w:rPr>
          <w:sz w:val="22"/>
          <w:szCs w:val="22"/>
        </w:rPr>
        <w:t>a deti nad</w:t>
      </w:r>
      <w:r w:rsidR="00220454" w:rsidRPr="00972868">
        <w:rPr>
          <w:sz w:val="22"/>
          <w:szCs w:val="22"/>
        </w:rPr>
        <w:t> 6 rokov: Bezpečnosť a účinnosť ezetimibu u detí vo veku 6 až 17 rokov neboli doteraz stanovené. V súčasnosti dostupné údaje sú opísané v časti</w:t>
      </w:r>
      <w:r>
        <w:rPr>
          <w:sz w:val="22"/>
          <w:szCs w:val="22"/>
        </w:rPr>
        <w:t>ach</w:t>
      </w:r>
      <w:r w:rsidR="00220454" w:rsidRPr="00972868">
        <w:rPr>
          <w:sz w:val="22"/>
          <w:szCs w:val="22"/>
        </w:rPr>
        <w:t xml:space="preserve"> 4.4, 4.8, 5.1 a 5.2,</w:t>
      </w:r>
      <w:r w:rsidR="00220454" w:rsidRPr="00972868">
        <w:rPr>
          <w:color w:val="008000"/>
          <w:sz w:val="22"/>
          <w:szCs w:val="22"/>
        </w:rPr>
        <w:t xml:space="preserve"> </w:t>
      </w:r>
      <w:r w:rsidR="00220454" w:rsidRPr="00972868">
        <w:rPr>
          <w:sz w:val="22"/>
          <w:szCs w:val="22"/>
        </w:rPr>
        <w:t>ale</w:t>
      </w:r>
      <w:r w:rsidR="00220454" w:rsidRPr="00972868">
        <w:rPr>
          <w:color w:val="008000"/>
          <w:sz w:val="22"/>
          <w:szCs w:val="22"/>
        </w:rPr>
        <w:t xml:space="preserve"> </w:t>
      </w:r>
      <w:r w:rsidR="00220454" w:rsidRPr="00972868">
        <w:rPr>
          <w:sz w:val="22"/>
          <w:szCs w:val="22"/>
        </w:rPr>
        <w:t xml:space="preserve">neumožňujú uviesť odporúčania </w:t>
      </w:r>
      <w:r>
        <w:rPr>
          <w:sz w:val="22"/>
          <w:szCs w:val="22"/>
        </w:rPr>
        <w:t>pre</w:t>
      </w:r>
      <w:r w:rsidR="00220454" w:rsidRPr="00972868">
        <w:rPr>
          <w:sz w:val="22"/>
          <w:szCs w:val="22"/>
        </w:rPr>
        <w:t xml:space="preserve"> dávkovanie.</w:t>
      </w:r>
    </w:p>
    <w:p w14:paraId="473C9CA1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B519DE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Keď sa </w:t>
      </w:r>
      <w:r w:rsidR="00421BFC" w:rsidRPr="00972868">
        <w:rPr>
          <w:sz w:val="22"/>
          <w:szCs w:val="22"/>
        </w:rPr>
        <w:t>Coltowan</w:t>
      </w:r>
      <w:r w:rsidRPr="00972868">
        <w:rPr>
          <w:sz w:val="22"/>
          <w:szCs w:val="22"/>
        </w:rPr>
        <w:t xml:space="preserve"> podáva so statínom, majú sa vziať do úvahy pokyny pre dávkovanie statínu u detí.</w:t>
      </w:r>
    </w:p>
    <w:p w14:paraId="0524C4AD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6E99D538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Deti </w:t>
      </w:r>
      <w:r w:rsidR="00EE408A">
        <w:rPr>
          <w:sz w:val="22"/>
          <w:szCs w:val="22"/>
        </w:rPr>
        <w:t>mladšie ako</w:t>
      </w:r>
      <w:r w:rsidRPr="00972868">
        <w:rPr>
          <w:sz w:val="22"/>
          <w:szCs w:val="22"/>
        </w:rPr>
        <w:t xml:space="preserve"> 6 rokov: Bezpečnosť a účinnosť ezetimibu u detí vo veku </w:t>
      </w:r>
      <w:r w:rsidR="00EE408A">
        <w:rPr>
          <w:sz w:val="22"/>
          <w:szCs w:val="22"/>
        </w:rPr>
        <w:t>do</w:t>
      </w:r>
      <w:r w:rsidRPr="00972868">
        <w:rPr>
          <w:sz w:val="22"/>
          <w:szCs w:val="22"/>
        </w:rPr>
        <w:t xml:space="preserve"> 6 rokov neboli stanovené. K dispozícii nie sú žiadne údaje.</w:t>
      </w:r>
    </w:p>
    <w:p w14:paraId="1E95C44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2977FE0" w14:textId="77777777" w:rsidR="00220454" w:rsidRPr="00972868" w:rsidRDefault="00220454" w:rsidP="00220454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</w:rPr>
      </w:pPr>
      <w:r w:rsidRPr="00972868">
        <w:rPr>
          <w:rFonts w:ascii="Times New Roman" w:hAnsi="Times New Roman"/>
          <w:b w:val="0"/>
          <w:sz w:val="22"/>
          <w:szCs w:val="22"/>
        </w:rPr>
        <w:t>Pacienti s poruchou funkcie pečene</w:t>
      </w:r>
    </w:p>
    <w:p w14:paraId="3911BB6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U pacientov s miernou poruchou funkcie pečene (Childovo-Pughovo skóre 5 až 6) nie je potrebná žiadna úprava dávkovania. U pacientov so stredne ťažkou (Childovo-Pughovo skóre 7 až 9) alebo ťažkou pečeňovou dysfunkciou (Childovo-Pughovo skóre &gt;</w:t>
      </w:r>
      <w:r w:rsidR="00EE408A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 xml:space="preserve">9) sa liečba </w:t>
      </w:r>
      <w:r w:rsidR="00421BFC" w:rsidRPr="00972868">
        <w:rPr>
          <w:sz w:val="22"/>
          <w:szCs w:val="22"/>
        </w:rPr>
        <w:t>Coltowan</w:t>
      </w:r>
      <w:r w:rsidR="00181FBC" w:rsidRPr="00972868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neodporúča (pozri časti 4.4 a 5.2).</w:t>
      </w:r>
    </w:p>
    <w:p w14:paraId="784EF7D1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0885FCDF" w14:textId="77777777" w:rsidR="00220454" w:rsidRPr="00972868" w:rsidRDefault="00220454" w:rsidP="00220454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</w:rPr>
      </w:pPr>
      <w:r w:rsidRPr="00972868">
        <w:rPr>
          <w:rFonts w:ascii="Times New Roman" w:hAnsi="Times New Roman"/>
          <w:b w:val="0"/>
          <w:sz w:val="22"/>
          <w:szCs w:val="22"/>
        </w:rPr>
        <w:t>Pacienti s poruchou funkcie obličiek</w:t>
      </w:r>
    </w:p>
    <w:p w14:paraId="1742B8E0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U pacientov s poruchou funkcie obličiek nie je potrebná žiadna úprava dávkovania (pozri časť 5.2).</w:t>
      </w:r>
    </w:p>
    <w:p w14:paraId="75BB3640" w14:textId="77777777" w:rsidR="00D42117" w:rsidRPr="00972868" w:rsidRDefault="00D42117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A1D1D07" w14:textId="77777777" w:rsidR="00181FBC" w:rsidRPr="00972868" w:rsidRDefault="00181FBC" w:rsidP="00220454">
      <w:pPr>
        <w:adjustRightInd w:val="0"/>
        <w:snapToGrid w:val="0"/>
        <w:spacing w:after="0"/>
        <w:rPr>
          <w:sz w:val="22"/>
          <w:szCs w:val="22"/>
          <w:u w:val="single"/>
        </w:rPr>
      </w:pPr>
      <w:r w:rsidRPr="00972868">
        <w:rPr>
          <w:sz w:val="22"/>
          <w:szCs w:val="22"/>
          <w:u w:val="single"/>
        </w:rPr>
        <w:t>Spôsob podávania</w:t>
      </w:r>
    </w:p>
    <w:p w14:paraId="39EF5F0C" w14:textId="77777777" w:rsidR="00220454" w:rsidRPr="00972868" w:rsidRDefault="00D42117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Liek sa podáva perorálne.</w:t>
      </w:r>
    </w:p>
    <w:p w14:paraId="2F1E3078" w14:textId="77777777" w:rsidR="00D42117" w:rsidRPr="00972868" w:rsidRDefault="00D42117" w:rsidP="00D42117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Coltowan sa môže podávať kedykoľvek v priebehu dňa, s jedlom alebo bez jedla.</w:t>
      </w:r>
    </w:p>
    <w:p w14:paraId="34362EA8" w14:textId="77777777" w:rsidR="00D42117" w:rsidRPr="00972868" w:rsidRDefault="00D42117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1DA8AC50" w14:textId="77777777" w:rsidR="00220454" w:rsidRPr="00972868" w:rsidRDefault="00220454" w:rsidP="00220454">
      <w:pPr>
        <w:pStyle w:val="Predmetkomentra"/>
        <w:keepNext/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4.3</w:t>
      </w:r>
      <w:r w:rsidRPr="00972868">
        <w:rPr>
          <w:sz w:val="22"/>
          <w:szCs w:val="22"/>
        </w:rPr>
        <w:tab/>
        <w:t>Kontraindikácie</w:t>
      </w:r>
    </w:p>
    <w:p w14:paraId="6AE74543" w14:textId="77777777" w:rsidR="00220454" w:rsidRPr="00972868" w:rsidRDefault="00220454" w:rsidP="00D42117">
      <w:pPr>
        <w:pStyle w:val="Textkomentra"/>
        <w:adjustRightInd w:val="0"/>
        <w:snapToGrid w:val="0"/>
        <w:spacing w:after="0"/>
        <w:rPr>
          <w:caps/>
          <w:sz w:val="22"/>
          <w:szCs w:val="22"/>
        </w:rPr>
      </w:pPr>
    </w:p>
    <w:p w14:paraId="45591121" w14:textId="77777777" w:rsidR="00220454" w:rsidRPr="00972868" w:rsidRDefault="00220454" w:rsidP="00BE1313">
      <w:pPr>
        <w:pStyle w:val="Odsekzoznamu"/>
        <w:numPr>
          <w:ilvl w:val="0"/>
          <w:numId w:val="23"/>
        </w:numPr>
        <w:adjustRightInd w:val="0"/>
        <w:snapToGrid w:val="0"/>
        <w:spacing w:after="0"/>
        <w:ind w:left="567" w:hanging="567"/>
        <w:rPr>
          <w:sz w:val="22"/>
          <w:szCs w:val="22"/>
        </w:rPr>
      </w:pPr>
      <w:r w:rsidRPr="00972868">
        <w:rPr>
          <w:sz w:val="22"/>
          <w:szCs w:val="22"/>
        </w:rPr>
        <w:t xml:space="preserve">Precitlivenosť na liečivo alebo </w:t>
      </w:r>
      <w:r w:rsidR="00181FBC" w:rsidRPr="00972868">
        <w:rPr>
          <w:sz w:val="22"/>
          <w:szCs w:val="22"/>
        </w:rPr>
        <w:t xml:space="preserve">na </w:t>
      </w:r>
      <w:r w:rsidRPr="00972868">
        <w:rPr>
          <w:sz w:val="22"/>
          <w:szCs w:val="22"/>
        </w:rPr>
        <w:t>ktorúkoľvek z pomocných látok uvedených v časti 6.1.</w:t>
      </w:r>
    </w:p>
    <w:p w14:paraId="04F2E726" w14:textId="77777777" w:rsidR="00220454" w:rsidRPr="00972868" w:rsidRDefault="00220454" w:rsidP="00BE1313">
      <w:pPr>
        <w:pStyle w:val="Odsekzoznamu"/>
        <w:numPr>
          <w:ilvl w:val="0"/>
          <w:numId w:val="23"/>
        </w:numPr>
        <w:adjustRightInd w:val="0"/>
        <w:snapToGrid w:val="0"/>
        <w:spacing w:after="0"/>
        <w:ind w:left="567" w:hanging="567"/>
        <w:rPr>
          <w:sz w:val="22"/>
          <w:szCs w:val="22"/>
        </w:rPr>
      </w:pPr>
      <w:r w:rsidRPr="00972868">
        <w:rPr>
          <w:sz w:val="22"/>
          <w:szCs w:val="22"/>
        </w:rPr>
        <w:t xml:space="preserve">Ak sa </w:t>
      </w:r>
      <w:r w:rsidR="00421BFC" w:rsidRPr="00972868">
        <w:rPr>
          <w:sz w:val="22"/>
          <w:szCs w:val="22"/>
        </w:rPr>
        <w:t>Coltowan</w:t>
      </w:r>
      <w:r w:rsidRPr="00972868">
        <w:rPr>
          <w:sz w:val="22"/>
          <w:szCs w:val="22"/>
        </w:rPr>
        <w:t xml:space="preserve"> podáva súbežne so statínom, oboznámte sa, prosím, s SPC príslušného lieku.</w:t>
      </w:r>
    </w:p>
    <w:p w14:paraId="759A4D35" w14:textId="77777777" w:rsidR="00220454" w:rsidRPr="00972868" w:rsidRDefault="00220454" w:rsidP="00BE1313">
      <w:pPr>
        <w:pStyle w:val="Odsekzoznamu"/>
        <w:numPr>
          <w:ilvl w:val="0"/>
          <w:numId w:val="23"/>
        </w:numPr>
        <w:adjustRightInd w:val="0"/>
        <w:snapToGrid w:val="0"/>
        <w:spacing w:after="0"/>
        <w:ind w:left="567" w:hanging="567"/>
        <w:rPr>
          <w:sz w:val="22"/>
          <w:szCs w:val="22"/>
        </w:rPr>
      </w:pPr>
      <w:r w:rsidRPr="00972868">
        <w:rPr>
          <w:sz w:val="22"/>
          <w:szCs w:val="22"/>
        </w:rPr>
        <w:t xml:space="preserve">Liečba </w:t>
      </w:r>
      <w:r w:rsidR="00421BFC" w:rsidRPr="00972868">
        <w:rPr>
          <w:sz w:val="22"/>
          <w:szCs w:val="22"/>
        </w:rPr>
        <w:t>Coltowan</w:t>
      </w:r>
      <w:r w:rsidR="00181FBC" w:rsidRPr="00972868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súbežne so statínom je počas gravidity a laktácie kontraindikovaná.</w:t>
      </w:r>
    </w:p>
    <w:p w14:paraId="3B90D122" w14:textId="77777777" w:rsidR="00220454" w:rsidRPr="00972868" w:rsidRDefault="00421BFC" w:rsidP="00BE1313">
      <w:pPr>
        <w:pStyle w:val="Odsekzoznamu"/>
        <w:numPr>
          <w:ilvl w:val="0"/>
          <w:numId w:val="23"/>
        </w:numPr>
        <w:adjustRightInd w:val="0"/>
        <w:snapToGrid w:val="0"/>
        <w:spacing w:after="0"/>
        <w:ind w:left="567" w:hanging="567"/>
        <w:rPr>
          <w:sz w:val="22"/>
          <w:szCs w:val="22"/>
        </w:rPr>
      </w:pPr>
      <w:r w:rsidRPr="00972868">
        <w:rPr>
          <w:sz w:val="22"/>
          <w:szCs w:val="22"/>
        </w:rPr>
        <w:t>Coltowan</w:t>
      </w:r>
      <w:r w:rsidR="00220454" w:rsidRPr="00972868">
        <w:rPr>
          <w:sz w:val="22"/>
          <w:szCs w:val="22"/>
        </w:rPr>
        <w:t xml:space="preserve"> súbežne podávaný so statínom je kontraindikovaný u pacientov s aktívnym ochorením pečene alebo nevysvetlenými pretrvávajúcimi zvýšeniami sérových transamináz.</w:t>
      </w:r>
    </w:p>
    <w:p w14:paraId="3DB3C7F7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350B1491" w14:textId="77777777" w:rsidR="00220454" w:rsidRPr="00972868" w:rsidRDefault="00220454" w:rsidP="00220454">
      <w:pPr>
        <w:pStyle w:val="Predmetkomentra"/>
        <w:keepNext/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4.4</w:t>
      </w:r>
      <w:r w:rsidRPr="00972868">
        <w:rPr>
          <w:sz w:val="22"/>
          <w:szCs w:val="22"/>
        </w:rPr>
        <w:tab/>
        <w:t>Osobitné upozornenia a opatrenia pri používaní</w:t>
      </w:r>
    </w:p>
    <w:p w14:paraId="0520BD3F" w14:textId="77777777" w:rsidR="00220454" w:rsidRPr="00972868" w:rsidRDefault="00220454" w:rsidP="00D42117">
      <w:pPr>
        <w:pStyle w:val="Textkomentra"/>
        <w:adjustRightInd w:val="0"/>
        <w:snapToGrid w:val="0"/>
        <w:spacing w:after="0"/>
        <w:rPr>
          <w:caps/>
          <w:sz w:val="22"/>
          <w:szCs w:val="22"/>
        </w:rPr>
      </w:pPr>
    </w:p>
    <w:p w14:paraId="5408C0B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Ak sa </w:t>
      </w:r>
      <w:r w:rsidR="00421BFC" w:rsidRPr="00972868">
        <w:rPr>
          <w:sz w:val="22"/>
          <w:szCs w:val="22"/>
        </w:rPr>
        <w:t>Coltowan</w:t>
      </w:r>
      <w:r w:rsidRPr="00972868">
        <w:rPr>
          <w:sz w:val="22"/>
          <w:szCs w:val="22"/>
        </w:rPr>
        <w:t xml:space="preserve"> podáva súbežne so statínom, oboznámte sa, prosím, s SPC príslušného lieku.</w:t>
      </w:r>
    </w:p>
    <w:p w14:paraId="6ED5704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0D428C60" w14:textId="77777777" w:rsidR="00220454" w:rsidRPr="00972868" w:rsidRDefault="00220454" w:rsidP="00220454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  <w:u w:val="single"/>
        </w:rPr>
      </w:pPr>
      <w:r w:rsidRPr="00972868">
        <w:rPr>
          <w:rFonts w:ascii="Times New Roman" w:hAnsi="Times New Roman"/>
          <w:b w:val="0"/>
          <w:sz w:val="22"/>
          <w:szCs w:val="22"/>
          <w:u w:val="single"/>
        </w:rPr>
        <w:t>Pečeňové enzýmy</w:t>
      </w:r>
    </w:p>
    <w:p w14:paraId="4D0FF42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V kontrolovaných skúšaniach súbežného podávania sa u pacientov užívajúcich </w:t>
      </w:r>
      <w:r w:rsidR="001058E7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so statínom pozorovali </w:t>
      </w:r>
      <w:r w:rsidR="00244719">
        <w:rPr>
          <w:sz w:val="22"/>
          <w:szCs w:val="22"/>
        </w:rPr>
        <w:t>následné</w:t>
      </w:r>
      <w:r w:rsidRPr="00972868">
        <w:rPr>
          <w:sz w:val="22"/>
          <w:szCs w:val="22"/>
        </w:rPr>
        <w:t xml:space="preserve"> zvýšenia transamináz (≥</w:t>
      </w:r>
      <w:r w:rsidR="003F3474" w:rsidRPr="00972868">
        <w:rPr>
          <w:sz w:val="22"/>
          <w:szCs w:val="22"/>
        </w:rPr>
        <w:t xml:space="preserve"> </w:t>
      </w:r>
      <w:r w:rsidR="00345C50">
        <w:rPr>
          <w:sz w:val="22"/>
          <w:szCs w:val="22"/>
        </w:rPr>
        <w:t>troj</w:t>
      </w:r>
      <w:r w:rsidR="003F3474" w:rsidRPr="00972868">
        <w:rPr>
          <w:sz w:val="22"/>
          <w:szCs w:val="22"/>
        </w:rPr>
        <w:t xml:space="preserve">násobok </w:t>
      </w:r>
      <w:r w:rsidRPr="00972868">
        <w:rPr>
          <w:sz w:val="22"/>
          <w:szCs w:val="22"/>
        </w:rPr>
        <w:t xml:space="preserve">hornej hranice normy [HHN]). Ak sa </w:t>
      </w:r>
      <w:r w:rsidR="00421BFC" w:rsidRPr="00972868">
        <w:rPr>
          <w:sz w:val="22"/>
          <w:szCs w:val="22"/>
        </w:rPr>
        <w:t>Coltowan</w:t>
      </w:r>
      <w:r w:rsidRPr="00972868">
        <w:rPr>
          <w:sz w:val="22"/>
          <w:szCs w:val="22"/>
        </w:rPr>
        <w:t xml:space="preserve"> podáva súbežne so statínom, majú sa na začiatku liečby a ďalej podľa odporúčaní pri príslušnom statíne urobiť vyšetrenia funkcie pečene (pozri časť 4.8).</w:t>
      </w:r>
    </w:p>
    <w:p w14:paraId="7816354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070634EB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 kontrolovan</w:t>
      </w:r>
      <w:r w:rsidR="00FA20EB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klinick</w:t>
      </w:r>
      <w:r w:rsidR="00FA20EB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</w:t>
      </w:r>
      <w:r w:rsidR="00FA20EB">
        <w:rPr>
          <w:sz w:val="22"/>
          <w:szCs w:val="22"/>
        </w:rPr>
        <w:t>skúšaní</w:t>
      </w:r>
      <w:r w:rsidRPr="00972868">
        <w:rPr>
          <w:sz w:val="22"/>
          <w:szCs w:val="22"/>
        </w:rPr>
        <w:t>, v ktor</w:t>
      </w:r>
      <w:r w:rsidR="00FA20EB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bolo viac ako 9 000 pacientov s chronickým ochorením obličiek randomizovaných na užívanie </w:t>
      </w:r>
      <w:r w:rsidR="001058E7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 10 mg v kombinácii s 20 mg simvastatínu denne (n = 4 650) alebo placeba (n = 4 620) (medián sledovaného obdobia 4,9 rokov), bol výskyt </w:t>
      </w:r>
      <w:r w:rsidR="00244719">
        <w:rPr>
          <w:sz w:val="22"/>
          <w:szCs w:val="22"/>
        </w:rPr>
        <w:t>následných</w:t>
      </w:r>
      <w:r w:rsidRPr="00972868">
        <w:rPr>
          <w:sz w:val="22"/>
          <w:szCs w:val="22"/>
        </w:rPr>
        <w:t xml:space="preserve"> zvýšení transamináz (</w:t>
      </w:r>
      <w:r w:rsidRPr="00972868">
        <w:rPr>
          <w:color w:val="000000"/>
          <w:sz w:val="22"/>
          <w:szCs w:val="22"/>
        </w:rPr>
        <w:t>&gt; </w:t>
      </w:r>
      <w:r w:rsidR="00345C50">
        <w:rPr>
          <w:color w:val="000000"/>
          <w:sz w:val="22"/>
          <w:szCs w:val="22"/>
        </w:rPr>
        <w:t>troj</w:t>
      </w:r>
      <w:r w:rsidR="003F3474" w:rsidRPr="00972868">
        <w:rPr>
          <w:sz w:val="22"/>
          <w:szCs w:val="22"/>
        </w:rPr>
        <w:t>násobok</w:t>
      </w:r>
      <w:r w:rsidRPr="00972868">
        <w:rPr>
          <w:color w:val="000000"/>
          <w:sz w:val="22"/>
          <w:szCs w:val="22"/>
        </w:rPr>
        <w:t xml:space="preserve"> HHN) 0,7 % pri </w:t>
      </w:r>
      <w:r w:rsidR="001058E7" w:rsidRPr="00972868">
        <w:rPr>
          <w:color w:val="000000"/>
          <w:sz w:val="22"/>
          <w:szCs w:val="22"/>
        </w:rPr>
        <w:t>ezetimibe</w:t>
      </w:r>
      <w:r w:rsidRPr="00972868">
        <w:rPr>
          <w:color w:val="000000"/>
          <w:sz w:val="22"/>
          <w:szCs w:val="22"/>
        </w:rPr>
        <w:t xml:space="preserve"> v kombinácii so simvastatínom a 0,6 % pri placebe (pozri časť 4.8).</w:t>
      </w:r>
    </w:p>
    <w:p w14:paraId="1428CC4D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C3270E6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  <w:u w:val="single"/>
        </w:rPr>
      </w:pPr>
      <w:r w:rsidRPr="00972868">
        <w:rPr>
          <w:i/>
          <w:sz w:val="22"/>
          <w:szCs w:val="22"/>
          <w:u w:val="single"/>
        </w:rPr>
        <w:t>Kostrový sval</w:t>
      </w:r>
    </w:p>
    <w:p w14:paraId="362219F9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 rámci skúseností s </w:t>
      </w:r>
      <w:r w:rsidR="001058E7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 po jeho uvedení na trh sa hlásili prípady myopatie a rabdomyolýzy. Väčšina pacientov, u ktorých vznikla rabdomyolýza, užívala statín súbežne s </w:t>
      </w:r>
      <w:r w:rsidR="001058E7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. Rabdomyolýza však bola hlásená veľmi zriedkavo pri monoterapii </w:t>
      </w:r>
      <w:r w:rsidR="001058E7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 a veľmi zriedkavo pri pridaní </w:t>
      </w:r>
      <w:r w:rsidR="001058E7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 k iným látkam, o ktorých je známe, že sú spojené so zvýšeným rizikom rabdomyolýzy. Ak je podozrenie na myopatiu na základe svalových príznakov alebo ak je potvrdená </w:t>
      </w:r>
      <w:r w:rsidR="001058E7" w:rsidRPr="00972868">
        <w:rPr>
          <w:sz w:val="22"/>
          <w:szCs w:val="22"/>
        </w:rPr>
        <w:t>hladinou kreatínkinázy (CK) &gt;</w:t>
      </w:r>
      <w:r w:rsidR="003F3474" w:rsidRPr="00972868">
        <w:rPr>
          <w:sz w:val="22"/>
          <w:szCs w:val="22"/>
        </w:rPr>
        <w:t xml:space="preserve"> </w:t>
      </w:r>
      <w:r w:rsidR="00345C50">
        <w:rPr>
          <w:sz w:val="22"/>
          <w:szCs w:val="22"/>
        </w:rPr>
        <w:t>desať</w:t>
      </w:r>
      <w:r w:rsidRPr="00972868">
        <w:rPr>
          <w:sz w:val="22"/>
          <w:szCs w:val="22"/>
        </w:rPr>
        <w:t xml:space="preserve">násobok HHN, podávanie </w:t>
      </w:r>
      <w:r w:rsidR="001058E7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, akéhokoľvek statínu a akýchkoľvek iných týchto látok, ktoré pacient užíva súbežne, musí byť okamžite ukončené. Všetci pacienti, u ktorých sa začína s liečbou </w:t>
      </w:r>
      <w:r w:rsidR="00421BFC" w:rsidRPr="00972868">
        <w:rPr>
          <w:sz w:val="22"/>
          <w:szCs w:val="22"/>
        </w:rPr>
        <w:t>Coltowan</w:t>
      </w:r>
      <w:r w:rsidR="001058E7" w:rsidRPr="00972868">
        <w:rPr>
          <w:sz w:val="22"/>
          <w:szCs w:val="22"/>
        </w:rPr>
        <w:t>om</w:t>
      </w:r>
      <w:r w:rsidRPr="00972868">
        <w:rPr>
          <w:sz w:val="22"/>
          <w:szCs w:val="22"/>
        </w:rPr>
        <w:t>, musia byť oboznámení s rizikom myopatie a upozornení, aby okamžite hlásili akúkoľvek nevysvetliteľnú svalovú boles</w:t>
      </w:r>
      <w:r w:rsidR="00345C50">
        <w:rPr>
          <w:sz w:val="22"/>
          <w:szCs w:val="22"/>
        </w:rPr>
        <w:t>tivosť</w:t>
      </w:r>
      <w:r w:rsidRPr="00972868">
        <w:rPr>
          <w:sz w:val="22"/>
          <w:szCs w:val="22"/>
        </w:rPr>
        <w:t>, citlivosť alebo slabosť (pozri časť 4.8).</w:t>
      </w:r>
    </w:p>
    <w:p w14:paraId="554B2705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3F24C22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V klinickom skúšaní, v ktorom bolo viac ako 9 000 pacientov s chronickým ochorením obličiek randomizovaných na užívanie </w:t>
      </w:r>
      <w:r w:rsidR="001058E7" w:rsidRPr="00972868">
        <w:rPr>
          <w:sz w:val="22"/>
          <w:szCs w:val="22"/>
        </w:rPr>
        <w:t xml:space="preserve">ezetimibu </w:t>
      </w:r>
      <w:r w:rsidRPr="00972868">
        <w:rPr>
          <w:sz w:val="22"/>
          <w:szCs w:val="22"/>
        </w:rPr>
        <w:t xml:space="preserve">10 mg v kombinácii s 20 mg simvastatínu denne (n = 4 650) alebo placeba (n = 4 620) (medián sledovania 4,9 rokov), bol výskyt myopatie/rabdomyolýzy </w:t>
      </w:r>
      <w:r w:rsidRPr="00972868">
        <w:rPr>
          <w:color w:val="000000"/>
          <w:sz w:val="22"/>
          <w:szCs w:val="22"/>
        </w:rPr>
        <w:t xml:space="preserve">0,2 % pri </w:t>
      </w:r>
      <w:r w:rsidR="001058E7" w:rsidRPr="00972868">
        <w:rPr>
          <w:color w:val="000000"/>
          <w:sz w:val="22"/>
          <w:szCs w:val="22"/>
        </w:rPr>
        <w:t>ezetimibe</w:t>
      </w:r>
      <w:r w:rsidRPr="00972868">
        <w:rPr>
          <w:color w:val="000000"/>
          <w:sz w:val="22"/>
          <w:szCs w:val="22"/>
        </w:rPr>
        <w:t xml:space="preserve"> v kombinácii so simvastatínom a 0,1 % pri placebe (pozri časť 4.8).</w:t>
      </w:r>
    </w:p>
    <w:p w14:paraId="003A56FA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59275663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  <w:u w:val="single"/>
        </w:rPr>
      </w:pPr>
      <w:r w:rsidRPr="00972868">
        <w:rPr>
          <w:i/>
          <w:sz w:val="22"/>
          <w:szCs w:val="22"/>
          <w:u w:val="single"/>
        </w:rPr>
        <w:t>Pacienti s poruchou funkcie pečene</w:t>
      </w:r>
    </w:p>
    <w:p w14:paraId="5529FC31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V dôsledku neznámych účinkov zvýšenej expozície ezetimibu u pacientov so stredne ťažkou alebo ťažkou poruchou funkcie pečene sa u nich </w:t>
      </w:r>
      <w:r w:rsidR="00421BFC" w:rsidRPr="00972868">
        <w:rPr>
          <w:sz w:val="22"/>
          <w:szCs w:val="22"/>
        </w:rPr>
        <w:t>Coltowan</w:t>
      </w:r>
      <w:r w:rsidRPr="00972868">
        <w:rPr>
          <w:sz w:val="22"/>
          <w:szCs w:val="22"/>
        </w:rPr>
        <w:t xml:space="preserve"> neodporúča (pozri časť 5.2).</w:t>
      </w:r>
    </w:p>
    <w:p w14:paraId="46BCBF10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51FAABCB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sz w:val="22"/>
          <w:szCs w:val="22"/>
          <w:u w:val="single"/>
        </w:rPr>
      </w:pPr>
      <w:r w:rsidRPr="00972868">
        <w:rPr>
          <w:sz w:val="22"/>
          <w:szCs w:val="22"/>
          <w:u w:val="single"/>
        </w:rPr>
        <w:t>Pediatrická populácia</w:t>
      </w:r>
    </w:p>
    <w:p w14:paraId="189D6291" w14:textId="77777777" w:rsidR="00220454" w:rsidRPr="00972868" w:rsidRDefault="00220454" w:rsidP="00220454">
      <w:pPr>
        <w:adjustRightInd w:val="0"/>
        <w:snapToGrid w:val="0"/>
        <w:spacing w:after="0"/>
        <w:rPr>
          <w:bCs/>
          <w:iCs/>
          <w:sz w:val="22"/>
          <w:szCs w:val="22"/>
        </w:rPr>
      </w:pPr>
      <w:r w:rsidRPr="00972868">
        <w:rPr>
          <w:sz w:val="22"/>
          <w:szCs w:val="22"/>
        </w:rPr>
        <w:t xml:space="preserve">Účinnosť a bezpečnosť </w:t>
      </w:r>
      <w:r w:rsidR="001058E7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 u pacientov vo veku 6 až 10 rokov s heterozygotnou familiárnou alebo non-familiárnou hypercholesterolémiou boli hodnotené v 12-týždňovom placebom kontrolovanom klinickom skúšaní. Účinky ezetimibu počas obdobia liečby </w:t>
      </w:r>
      <w:r w:rsidR="00345C50">
        <w:rPr>
          <w:bCs/>
          <w:iCs/>
          <w:sz w:val="22"/>
          <w:szCs w:val="22"/>
        </w:rPr>
        <w:t>viac ako</w:t>
      </w:r>
      <w:r w:rsidRPr="00972868">
        <w:rPr>
          <w:bCs/>
          <w:iCs/>
          <w:sz w:val="22"/>
          <w:szCs w:val="22"/>
        </w:rPr>
        <w:t> 12 týždňov neboli v tejto vekovej skupine skúmané (pozri časti 4.2, 4.8, 5.1 a 5.2).</w:t>
      </w:r>
    </w:p>
    <w:p w14:paraId="68DB03A7" w14:textId="77777777" w:rsidR="00220454" w:rsidRPr="00972868" w:rsidRDefault="00220454" w:rsidP="00220454">
      <w:pPr>
        <w:adjustRightInd w:val="0"/>
        <w:snapToGrid w:val="0"/>
        <w:spacing w:after="0"/>
        <w:rPr>
          <w:bCs/>
          <w:iCs/>
          <w:sz w:val="22"/>
          <w:szCs w:val="22"/>
        </w:rPr>
      </w:pPr>
    </w:p>
    <w:p w14:paraId="3528199A" w14:textId="77777777" w:rsidR="00220454" w:rsidRPr="00972868" w:rsidRDefault="001058E7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bCs/>
          <w:iCs/>
          <w:sz w:val="22"/>
          <w:szCs w:val="22"/>
        </w:rPr>
        <w:t>Ezetimib</w:t>
      </w:r>
      <w:r w:rsidR="00220454" w:rsidRPr="00972868">
        <w:rPr>
          <w:bCs/>
          <w:iCs/>
          <w:sz w:val="22"/>
          <w:szCs w:val="22"/>
        </w:rPr>
        <w:t xml:space="preserve"> sa neskúmal u pacientov mladších ako 6 rokov (pozri časti 4.2 a 4.8).</w:t>
      </w:r>
    </w:p>
    <w:p w14:paraId="5E6AED0E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47151032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Účinnosť a bezpečnosť </w:t>
      </w:r>
      <w:r w:rsidR="001058E7" w:rsidRPr="00972868">
        <w:rPr>
          <w:sz w:val="22"/>
          <w:szCs w:val="22"/>
        </w:rPr>
        <w:t xml:space="preserve">ezetimibu </w:t>
      </w:r>
      <w:r w:rsidRPr="00972868">
        <w:rPr>
          <w:sz w:val="22"/>
          <w:szCs w:val="22"/>
        </w:rPr>
        <w:t>súbežne podávaného so simvastatínom u pacientov vo veku 10 až 17 rokov s heterozygotnou familiárnou hypercholesterolémiou boli hodnotené v kontrolovanom klinickom skúšaní u dospievajúcich chlapcov (Tannerovo štádium II alebo vyššie) a u dievčat minimálne jeden rok po menarché.</w:t>
      </w:r>
    </w:p>
    <w:p w14:paraId="0E1B2D67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43A976B9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 t</w:t>
      </w:r>
      <w:r w:rsidR="00FA20EB">
        <w:rPr>
          <w:sz w:val="22"/>
          <w:szCs w:val="22"/>
        </w:rPr>
        <w:t>omto</w:t>
      </w:r>
      <w:r w:rsidRPr="00972868">
        <w:rPr>
          <w:sz w:val="22"/>
          <w:szCs w:val="22"/>
        </w:rPr>
        <w:t>o limitovan</w:t>
      </w:r>
      <w:r w:rsidR="00FA20EB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kontrolovan</w:t>
      </w:r>
      <w:r w:rsidR="00FA20EB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</w:t>
      </w:r>
      <w:r w:rsidR="00FA20EB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nebol u dospievajúcich chlapcov alebo dievčat vo všeobecnosti žiadny zistiteľný vplyv na rast alebo sexuálne dozrievanie, ani akýkoľvek vplyv na dĺžku menštruačného cyklu u dievčat. Účinky ezetimibu na rast a sexuálne dozrievanie počas liečebného obdobia </w:t>
      </w:r>
      <w:r w:rsidR="00345C50">
        <w:rPr>
          <w:sz w:val="22"/>
          <w:szCs w:val="22"/>
        </w:rPr>
        <w:t>viac ako</w:t>
      </w:r>
      <w:r w:rsidR="003F3474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33 týždňov sa však neštudovali (pozri časti 4.2 a 4.8).</w:t>
      </w:r>
    </w:p>
    <w:p w14:paraId="573C7AC9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463F5A38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Bezpečnosť a účinnosť </w:t>
      </w:r>
      <w:r w:rsidR="00354F0B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 súbežne podávaného so simvastatínom v dávkach nad 40 mg denne sa u pediatrických pacientov vo veku 10 až 17 rokov neštudovali.</w:t>
      </w:r>
    </w:p>
    <w:p w14:paraId="0774F11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C518B32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Bezpečnosť a účinnosť </w:t>
      </w:r>
      <w:r w:rsidR="00354F0B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 podávaného súbežne so simvastatínom sa u pediatrických pacientov </w:t>
      </w:r>
      <w:r w:rsidR="00345C50">
        <w:rPr>
          <w:sz w:val="22"/>
          <w:szCs w:val="22"/>
        </w:rPr>
        <w:t>do</w:t>
      </w:r>
      <w:r w:rsidRPr="00972868">
        <w:rPr>
          <w:sz w:val="22"/>
          <w:szCs w:val="22"/>
        </w:rPr>
        <w:t xml:space="preserve"> veku</w:t>
      </w:r>
      <w:r w:rsidR="00345C50">
        <w:rPr>
          <w:sz w:val="22"/>
          <w:szCs w:val="22"/>
        </w:rPr>
        <w:t xml:space="preserve"> </w:t>
      </w:r>
      <w:r w:rsidRPr="00972868">
        <w:rPr>
          <w:rFonts w:cs="TimesNewRomanPSMT"/>
          <w:sz w:val="22"/>
          <w:szCs w:val="22"/>
          <w:lang w:eastAsia="fr-FR" w:bidi="gu-IN"/>
        </w:rPr>
        <w:t>10 rokov neštudovali (pozri časti 4.2 a 4.8).</w:t>
      </w:r>
    </w:p>
    <w:p w14:paraId="4F55CB77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96B66F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Dlhodobá účinnosť liečby </w:t>
      </w:r>
      <w:r w:rsidR="00354F0B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 na zníženie morbidity a mortality v dospelosti sa u pacientov mladších ako 17 rokov neštudovala.</w:t>
      </w:r>
    </w:p>
    <w:p w14:paraId="18596680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38BDF765" w14:textId="77777777" w:rsidR="00220454" w:rsidRPr="00972868" w:rsidRDefault="00220454" w:rsidP="00220454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  <w:u w:val="single"/>
        </w:rPr>
      </w:pPr>
      <w:r w:rsidRPr="00972868">
        <w:rPr>
          <w:rFonts w:ascii="Times New Roman" w:hAnsi="Times New Roman"/>
          <w:b w:val="0"/>
          <w:sz w:val="22"/>
          <w:szCs w:val="22"/>
          <w:u w:val="single"/>
        </w:rPr>
        <w:t>Fibráty</w:t>
      </w:r>
    </w:p>
    <w:p w14:paraId="6AC8AEB0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Bezpečnosť a účinnosť </w:t>
      </w:r>
      <w:r w:rsidR="00354F0B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 podávaného s fibrátmi neboli stanovené.</w:t>
      </w:r>
    </w:p>
    <w:p w14:paraId="2FE27D57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1EEF3F8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bookmarkStart w:id="3" w:name="OLE_LINK3"/>
      <w:bookmarkStart w:id="4" w:name="OLE_LINK4"/>
      <w:r w:rsidRPr="00972868">
        <w:rPr>
          <w:sz w:val="22"/>
          <w:szCs w:val="22"/>
        </w:rPr>
        <w:t xml:space="preserve">Ak je u pacienta užívajúceho </w:t>
      </w:r>
      <w:r w:rsidR="00421BFC" w:rsidRPr="00972868">
        <w:rPr>
          <w:sz w:val="22"/>
          <w:szCs w:val="22"/>
        </w:rPr>
        <w:t>Coltowan</w:t>
      </w:r>
      <w:r w:rsidRPr="00972868">
        <w:rPr>
          <w:sz w:val="22"/>
          <w:szCs w:val="22"/>
        </w:rPr>
        <w:t xml:space="preserve"> a fenofibrát podozrenie na cholelitiázu, je indikované vyšetrenie žlčníka a táto liečba sa má prerušiť (pozri časti 4.5 a 4.8).</w:t>
      </w:r>
      <w:bookmarkEnd w:id="3"/>
      <w:bookmarkEnd w:id="4"/>
    </w:p>
    <w:p w14:paraId="5B66195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6E6972F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  <w:u w:val="single"/>
        </w:rPr>
      </w:pPr>
      <w:r w:rsidRPr="00972868">
        <w:rPr>
          <w:i/>
          <w:sz w:val="22"/>
          <w:szCs w:val="22"/>
          <w:u w:val="single"/>
        </w:rPr>
        <w:lastRenderedPageBreak/>
        <w:t>Cyklosporín</w:t>
      </w:r>
    </w:p>
    <w:p w14:paraId="0742E6F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Ak sa začína podávať </w:t>
      </w:r>
      <w:r w:rsidR="00421BFC" w:rsidRPr="00972868">
        <w:rPr>
          <w:sz w:val="22"/>
          <w:szCs w:val="22"/>
        </w:rPr>
        <w:t>Coltowan</w:t>
      </w:r>
      <w:r w:rsidRPr="00972868">
        <w:rPr>
          <w:sz w:val="22"/>
          <w:szCs w:val="22"/>
        </w:rPr>
        <w:t xml:space="preserve"> počas liečby cyklosporínom, je potrebná opatrnosť. U pacientov užívajúcich </w:t>
      </w:r>
      <w:r w:rsidR="00421BFC" w:rsidRPr="00972868">
        <w:rPr>
          <w:sz w:val="22"/>
          <w:szCs w:val="22"/>
        </w:rPr>
        <w:t>Coltowan</w:t>
      </w:r>
      <w:r w:rsidRPr="00972868">
        <w:rPr>
          <w:sz w:val="22"/>
          <w:szCs w:val="22"/>
        </w:rPr>
        <w:t xml:space="preserve"> a cyklosporín sa majú monitorovať koncentrácie cyklosporínu (pozri časť 4.5).</w:t>
      </w:r>
    </w:p>
    <w:p w14:paraId="2CA2E24D" w14:textId="77777777" w:rsidR="00220454" w:rsidRPr="00972868" w:rsidRDefault="00220454" w:rsidP="00220454">
      <w:pPr>
        <w:adjustRightInd w:val="0"/>
        <w:snapToGrid w:val="0"/>
        <w:spacing w:after="0"/>
        <w:rPr>
          <w:b/>
          <w:bCs/>
          <w:i/>
          <w:iCs/>
          <w:sz w:val="22"/>
          <w:szCs w:val="22"/>
        </w:rPr>
      </w:pPr>
    </w:p>
    <w:p w14:paraId="7FD07EA2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  <w:u w:val="single"/>
        </w:rPr>
      </w:pPr>
      <w:r w:rsidRPr="00972868">
        <w:rPr>
          <w:i/>
          <w:sz w:val="22"/>
          <w:szCs w:val="22"/>
          <w:u w:val="single"/>
        </w:rPr>
        <w:t>Antikoagulanciá</w:t>
      </w:r>
    </w:p>
    <w:p w14:paraId="7C9704CF" w14:textId="77777777" w:rsidR="00220454" w:rsidRPr="00972868" w:rsidRDefault="00220454" w:rsidP="00220454">
      <w:pPr>
        <w:adjustRightInd w:val="0"/>
        <w:snapToGrid w:val="0"/>
        <w:spacing w:after="0"/>
        <w:rPr>
          <w:bCs/>
          <w:iCs/>
          <w:sz w:val="22"/>
          <w:szCs w:val="22"/>
        </w:rPr>
      </w:pPr>
      <w:r w:rsidRPr="00972868">
        <w:rPr>
          <w:bCs/>
          <w:iCs/>
          <w:sz w:val="22"/>
          <w:szCs w:val="22"/>
        </w:rPr>
        <w:t xml:space="preserve">Ak je </w:t>
      </w:r>
      <w:r w:rsidR="00421BFC" w:rsidRPr="00972868">
        <w:rPr>
          <w:bCs/>
          <w:iCs/>
          <w:sz w:val="22"/>
          <w:szCs w:val="22"/>
        </w:rPr>
        <w:t>Coltowan</w:t>
      </w:r>
      <w:r w:rsidRPr="00972868">
        <w:rPr>
          <w:bCs/>
          <w:iCs/>
          <w:sz w:val="22"/>
          <w:szCs w:val="22"/>
        </w:rPr>
        <w:t xml:space="preserve"> pridaný k warfarínu, k inému kumarínovému antikoagulantu alebo k fluindiónu, je potrebné náležite sledovať medzinárodný normalizovaný pomer (International Normalized Ratio, INR) (pozri časť 4.5).</w:t>
      </w:r>
    </w:p>
    <w:p w14:paraId="48A0720F" w14:textId="77777777" w:rsidR="00220454" w:rsidRPr="00972868" w:rsidRDefault="00220454" w:rsidP="00220454">
      <w:pPr>
        <w:adjustRightInd w:val="0"/>
        <w:snapToGrid w:val="0"/>
        <w:spacing w:after="0"/>
        <w:rPr>
          <w:b/>
          <w:bCs/>
          <w:i/>
          <w:iCs/>
          <w:sz w:val="22"/>
          <w:szCs w:val="22"/>
          <w:u w:val="single"/>
        </w:rPr>
      </w:pPr>
    </w:p>
    <w:p w14:paraId="4E4482D7" w14:textId="77777777" w:rsidR="00220454" w:rsidRPr="00972868" w:rsidRDefault="00354F0B" w:rsidP="00220454">
      <w:pPr>
        <w:keepNext/>
        <w:adjustRightInd w:val="0"/>
        <w:snapToGrid w:val="0"/>
        <w:spacing w:after="0"/>
        <w:rPr>
          <w:i/>
          <w:sz w:val="22"/>
          <w:szCs w:val="22"/>
          <w:u w:val="single"/>
        </w:rPr>
      </w:pPr>
      <w:r w:rsidRPr="00972868">
        <w:rPr>
          <w:i/>
          <w:sz w:val="22"/>
          <w:szCs w:val="22"/>
          <w:u w:val="single"/>
        </w:rPr>
        <w:t>Laktóza</w:t>
      </w:r>
    </w:p>
    <w:p w14:paraId="355C4055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Pacienti so zriedkavými dedičnými problémami galaktózovej intolerancie, laponského deficitu laktázy alebo glukózo-galaktózovej malabsorpcie nesmú užívať tento liek.</w:t>
      </w:r>
    </w:p>
    <w:p w14:paraId="2F1CC8A2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E49BAD3" w14:textId="77777777" w:rsidR="00220454" w:rsidRPr="00972868" w:rsidRDefault="00220454" w:rsidP="00220454">
      <w:pPr>
        <w:pStyle w:val="Predmetkomentra"/>
        <w:keepNext/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4.5</w:t>
      </w:r>
      <w:r w:rsidRPr="00972868">
        <w:rPr>
          <w:sz w:val="22"/>
          <w:szCs w:val="22"/>
        </w:rPr>
        <w:tab/>
        <w:t>Liekové a iné interakcie</w:t>
      </w:r>
    </w:p>
    <w:p w14:paraId="6D9137E5" w14:textId="77777777" w:rsidR="00220454" w:rsidRPr="00972868" w:rsidRDefault="00220454" w:rsidP="00D42117">
      <w:pPr>
        <w:pStyle w:val="Textkomentra"/>
        <w:adjustRightInd w:val="0"/>
        <w:snapToGrid w:val="0"/>
        <w:spacing w:after="0"/>
        <w:rPr>
          <w:caps/>
          <w:sz w:val="22"/>
          <w:szCs w:val="22"/>
        </w:rPr>
      </w:pPr>
    </w:p>
    <w:p w14:paraId="771A4725" w14:textId="77777777" w:rsidR="00354F0B" w:rsidRPr="00972868" w:rsidRDefault="00354F0B" w:rsidP="00354F0B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Interakčné štúdie sa uskutočnili len u dospelých.</w:t>
      </w:r>
    </w:p>
    <w:p w14:paraId="4628597E" w14:textId="77777777" w:rsidR="00354F0B" w:rsidRPr="00972868" w:rsidRDefault="00354F0B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14FE04C7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 predklinických štúdiách sa preukázalo, že ezetimib neindukuje enzýmy cytochrómu P450, ktoré metabolizujú lieky. Nepozorovali sa žiadne klinicky významné farmakokinetické interakcie medzi ezetimibom a liekmi, o ktorých je známe, že sú metabolizované cytochrómami P450 1A2, 2D6, 2C8, 2C9 a 3A4 alebo N-acetyltransferázou.</w:t>
      </w:r>
    </w:p>
    <w:p w14:paraId="7009FD2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4A41266B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V klinických </w:t>
      </w:r>
      <w:r w:rsidR="00FA20EB">
        <w:rPr>
          <w:sz w:val="22"/>
          <w:szCs w:val="22"/>
        </w:rPr>
        <w:t>skúšaniach</w:t>
      </w:r>
      <w:r w:rsidRPr="00972868">
        <w:rPr>
          <w:sz w:val="22"/>
          <w:szCs w:val="22"/>
        </w:rPr>
        <w:t xml:space="preserve"> interakcií nemal ezetimib žiadny vplyv na farmakokinetiku súbežne podávaného daps</w:t>
      </w:r>
      <w:r w:rsidR="00345C50">
        <w:rPr>
          <w:sz w:val="22"/>
          <w:szCs w:val="22"/>
        </w:rPr>
        <w:t>ó</w:t>
      </w:r>
      <w:r w:rsidRPr="00972868">
        <w:rPr>
          <w:sz w:val="22"/>
          <w:szCs w:val="22"/>
        </w:rPr>
        <w:t>nu, dextrometorfánu, digoxínu, perorálnych kontraceptív (etinylestradiol a levonorgestrel), glipizidu, tolbutamidu alebo midazolamu. Cimetidín súbežne podávaný s ezetimibom nemal žiadny vplyv na biologickú dostupnosť ezetimibu.</w:t>
      </w:r>
    </w:p>
    <w:p w14:paraId="406BB6B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F4CFD70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  <w:u w:val="single"/>
        </w:rPr>
      </w:pPr>
      <w:r w:rsidRPr="00972868">
        <w:rPr>
          <w:i/>
          <w:sz w:val="22"/>
          <w:szCs w:val="22"/>
          <w:u w:val="single"/>
        </w:rPr>
        <w:t>Antacidá</w:t>
      </w:r>
    </w:p>
    <w:p w14:paraId="47A3C10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Súbežné podávanie antacíd znížilo mieru absorpcie ezetimibu, ale nemalo žiadny vplyv na biologickú dostupnosť ezetimibu. Toto zníženie miery absorpcie sa nepovažuje za klinicky významné.</w:t>
      </w:r>
    </w:p>
    <w:p w14:paraId="7030EF7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05EFAAD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b/>
          <w:i/>
          <w:sz w:val="22"/>
          <w:szCs w:val="22"/>
        </w:rPr>
      </w:pPr>
      <w:r w:rsidRPr="00972868">
        <w:rPr>
          <w:i/>
          <w:sz w:val="22"/>
          <w:szCs w:val="22"/>
          <w:u w:val="single"/>
        </w:rPr>
        <w:t>Cholestyramín</w:t>
      </w:r>
    </w:p>
    <w:p w14:paraId="76C387E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Súbežné podávanie cholestyramínu znížilo priemernú plochu pod krivkou (AUC) celkového ezetimibu (ezetimib + glukuronid ezetimibu) približne o 55 %. Prírastok zníženia LDL cholesterolu (LDL-C) v dôsledku pridania </w:t>
      </w:r>
      <w:r w:rsidR="00354F0B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 k cholestyramínu môže byť touto interakciou znížený (pozri časť 4.2).</w:t>
      </w:r>
    </w:p>
    <w:p w14:paraId="46418694" w14:textId="77777777" w:rsidR="00220454" w:rsidRPr="00972868" w:rsidRDefault="00220454" w:rsidP="00220454">
      <w:pPr>
        <w:adjustRightInd w:val="0"/>
        <w:snapToGrid w:val="0"/>
        <w:spacing w:after="0"/>
        <w:rPr>
          <w:b/>
          <w:i/>
          <w:sz w:val="22"/>
          <w:szCs w:val="22"/>
        </w:rPr>
      </w:pPr>
    </w:p>
    <w:p w14:paraId="5AD4B7B4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</w:rPr>
      </w:pPr>
      <w:r w:rsidRPr="00972868">
        <w:rPr>
          <w:i/>
          <w:sz w:val="22"/>
          <w:szCs w:val="22"/>
          <w:u w:val="single"/>
        </w:rPr>
        <w:t>Fibráty</w:t>
      </w:r>
    </w:p>
    <w:p w14:paraId="2D98495C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U pacientov užívajúcich fenofibrát a </w:t>
      </w:r>
      <w:r w:rsidR="00421BFC" w:rsidRPr="00972868">
        <w:rPr>
          <w:sz w:val="22"/>
          <w:szCs w:val="22"/>
        </w:rPr>
        <w:t>Coltowan</w:t>
      </w:r>
      <w:r w:rsidRPr="00972868">
        <w:rPr>
          <w:sz w:val="22"/>
          <w:szCs w:val="22"/>
        </w:rPr>
        <w:t xml:space="preserve"> si má byť lekár vedomý možného rizika cholelitiázy a ochorenia žlčníka (pozri časti 4.4 a 4.8).</w:t>
      </w:r>
    </w:p>
    <w:p w14:paraId="4643278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194FA54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Ak je u pacienta užívajúceho </w:t>
      </w:r>
      <w:r w:rsidR="00421BFC" w:rsidRPr="00972868">
        <w:rPr>
          <w:sz w:val="22"/>
          <w:szCs w:val="22"/>
        </w:rPr>
        <w:t>Coltowan</w:t>
      </w:r>
      <w:r w:rsidRPr="00972868">
        <w:rPr>
          <w:sz w:val="22"/>
          <w:szCs w:val="22"/>
        </w:rPr>
        <w:t xml:space="preserve"> a fenofibrát podozrenie na cholelitiázu, je indikované vyšetrenie žlčníka a táto liečba sa má prerušiť (pozri časť 4.8).</w:t>
      </w:r>
    </w:p>
    <w:p w14:paraId="1F857D9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5F2F3AE1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Súbežné podávanie fenofibrátu alebo gemfibrozilu mierne zvýšilo koncentrácie celkového ezetimibu (približne 1,5- a 1,7-násobne v uvedenom poradí).</w:t>
      </w:r>
    </w:p>
    <w:p w14:paraId="31F2B8B5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47A4D1F8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Súbežné podávanie </w:t>
      </w:r>
      <w:r w:rsidR="006B7DE4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 s inými fibrátmi sa neštudovalo.</w:t>
      </w:r>
    </w:p>
    <w:p w14:paraId="1917E53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44C266AC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Fibráty môžu zvýšiť vylučovanie cholesterolu do žlče a tým viesť k cholelitiáze. V štúdiách na zvieratách ezetimib niekedy zvýšil cholesterol v žlčníkovej žlči, nie však u všetkých druhov (pozri časť 5.3). Litogénne riziko spojené s terapeutickým použitím </w:t>
      </w:r>
      <w:r w:rsidR="006B7DE4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 nie je možné vylúčiť.</w:t>
      </w:r>
    </w:p>
    <w:p w14:paraId="70E9A49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4E5BC8A3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  <w:u w:val="single"/>
        </w:rPr>
      </w:pPr>
      <w:r w:rsidRPr="00972868">
        <w:rPr>
          <w:i/>
          <w:sz w:val="22"/>
          <w:szCs w:val="22"/>
          <w:u w:val="single"/>
        </w:rPr>
        <w:t>Statíny</w:t>
      </w:r>
    </w:p>
    <w:p w14:paraId="322CED42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Pri súbežnom podávaní ezetimibu s atorvastatínom, simvastatínom, pravastatínom, lovastatínom, fluvastatínom alebo rosuvastatínom sa nepozorovali žiadne klinicky signifikantné farmakokinetické interakcie.</w:t>
      </w:r>
    </w:p>
    <w:p w14:paraId="0096C0DE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3271A77E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  <w:u w:val="single"/>
        </w:rPr>
      </w:pPr>
      <w:r w:rsidRPr="00972868">
        <w:rPr>
          <w:i/>
          <w:sz w:val="22"/>
          <w:szCs w:val="22"/>
          <w:u w:val="single"/>
        </w:rPr>
        <w:lastRenderedPageBreak/>
        <w:t>Cyklosporín</w:t>
      </w:r>
    </w:p>
    <w:p w14:paraId="4D335202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</w:t>
      </w:r>
      <w:r w:rsidRPr="00972868">
        <w:rPr>
          <w:b/>
          <w:i/>
          <w:sz w:val="22"/>
          <w:szCs w:val="22"/>
        </w:rPr>
        <w:t> </w:t>
      </w:r>
      <w:r w:rsidR="00FA20EB" w:rsidRPr="00AC64FB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</w:t>
      </w:r>
      <w:r w:rsidR="000373DE">
        <w:rPr>
          <w:sz w:val="22"/>
          <w:szCs w:val="22"/>
        </w:rPr>
        <w:t xml:space="preserve">s </w:t>
      </w:r>
      <w:r w:rsidRPr="00972868">
        <w:rPr>
          <w:sz w:val="22"/>
          <w:szCs w:val="22"/>
        </w:rPr>
        <w:t>ôsmi</w:t>
      </w:r>
      <w:r w:rsidR="000373DE">
        <w:rPr>
          <w:sz w:val="22"/>
          <w:szCs w:val="22"/>
        </w:rPr>
        <w:t>mi</w:t>
      </w:r>
      <w:r w:rsidRPr="00972868">
        <w:rPr>
          <w:sz w:val="22"/>
          <w:szCs w:val="22"/>
        </w:rPr>
        <w:t xml:space="preserve"> pacient</w:t>
      </w:r>
      <w:r w:rsidR="000373DE">
        <w:rPr>
          <w:sz w:val="22"/>
          <w:szCs w:val="22"/>
        </w:rPr>
        <w:t>mi</w:t>
      </w:r>
      <w:r w:rsidRPr="00972868">
        <w:rPr>
          <w:sz w:val="22"/>
          <w:szCs w:val="22"/>
        </w:rPr>
        <w:t xml:space="preserve"> po transplantácii obličky s klírensom kreatinínu &gt;</w:t>
      </w:r>
      <w:r w:rsidR="000373DE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50 ml/min na stabilnej dávke cyklosporínu mala jednorazová 10</w:t>
      </w:r>
      <w:r w:rsidR="000373DE">
        <w:rPr>
          <w:sz w:val="22"/>
          <w:szCs w:val="22"/>
        </w:rPr>
        <w:t>-miligramová</w:t>
      </w:r>
      <w:r w:rsidRPr="00972868">
        <w:rPr>
          <w:sz w:val="22"/>
          <w:szCs w:val="22"/>
        </w:rPr>
        <w:t xml:space="preserve"> dávka </w:t>
      </w:r>
      <w:r w:rsidR="006B7DE4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 za následok 3,4-násobné (rozsah 2,3- až 7,9-násobné) zvýšenie priemernej AUC celkového ezetimibu v porovnaní so zdravou kontrolnou populáciou z in</w:t>
      </w:r>
      <w:r w:rsidR="00FA20EB">
        <w:rPr>
          <w:sz w:val="22"/>
          <w:szCs w:val="22"/>
        </w:rPr>
        <w:t>ého</w:t>
      </w:r>
      <w:r w:rsidRPr="00972868">
        <w:rPr>
          <w:sz w:val="22"/>
          <w:szCs w:val="22"/>
        </w:rPr>
        <w:t xml:space="preserve"> </w:t>
      </w:r>
      <w:r w:rsidR="00FA20EB">
        <w:rPr>
          <w:sz w:val="22"/>
          <w:szCs w:val="22"/>
        </w:rPr>
        <w:t>skúšania</w:t>
      </w:r>
      <w:r w:rsidRPr="00972868">
        <w:rPr>
          <w:sz w:val="22"/>
          <w:szCs w:val="22"/>
        </w:rPr>
        <w:t>, ktorá dostávala ezetimib samotný (n</w:t>
      </w:r>
      <w:r w:rsidR="000778E7" w:rsidRPr="00972868">
        <w:rPr>
          <w:sz w:val="22"/>
          <w:szCs w:val="22"/>
        </w:rPr>
        <w:t xml:space="preserve"> = </w:t>
      </w:r>
      <w:r w:rsidRPr="00972868">
        <w:rPr>
          <w:sz w:val="22"/>
          <w:szCs w:val="22"/>
        </w:rPr>
        <w:t>17). V in</w:t>
      </w:r>
      <w:r w:rsidR="00FA20EB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</w:t>
      </w:r>
      <w:r w:rsidR="00FA20EB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pacient po transplantácii obličky s ťažkou poruchou funkcie obličiek, ktorý dostával cyklosporín a viacero iných liekov, preukázal 12-násobne väčšiu expozíciu celkovému ezetimibu v porovnaní so súbežnými kontrolnými pacientmi, ktorí dostávali ezetimib samotný. V skrížen</w:t>
      </w:r>
      <w:r w:rsidR="00FA20EB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</w:t>
      </w:r>
      <w:r w:rsidR="00FA20EB">
        <w:rPr>
          <w:sz w:val="22"/>
          <w:szCs w:val="22"/>
        </w:rPr>
        <w:t>skúšaní</w:t>
      </w:r>
      <w:r w:rsidR="00B179A8">
        <w:rPr>
          <w:sz w:val="22"/>
          <w:szCs w:val="22"/>
        </w:rPr>
        <w:t xml:space="preserve"> v dvoch obdobiach</w:t>
      </w:r>
      <w:r w:rsidRPr="00972868">
        <w:rPr>
          <w:sz w:val="22"/>
          <w:szCs w:val="22"/>
        </w:rPr>
        <w:t xml:space="preserve"> s dvanástimi zdravými jedincami viedlo denné podávanie ezetimibu 20 mg počas 8 dní s jednorazovou 100-</w:t>
      </w:r>
      <w:r w:rsidR="000373DE">
        <w:rPr>
          <w:sz w:val="22"/>
          <w:szCs w:val="22"/>
        </w:rPr>
        <w:t>miligramovou</w:t>
      </w:r>
      <w:r w:rsidRPr="00972868">
        <w:rPr>
          <w:sz w:val="22"/>
          <w:szCs w:val="22"/>
        </w:rPr>
        <w:t xml:space="preserve"> dávkou cyklosporínu na 7. deň k priemernému nárastu AUC cyklosporínu o 15 % (rozsah 10 % pokles až 51 % nárast) v porovnaní s jednorazovou 100-m</w:t>
      </w:r>
      <w:r w:rsidR="000373DE">
        <w:rPr>
          <w:sz w:val="22"/>
          <w:szCs w:val="22"/>
        </w:rPr>
        <w:t>iligramovou</w:t>
      </w:r>
      <w:r w:rsidRPr="00972868">
        <w:rPr>
          <w:sz w:val="22"/>
          <w:szCs w:val="22"/>
        </w:rPr>
        <w:t xml:space="preserve"> dávkou samotného cyklosporínu. Kontrolovan</w:t>
      </w:r>
      <w:r w:rsidR="00FA20EB">
        <w:rPr>
          <w:sz w:val="22"/>
          <w:szCs w:val="22"/>
        </w:rPr>
        <w:t>é</w:t>
      </w:r>
      <w:r w:rsidRPr="00972868">
        <w:rPr>
          <w:sz w:val="22"/>
          <w:szCs w:val="22"/>
        </w:rPr>
        <w:t xml:space="preserve"> </w:t>
      </w:r>
      <w:r w:rsidR="00FA20EB">
        <w:rPr>
          <w:sz w:val="22"/>
          <w:szCs w:val="22"/>
        </w:rPr>
        <w:t>skúšanie</w:t>
      </w:r>
      <w:r w:rsidRPr="00972868">
        <w:rPr>
          <w:sz w:val="22"/>
          <w:szCs w:val="22"/>
        </w:rPr>
        <w:t xml:space="preserve"> účinku súbežného podávania ezetimibu na expozíciu cyklosporínu u pacientov po transplantácii obličky sa nevykonal</w:t>
      </w:r>
      <w:r w:rsidR="00FA20EB">
        <w:rPr>
          <w:sz w:val="22"/>
          <w:szCs w:val="22"/>
        </w:rPr>
        <w:t>o</w:t>
      </w:r>
      <w:r w:rsidRPr="00972868">
        <w:rPr>
          <w:sz w:val="22"/>
          <w:szCs w:val="22"/>
        </w:rPr>
        <w:t xml:space="preserve">. Ak sa začína podávať </w:t>
      </w:r>
      <w:r w:rsidR="00421BFC" w:rsidRPr="00972868">
        <w:rPr>
          <w:sz w:val="22"/>
          <w:szCs w:val="22"/>
        </w:rPr>
        <w:t>Coltowan</w:t>
      </w:r>
      <w:r w:rsidRPr="00972868">
        <w:rPr>
          <w:sz w:val="22"/>
          <w:szCs w:val="22"/>
        </w:rPr>
        <w:t xml:space="preserve"> pri liečbe cyklosporínom, je potrebná opatrnosť. U pacientov užívajúcich </w:t>
      </w:r>
      <w:r w:rsidR="00421BFC" w:rsidRPr="00972868">
        <w:rPr>
          <w:sz w:val="22"/>
          <w:szCs w:val="22"/>
        </w:rPr>
        <w:t>Coltowan</w:t>
      </w:r>
      <w:r w:rsidRPr="00972868">
        <w:rPr>
          <w:sz w:val="22"/>
          <w:szCs w:val="22"/>
        </w:rPr>
        <w:t xml:space="preserve"> a cyklosporín sa majú monitorovať koncentrácie cyklosporínu (pozri časť 4.4).</w:t>
      </w:r>
    </w:p>
    <w:p w14:paraId="44DDF5C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122A8366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bCs/>
          <w:i/>
          <w:iCs/>
          <w:sz w:val="22"/>
          <w:szCs w:val="22"/>
          <w:u w:val="single"/>
        </w:rPr>
      </w:pPr>
      <w:r w:rsidRPr="00972868">
        <w:rPr>
          <w:i/>
          <w:sz w:val="22"/>
          <w:szCs w:val="22"/>
          <w:u w:val="single"/>
        </w:rPr>
        <w:t>Antikoagulanciá</w:t>
      </w:r>
    </w:p>
    <w:p w14:paraId="03FFAB10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bCs/>
          <w:iCs/>
          <w:sz w:val="22"/>
          <w:szCs w:val="22"/>
        </w:rPr>
        <w:t>V</w:t>
      </w:r>
      <w:r w:rsidRPr="00972868">
        <w:rPr>
          <w:b/>
          <w:bCs/>
          <w:i/>
          <w:iCs/>
          <w:sz w:val="22"/>
          <w:szCs w:val="22"/>
        </w:rPr>
        <w:t> </w:t>
      </w:r>
      <w:r w:rsidR="00C937D8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s dvanástimi zdravými dospelými mužmi nemalo súbežné podávanie ezetimibu (10 mg jedenkrát denne) signifikantný účinok na biologickú dostupnosť warfarínu a protrombínový čas. Po uvedení lieku na trh sa však vyskytli hlásenia o zvýšení medzinárodného normalizovaného pomeru </w:t>
      </w:r>
      <w:r w:rsidRPr="00972868">
        <w:rPr>
          <w:bCs/>
          <w:iCs/>
          <w:sz w:val="22"/>
          <w:szCs w:val="22"/>
        </w:rPr>
        <w:t>(INR) u </w:t>
      </w:r>
      <w:r w:rsidRPr="00972868">
        <w:rPr>
          <w:sz w:val="22"/>
          <w:szCs w:val="22"/>
        </w:rPr>
        <w:t xml:space="preserve">pacientov, ktorým bol </w:t>
      </w:r>
      <w:r w:rsidR="00724EBD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pridaný k warfarínu alebo fluindiónu. </w:t>
      </w:r>
      <w:r w:rsidRPr="00972868">
        <w:rPr>
          <w:bCs/>
          <w:iCs/>
          <w:sz w:val="22"/>
          <w:szCs w:val="22"/>
        </w:rPr>
        <w:t xml:space="preserve">Ak je </w:t>
      </w:r>
      <w:r w:rsidR="00421BFC" w:rsidRPr="00972868">
        <w:rPr>
          <w:bCs/>
          <w:iCs/>
          <w:sz w:val="22"/>
          <w:szCs w:val="22"/>
        </w:rPr>
        <w:t>Coltowan</w:t>
      </w:r>
      <w:r w:rsidRPr="00972868">
        <w:rPr>
          <w:bCs/>
          <w:iCs/>
          <w:sz w:val="22"/>
          <w:szCs w:val="22"/>
        </w:rPr>
        <w:t xml:space="preserve"> pridaný k warfarínu, inému kumarínovému antikoagulantu alebo fluindiónu, má sa primerane monitorovať INR</w:t>
      </w:r>
      <w:r w:rsidRPr="00972868">
        <w:rPr>
          <w:sz w:val="22"/>
          <w:szCs w:val="22"/>
        </w:rPr>
        <w:t xml:space="preserve"> (pozri časť 4.4).</w:t>
      </w:r>
    </w:p>
    <w:p w14:paraId="02523179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640AC53" w14:textId="77777777" w:rsidR="00220454" w:rsidRPr="00972868" w:rsidRDefault="00220454" w:rsidP="00220454">
      <w:pPr>
        <w:keepNext/>
        <w:keepLines/>
        <w:adjustRightInd w:val="0"/>
        <w:snapToGrid w:val="0"/>
        <w:spacing w:after="0"/>
        <w:rPr>
          <w:b/>
          <w:sz w:val="22"/>
          <w:szCs w:val="22"/>
        </w:rPr>
      </w:pPr>
      <w:r w:rsidRPr="00972868">
        <w:rPr>
          <w:b/>
          <w:sz w:val="22"/>
          <w:szCs w:val="22"/>
        </w:rPr>
        <w:t>4.6</w:t>
      </w:r>
      <w:r w:rsidRPr="00972868">
        <w:rPr>
          <w:b/>
          <w:sz w:val="22"/>
          <w:szCs w:val="22"/>
        </w:rPr>
        <w:tab/>
        <w:t>Fertilita, gravidita a laktácia</w:t>
      </w:r>
    </w:p>
    <w:p w14:paraId="1A1FBCEE" w14:textId="77777777" w:rsidR="00220454" w:rsidRPr="00972868" w:rsidRDefault="00220454" w:rsidP="00D42117">
      <w:pPr>
        <w:pStyle w:val="Textkomentra"/>
        <w:adjustRightInd w:val="0"/>
        <w:snapToGrid w:val="0"/>
        <w:spacing w:after="0"/>
        <w:rPr>
          <w:caps/>
          <w:sz w:val="22"/>
          <w:szCs w:val="22"/>
        </w:rPr>
      </w:pPr>
    </w:p>
    <w:p w14:paraId="4E9FB999" w14:textId="77777777" w:rsidR="00220454" w:rsidRPr="00972868" w:rsidRDefault="00421BFC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Coltowan</w:t>
      </w:r>
      <w:r w:rsidR="00220454" w:rsidRPr="00972868">
        <w:rPr>
          <w:sz w:val="22"/>
          <w:szCs w:val="22"/>
        </w:rPr>
        <w:t xml:space="preserve"> súbežne podávaný so statínom je kontraindikovaný počas gravidity a laktácie (pozri časť 4.3), oboznámte sa, prosím, s SPC príslušného statínu.</w:t>
      </w:r>
    </w:p>
    <w:p w14:paraId="609FF2D4" w14:textId="77777777" w:rsidR="00220454" w:rsidRPr="00972868" w:rsidRDefault="00220454" w:rsidP="00220454">
      <w:pPr>
        <w:pStyle w:val="Textkomentra"/>
        <w:adjustRightInd w:val="0"/>
        <w:snapToGrid w:val="0"/>
        <w:spacing w:after="0"/>
        <w:rPr>
          <w:sz w:val="22"/>
          <w:szCs w:val="22"/>
        </w:rPr>
      </w:pPr>
    </w:p>
    <w:p w14:paraId="73339D75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  <w:u w:val="single"/>
        </w:rPr>
        <w:t>Gravidita</w:t>
      </w:r>
    </w:p>
    <w:p w14:paraId="1E2C87AB" w14:textId="77777777" w:rsidR="00220454" w:rsidRPr="00972868" w:rsidRDefault="00421BFC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Coltowan</w:t>
      </w:r>
      <w:r w:rsidR="00220454" w:rsidRPr="00972868">
        <w:rPr>
          <w:sz w:val="22"/>
          <w:szCs w:val="22"/>
        </w:rPr>
        <w:t xml:space="preserve"> sa má podávať gravidným ženám iba v nevyhnutných prípadoch. K dispozícii nie sú žiadne údaje o použití </w:t>
      </w:r>
      <w:r w:rsidR="00724EBD" w:rsidRPr="00972868">
        <w:rPr>
          <w:sz w:val="22"/>
          <w:szCs w:val="22"/>
        </w:rPr>
        <w:t>ezetimibu</w:t>
      </w:r>
      <w:r w:rsidR="00220454" w:rsidRPr="00972868">
        <w:rPr>
          <w:sz w:val="22"/>
          <w:szCs w:val="22"/>
        </w:rPr>
        <w:t xml:space="preserve"> počas gravidity. Štúdie na zvieratách s ezetimibom v monoterapii nepreukázali žiadne priame alebo nepriame škodlivé účinky na graviditu, </w:t>
      </w:r>
      <w:r w:rsidR="00220454" w:rsidRPr="00AC64FB">
        <w:rPr>
          <w:sz w:val="22"/>
          <w:szCs w:val="22"/>
        </w:rPr>
        <w:t>embryofetálny výv</w:t>
      </w:r>
      <w:r w:rsidR="00873FF4" w:rsidRPr="00AC64FB">
        <w:rPr>
          <w:sz w:val="22"/>
          <w:szCs w:val="22"/>
        </w:rPr>
        <w:t>in</w:t>
      </w:r>
      <w:r w:rsidR="00220454" w:rsidRPr="00AC64FB">
        <w:rPr>
          <w:sz w:val="22"/>
          <w:szCs w:val="22"/>
        </w:rPr>
        <w:t>, pôrod</w:t>
      </w:r>
      <w:r w:rsidR="00220454" w:rsidRPr="00972868">
        <w:rPr>
          <w:sz w:val="22"/>
          <w:szCs w:val="22"/>
        </w:rPr>
        <w:t xml:space="preserve"> alebo postnatálny výv</w:t>
      </w:r>
      <w:r w:rsidR="00CB39F3">
        <w:rPr>
          <w:sz w:val="22"/>
          <w:szCs w:val="22"/>
        </w:rPr>
        <w:t>in</w:t>
      </w:r>
      <w:r w:rsidR="00220454" w:rsidRPr="00972868">
        <w:rPr>
          <w:sz w:val="22"/>
          <w:szCs w:val="22"/>
        </w:rPr>
        <w:t xml:space="preserve"> (pozri časť 5.3).</w:t>
      </w:r>
    </w:p>
    <w:p w14:paraId="2D5D6FD5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4980782" w14:textId="77777777" w:rsidR="00220454" w:rsidRPr="00972868" w:rsidRDefault="00CB39F3" w:rsidP="00220454">
      <w:pPr>
        <w:adjustRightInd w:val="0"/>
        <w:snapToGrid w:val="0"/>
        <w:spacing w:after="0"/>
        <w:rPr>
          <w:sz w:val="22"/>
          <w:szCs w:val="22"/>
        </w:rPr>
      </w:pPr>
      <w:r>
        <w:rPr>
          <w:sz w:val="22"/>
          <w:szCs w:val="22"/>
          <w:u w:val="single"/>
        </w:rPr>
        <w:t>Dojčenie</w:t>
      </w:r>
    </w:p>
    <w:p w14:paraId="0764EADC" w14:textId="77777777" w:rsidR="00220454" w:rsidRPr="00972868" w:rsidRDefault="00421BFC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Coltowan</w:t>
      </w:r>
      <w:r w:rsidR="00220454" w:rsidRPr="00972868">
        <w:rPr>
          <w:sz w:val="22"/>
          <w:szCs w:val="22"/>
        </w:rPr>
        <w:t xml:space="preserve"> sa nemá užívať počas laktácie. Štúdie na potkanoch preukázali, že ezetimib sa vylučuje do materského mlieka. Nie je známe, či sa ezetimib vylučuje do ľudského materského mlieka.</w:t>
      </w:r>
    </w:p>
    <w:p w14:paraId="4592AB4D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6C27759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  <w:u w:val="single"/>
        </w:rPr>
      </w:pPr>
      <w:r w:rsidRPr="00972868">
        <w:rPr>
          <w:sz w:val="22"/>
          <w:szCs w:val="22"/>
          <w:u w:val="single"/>
        </w:rPr>
        <w:t>Fertilita</w:t>
      </w:r>
    </w:p>
    <w:p w14:paraId="0D696B0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K dispozícii nie sú žiadne údaje z klinického skúšania účinkov ezetimibu na fertilitu u ľudí. Ezetimib nemal žiadny účinok na fertilitu u samcov alebo samíc potkanov (pozri časť 5.3).</w:t>
      </w:r>
    </w:p>
    <w:p w14:paraId="203B88EB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7005AA4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b/>
          <w:sz w:val="22"/>
          <w:szCs w:val="22"/>
        </w:rPr>
      </w:pPr>
      <w:r w:rsidRPr="00972868">
        <w:rPr>
          <w:b/>
          <w:sz w:val="22"/>
          <w:szCs w:val="22"/>
        </w:rPr>
        <w:t>4.7</w:t>
      </w:r>
      <w:r w:rsidRPr="00972868">
        <w:rPr>
          <w:b/>
          <w:sz w:val="22"/>
          <w:szCs w:val="22"/>
        </w:rPr>
        <w:tab/>
        <w:t>Ovplyvnenie schopnosti viesť vozidlá a obsluhovať stroje</w:t>
      </w:r>
    </w:p>
    <w:p w14:paraId="53A2130E" w14:textId="77777777" w:rsidR="00220454" w:rsidRPr="00972868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0BC1D2E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Neuskutočnili sa žiadne </w:t>
      </w:r>
      <w:r w:rsidR="00C937D8">
        <w:rPr>
          <w:sz w:val="22"/>
          <w:szCs w:val="22"/>
        </w:rPr>
        <w:t>skúšania</w:t>
      </w:r>
      <w:r w:rsidRPr="00972868">
        <w:rPr>
          <w:sz w:val="22"/>
          <w:szCs w:val="22"/>
        </w:rPr>
        <w:t xml:space="preserve"> o účinkoch na schopnosť viesť vozidlá a obsluhovať stroje. Pri vedení vozidiel alebo obsluhe strojov </w:t>
      </w:r>
      <w:r w:rsidR="00CB39F3">
        <w:rPr>
          <w:sz w:val="22"/>
          <w:szCs w:val="22"/>
        </w:rPr>
        <w:t>je potrebné</w:t>
      </w:r>
      <w:r w:rsidR="00CB39F3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však brať do úvahy, že bol</w:t>
      </w:r>
      <w:r w:rsidR="000B58F3">
        <w:rPr>
          <w:sz w:val="22"/>
          <w:szCs w:val="22"/>
        </w:rPr>
        <w:t>i</w:t>
      </w:r>
      <w:r w:rsidRPr="00972868">
        <w:rPr>
          <w:sz w:val="22"/>
          <w:szCs w:val="22"/>
        </w:rPr>
        <w:t xml:space="preserve"> hlásen</w:t>
      </w:r>
      <w:r w:rsidR="00B179A8">
        <w:rPr>
          <w:sz w:val="22"/>
          <w:szCs w:val="22"/>
        </w:rPr>
        <w:t>é</w:t>
      </w:r>
      <w:r w:rsidRPr="00972868">
        <w:rPr>
          <w:sz w:val="22"/>
          <w:szCs w:val="22"/>
        </w:rPr>
        <w:t xml:space="preserve"> závrat</w:t>
      </w:r>
      <w:r w:rsidR="00B179A8">
        <w:rPr>
          <w:sz w:val="22"/>
          <w:szCs w:val="22"/>
        </w:rPr>
        <w:t>y</w:t>
      </w:r>
      <w:r w:rsidRPr="00972868">
        <w:rPr>
          <w:sz w:val="22"/>
          <w:szCs w:val="22"/>
        </w:rPr>
        <w:t>.</w:t>
      </w:r>
    </w:p>
    <w:p w14:paraId="25C3F6EE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69E4BF3B" w14:textId="77777777" w:rsidR="00220454" w:rsidRPr="00972868" w:rsidRDefault="00220454" w:rsidP="00220454">
      <w:pPr>
        <w:pStyle w:val="Predmetkomentra"/>
        <w:keepNext/>
        <w:keepLines/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4.8</w:t>
      </w:r>
      <w:r w:rsidRPr="00972868">
        <w:rPr>
          <w:sz w:val="22"/>
          <w:szCs w:val="22"/>
        </w:rPr>
        <w:tab/>
        <w:t>Nežiaduce účinky</w:t>
      </w:r>
    </w:p>
    <w:p w14:paraId="0789322C" w14:textId="77777777" w:rsidR="00220454" w:rsidRPr="00972868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35567F80" w14:textId="77777777" w:rsidR="00220454" w:rsidRPr="00972868" w:rsidRDefault="00220454" w:rsidP="00220454">
      <w:pPr>
        <w:pStyle w:val="Textkomentra"/>
        <w:keepNext/>
        <w:keepLines/>
        <w:adjustRightInd w:val="0"/>
        <w:snapToGrid w:val="0"/>
        <w:spacing w:after="0"/>
        <w:rPr>
          <w:i/>
          <w:sz w:val="22"/>
          <w:szCs w:val="22"/>
          <w:u w:val="single"/>
        </w:rPr>
      </w:pPr>
      <w:r w:rsidRPr="00972868">
        <w:rPr>
          <w:i/>
          <w:sz w:val="22"/>
          <w:szCs w:val="22"/>
          <w:u w:val="single"/>
        </w:rPr>
        <w:t xml:space="preserve">Tabuľkový zoznam nežiaducich </w:t>
      </w:r>
      <w:r w:rsidR="00CB39F3">
        <w:rPr>
          <w:i/>
          <w:sz w:val="22"/>
          <w:szCs w:val="22"/>
          <w:u w:val="single"/>
        </w:rPr>
        <w:t>účinkov</w:t>
      </w:r>
      <w:r w:rsidR="00CB39F3" w:rsidRPr="00972868">
        <w:rPr>
          <w:i/>
          <w:sz w:val="22"/>
          <w:szCs w:val="22"/>
          <w:u w:val="single"/>
        </w:rPr>
        <w:t xml:space="preserve"> </w:t>
      </w:r>
      <w:r w:rsidRPr="00972868">
        <w:rPr>
          <w:i/>
          <w:sz w:val="22"/>
          <w:szCs w:val="22"/>
          <w:u w:val="single"/>
        </w:rPr>
        <w:t xml:space="preserve">(klinické </w:t>
      </w:r>
      <w:r w:rsidR="00C937D8">
        <w:rPr>
          <w:i/>
          <w:sz w:val="22"/>
          <w:szCs w:val="22"/>
          <w:u w:val="single"/>
        </w:rPr>
        <w:t>skúšania</w:t>
      </w:r>
      <w:r w:rsidRPr="00972868">
        <w:rPr>
          <w:i/>
          <w:sz w:val="22"/>
          <w:szCs w:val="22"/>
          <w:u w:val="single"/>
        </w:rPr>
        <w:t xml:space="preserve"> a skúsenosti po uvedení lieku na trh)</w:t>
      </w:r>
    </w:p>
    <w:p w14:paraId="52663035" w14:textId="77777777" w:rsidR="00220454" w:rsidRPr="00972868" w:rsidRDefault="00220454" w:rsidP="00BE1313">
      <w:pPr>
        <w:adjustRightInd w:val="0"/>
        <w:snapToGrid w:val="0"/>
        <w:spacing w:after="0"/>
        <w:rPr>
          <w:sz w:val="22"/>
          <w:szCs w:val="22"/>
        </w:rPr>
      </w:pPr>
    </w:p>
    <w:p w14:paraId="355451D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V klinických </w:t>
      </w:r>
      <w:r w:rsidR="00C937D8">
        <w:rPr>
          <w:sz w:val="22"/>
          <w:szCs w:val="22"/>
        </w:rPr>
        <w:t>skúšaniach</w:t>
      </w:r>
      <w:r w:rsidRPr="00972868">
        <w:rPr>
          <w:sz w:val="22"/>
          <w:szCs w:val="22"/>
        </w:rPr>
        <w:t xml:space="preserve"> trvajúcich do 112 týždňov bol denne podávaný </w:t>
      </w:r>
      <w:r w:rsidR="00724EBD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10 mg samostatne 2 396 pacientom, so statínom 11 308 pacientom alebo s fenofibrátom 185 pacientom. Nežiaduce </w:t>
      </w:r>
      <w:r w:rsidR="00CB39F3">
        <w:rPr>
          <w:sz w:val="22"/>
          <w:szCs w:val="22"/>
        </w:rPr>
        <w:t>účinky</w:t>
      </w:r>
      <w:r w:rsidR="00CB39F3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 xml:space="preserve">boli zvyčajne mierne a prechodné. Celková incidencia nežiaducich účinkov bola pri </w:t>
      </w:r>
      <w:r w:rsidR="00724EBD" w:rsidRPr="00972868">
        <w:rPr>
          <w:sz w:val="22"/>
          <w:szCs w:val="22"/>
        </w:rPr>
        <w:t>ezetimibe</w:t>
      </w:r>
      <w:r w:rsidRPr="00972868">
        <w:rPr>
          <w:sz w:val="22"/>
          <w:szCs w:val="22"/>
        </w:rPr>
        <w:t xml:space="preserve"> a placebe podobná. Podobne, počet prerušení účasti v </w:t>
      </w:r>
      <w:r w:rsidR="00C937D8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z dôvodu nežiaducich účinkov bol pre </w:t>
      </w:r>
      <w:r w:rsidR="00724EBD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a placebo porovnateľný.</w:t>
      </w:r>
    </w:p>
    <w:p w14:paraId="7ED5B212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671D697A" w14:textId="77777777" w:rsidR="00220454" w:rsidRPr="00972868" w:rsidRDefault="00724EBD" w:rsidP="00220454">
      <w:pPr>
        <w:keepNext/>
        <w:adjustRightInd w:val="0"/>
        <w:snapToGrid w:val="0"/>
        <w:spacing w:after="0"/>
        <w:rPr>
          <w:i/>
          <w:sz w:val="22"/>
          <w:szCs w:val="22"/>
        </w:rPr>
      </w:pPr>
      <w:r w:rsidRPr="00972868">
        <w:rPr>
          <w:i/>
          <w:sz w:val="22"/>
          <w:szCs w:val="22"/>
        </w:rPr>
        <w:t>Ezetimib</w:t>
      </w:r>
      <w:r w:rsidR="00220454" w:rsidRPr="00972868">
        <w:rPr>
          <w:i/>
          <w:sz w:val="22"/>
          <w:szCs w:val="22"/>
        </w:rPr>
        <w:t xml:space="preserve"> podávaný samostatne alebo súbežne so statínom</w:t>
      </w:r>
      <w:r w:rsidRPr="00972868">
        <w:rPr>
          <w:i/>
          <w:sz w:val="22"/>
          <w:szCs w:val="22"/>
        </w:rPr>
        <w:t>.</w:t>
      </w:r>
    </w:p>
    <w:p w14:paraId="6E6460C8" w14:textId="77777777" w:rsidR="00220454" w:rsidRPr="00972868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1BE1D557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U pacientov liečených </w:t>
      </w:r>
      <w:r w:rsidR="00724EBD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 (</w:t>
      </w:r>
      <w:r w:rsidR="00CB2136">
        <w:rPr>
          <w:sz w:val="22"/>
          <w:szCs w:val="22"/>
        </w:rPr>
        <w:t>n</w:t>
      </w:r>
      <w:r w:rsidR="000778E7" w:rsidRPr="00972868">
        <w:rPr>
          <w:sz w:val="22"/>
          <w:szCs w:val="22"/>
        </w:rPr>
        <w:t xml:space="preserve"> = </w:t>
      </w:r>
      <w:r w:rsidRPr="00972868">
        <w:rPr>
          <w:sz w:val="22"/>
          <w:szCs w:val="22"/>
        </w:rPr>
        <w:t>2 396) a vo väčšej miere ako pri placebe (</w:t>
      </w:r>
      <w:r w:rsidR="00CB2136">
        <w:rPr>
          <w:sz w:val="22"/>
          <w:szCs w:val="22"/>
        </w:rPr>
        <w:t>n</w:t>
      </w:r>
      <w:r w:rsidR="000778E7" w:rsidRPr="00972868">
        <w:rPr>
          <w:sz w:val="22"/>
          <w:szCs w:val="22"/>
        </w:rPr>
        <w:t xml:space="preserve"> = </w:t>
      </w:r>
      <w:r w:rsidRPr="00972868">
        <w:rPr>
          <w:sz w:val="22"/>
          <w:szCs w:val="22"/>
        </w:rPr>
        <w:t xml:space="preserve">1 159), alebo u pacientov liečených </w:t>
      </w:r>
      <w:r w:rsidR="00724EBD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 podávaným súbežne so statínom (</w:t>
      </w:r>
      <w:r w:rsidR="00CB2136">
        <w:rPr>
          <w:sz w:val="22"/>
          <w:szCs w:val="22"/>
        </w:rPr>
        <w:t>n</w:t>
      </w:r>
      <w:r w:rsidR="000778E7" w:rsidRPr="00972868">
        <w:rPr>
          <w:sz w:val="22"/>
          <w:szCs w:val="22"/>
        </w:rPr>
        <w:t xml:space="preserve"> = </w:t>
      </w:r>
      <w:r w:rsidRPr="00972868">
        <w:rPr>
          <w:sz w:val="22"/>
          <w:szCs w:val="22"/>
        </w:rPr>
        <w:t>11 308) a vo väčšej miere ako pri podávaní samotného statínu (</w:t>
      </w:r>
      <w:r w:rsidR="00CB2136">
        <w:rPr>
          <w:sz w:val="22"/>
          <w:szCs w:val="22"/>
        </w:rPr>
        <w:t>n</w:t>
      </w:r>
      <w:r w:rsidR="000778E7" w:rsidRPr="00972868">
        <w:rPr>
          <w:sz w:val="22"/>
          <w:szCs w:val="22"/>
        </w:rPr>
        <w:t xml:space="preserve"> = </w:t>
      </w:r>
      <w:r w:rsidRPr="00972868">
        <w:rPr>
          <w:sz w:val="22"/>
          <w:szCs w:val="22"/>
        </w:rPr>
        <w:t xml:space="preserve">9 361) sa pozorovali nasledujúce nežiaduce </w:t>
      </w:r>
      <w:r w:rsidR="00CB39F3">
        <w:rPr>
          <w:sz w:val="22"/>
          <w:szCs w:val="22"/>
        </w:rPr>
        <w:t>účinky</w:t>
      </w:r>
      <w:r w:rsidRPr="00972868">
        <w:rPr>
          <w:sz w:val="22"/>
          <w:szCs w:val="22"/>
        </w:rPr>
        <w:t xml:space="preserve">. Nežiaduce </w:t>
      </w:r>
      <w:r w:rsidR="00CB39F3">
        <w:rPr>
          <w:sz w:val="22"/>
          <w:szCs w:val="22"/>
        </w:rPr>
        <w:t>účinky</w:t>
      </w:r>
      <w:r w:rsidRPr="00972868">
        <w:rPr>
          <w:sz w:val="22"/>
          <w:szCs w:val="22"/>
        </w:rPr>
        <w:t xml:space="preserve"> po uvedení lieku na trh sa odvodili z hlásení pri podávaní </w:t>
      </w:r>
      <w:r w:rsidR="00724EBD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 samostatne alebo so statínom.</w:t>
      </w:r>
    </w:p>
    <w:p w14:paraId="41C227AC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5078CCB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Frekvencie sú definované ako: veľmi časté (≥</w:t>
      </w:r>
      <w:r w:rsidR="00CB39F3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1/10), časté (≥</w:t>
      </w:r>
      <w:r w:rsidR="00CB39F3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1/100 až &lt;</w:t>
      </w:r>
      <w:r w:rsidR="00CB39F3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1/10), menej časté (≥</w:t>
      </w:r>
      <w:r w:rsidR="00CB39F3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1/1 000 až &lt;</w:t>
      </w:r>
      <w:r w:rsidR="00CB39F3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1/100), zriedkavé (≥</w:t>
      </w:r>
      <w:r w:rsidR="00CB39F3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1/10 000 až &lt;</w:t>
      </w:r>
      <w:r w:rsidR="00CB39F3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1/1 000), veľmi zriedkavé (&lt;</w:t>
      </w:r>
      <w:r w:rsidR="00CB39F3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1/10 000) a neznáme (</w:t>
      </w:r>
      <w:r w:rsidR="00875C86" w:rsidRPr="00972868">
        <w:rPr>
          <w:sz w:val="22"/>
          <w:szCs w:val="22"/>
        </w:rPr>
        <w:t xml:space="preserve">nedajú sa odhadnúť </w:t>
      </w:r>
      <w:r w:rsidRPr="00972868">
        <w:rPr>
          <w:sz w:val="22"/>
          <w:szCs w:val="22"/>
        </w:rPr>
        <w:t>z dostupných údajov).</w:t>
      </w:r>
    </w:p>
    <w:p w14:paraId="45539E5E" w14:textId="77777777" w:rsidR="00220454" w:rsidRPr="00972868" w:rsidRDefault="00220454" w:rsidP="00220454">
      <w:pPr>
        <w:spacing w:after="0"/>
        <w:rPr>
          <w:sz w:val="22"/>
          <w:szCs w:val="22"/>
        </w:rPr>
      </w:pPr>
    </w:p>
    <w:tbl>
      <w:tblPr>
        <w:tblW w:w="9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4209"/>
        <w:gridCol w:w="1267"/>
      </w:tblGrid>
      <w:tr w:rsidR="00220454" w:rsidRPr="00972868" w14:paraId="7F750012" w14:textId="77777777" w:rsidTr="00EE408A">
        <w:trPr>
          <w:cantSplit/>
        </w:trPr>
        <w:tc>
          <w:tcPr>
            <w:tcW w:w="91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F53F7" w14:textId="77777777" w:rsidR="00220454" w:rsidRPr="00972868" w:rsidRDefault="00220454" w:rsidP="00875C86">
            <w:pPr>
              <w:keepNext/>
              <w:adjustRightInd w:val="0"/>
              <w:snapToGrid w:val="0"/>
              <w:spacing w:after="0"/>
              <w:rPr>
                <w:b/>
              </w:rPr>
            </w:pPr>
            <w:r w:rsidRPr="00972868">
              <w:rPr>
                <w:b/>
                <w:sz w:val="22"/>
                <w:szCs w:val="22"/>
              </w:rPr>
              <w:t xml:space="preserve">Monoterapia </w:t>
            </w:r>
            <w:r w:rsidR="00875C86" w:rsidRPr="00972868">
              <w:rPr>
                <w:b/>
                <w:sz w:val="22"/>
                <w:szCs w:val="22"/>
              </w:rPr>
              <w:t>ezetimibom</w:t>
            </w:r>
          </w:p>
        </w:tc>
      </w:tr>
      <w:tr w:rsidR="00220454" w:rsidRPr="00972868" w14:paraId="1DCE218A" w14:textId="77777777" w:rsidTr="00EE408A">
        <w:trPr>
          <w:cantSplit/>
        </w:trPr>
        <w:tc>
          <w:tcPr>
            <w:tcW w:w="3708" w:type="dxa"/>
            <w:tcBorders>
              <w:top w:val="single" w:sz="12" w:space="0" w:color="auto"/>
            </w:tcBorders>
          </w:tcPr>
          <w:p w14:paraId="4690AE78" w14:textId="77777777" w:rsidR="00220454" w:rsidRPr="00972868" w:rsidRDefault="00220454" w:rsidP="00EE408A">
            <w:pPr>
              <w:keepNext/>
              <w:adjustRightInd w:val="0"/>
              <w:snapToGrid w:val="0"/>
              <w:spacing w:after="0"/>
              <w:rPr>
                <w:b/>
              </w:rPr>
            </w:pPr>
            <w:r w:rsidRPr="00972868">
              <w:rPr>
                <w:b/>
                <w:sz w:val="22"/>
                <w:szCs w:val="22"/>
              </w:rPr>
              <w:t>Trieda orgánových systémov</w:t>
            </w:r>
          </w:p>
        </w:tc>
        <w:tc>
          <w:tcPr>
            <w:tcW w:w="4209" w:type="dxa"/>
            <w:tcBorders>
              <w:top w:val="single" w:sz="12" w:space="0" w:color="auto"/>
            </w:tcBorders>
          </w:tcPr>
          <w:p w14:paraId="37821C38" w14:textId="77777777" w:rsidR="00220454" w:rsidRPr="00972868" w:rsidRDefault="00220454" w:rsidP="00CB39F3">
            <w:pPr>
              <w:keepNext/>
              <w:adjustRightInd w:val="0"/>
              <w:snapToGrid w:val="0"/>
              <w:spacing w:after="0"/>
              <w:rPr>
                <w:b/>
              </w:rPr>
            </w:pPr>
            <w:r w:rsidRPr="00972868">
              <w:rPr>
                <w:b/>
                <w:sz w:val="22"/>
                <w:szCs w:val="22"/>
              </w:rPr>
              <w:t>Nežiaduce</w:t>
            </w:r>
            <w:r w:rsidR="00CB39F3">
              <w:rPr>
                <w:b/>
                <w:sz w:val="22"/>
                <w:szCs w:val="22"/>
              </w:rPr>
              <w:t xml:space="preserve"> účinky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5815608" w14:textId="77777777" w:rsidR="00220454" w:rsidRPr="00972868" w:rsidRDefault="00220454" w:rsidP="00EE408A">
            <w:pPr>
              <w:keepNext/>
              <w:adjustRightInd w:val="0"/>
              <w:snapToGrid w:val="0"/>
              <w:spacing w:after="0"/>
              <w:rPr>
                <w:b/>
              </w:rPr>
            </w:pPr>
            <w:r w:rsidRPr="00972868">
              <w:rPr>
                <w:b/>
                <w:sz w:val="22"/>
                <w:szCs w:val="22"/>
              </w:rPr>
              <w:t>Frekvencia</w:t>
            </w:r>
          </w:p>
        </w:tc>
      </w:tr>
      <w:tr w:rsidR="00220454" w:rsidRPr="00972868" w14:paraId="57A378AF" w14:textId="77777777" w:rsidTr="00EE408A">
        <w:trPr>
          <w:cantSplit/>
        </w:trPr>
        <w:tc>
          <w:tcPr>
            <w:tcW w:w="3708" w:type="dxa"/>
          </w:tcPr>
          <w:p w14:paraId="07E95A31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Laboratórne a funkčné vyšetrenia</w:t>
            </w:r>
          </w:p>
        </w:tc>
        <w:tc>
          <w:tcPr>
            <w:tcW w:w="4209" w:type="dxa"/>
          </w:tcPr>
          <w:p w14:paraId="1E35BFFA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zvýšená ALT a/alebo AST, zvýšená CK v krvi, zvýšená gama</w:t>
            </w:r>
            <w:r w:rsidRPr="00972868">
              <w:rPr>
                <w:sz w:val="22"/>
                <w:szCs w:val="22"/>
              </w:rPr>
              <w:softHyphen/>
              <w:t>glutamyltransferáza, abnormálny test pečeňovej funkcie</w:t>
            </w:r>
          </w:p>
        </w:tc>
        <w:tc>
          <w:tcPr>
            <w:tcW w:w="0" w:type="auto"/>
          </w:tcPr>
          <w:p w14:paraId="0F1299D0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menej časté</w:t>
            </w:r>
          </w:p>
        </w:tc>
      </w:tr>
      <w:tr w:rsidR="00220454" w:rsidRPr="00972868" w14:paraId="01AA39BE" w14:textId="77777777" w:rsidTr="00EE408A">
        <w:trPr>
          <w:cantSplit/>
        </w:trPr>
        <w:tc>
          <w:tcPr>
            <w:tcW w:w="3708" w:type="dxa"/>
          </w:tcPr>
          <w:p w14:paraId="3559AD4A" w14:textId="77777777" w:rsidR="00220454" w:rsidRPr="00972868" w:rsidRDefault="00220454" w:rsidP="00EE408A">
            <w:pPr>
              <w:adjustRightInd w:val="0"/>
              <w:snapToGrid w:val="0"/>
              <w:spacing w:after="0"/>
              <w:rPr>
                <w:bCs/>
              </w:rPr>
            </w:pPr>
            <w:r w:rsidRPr="00972868">
              <w:rPr>
                <w:bCs/>
                <w:sz w:val="22"/>
                <w:szCs w:val="22"/>
              </w:rPr>
              <w:t>Poruchy dýchacej sústavy, hrudníka a mediastína</w:t>
            </w:r>
          </w:p>
        </w:tc>
        <w:tc>
          <w:tcPr>
            <w:tcW w:w="4209" w:type="dxa"/>
          </w:tcPr>
          <w:p w14:paraId="4C59AFF2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kašeľ</w:t>
            </w:r>
          </w:p>
        </w:tc>
        <w:tc>
          <w:tcPr>
            <w:tcW w:w="0" w:type="auto"/>
          </w:tcPr>
          <w:p w14:paraId="27BFBC5E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menej časté</w:t>
            </w:r>
          </w:p>
        </w:tc>
      </w:tr>
      <w:tr w:rsidR="00220454" w:rsidRPr="00972868" w14:paraId="6B766222" w14:textId="77777777" w:rsidTr="00EE408A">
        <w:trPr>
          <w:cantSplit/>
        </w:trPr>
        <w:tc>
          <w:tcPr>
            <w:tcW w:w="3708" w:type="dxa"/>
            <w:vMerge w:val="restart"/>
          </w:tcPr>
          <w:p w14:paraId="7A75EE75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bCs/>
                <w:sz w:val="22"/>
                <w:szCs w:val="22"/>
              </w:rPr>
              <w:t>Poruchy gastrointestinálneho traktu</w:t>
            </w:r>
          </w:p>
        </w:tc>
        <w:tc>
          <w:tcPr>
            <w:tcW w:w="4209" w:type="dxa"/>
          </w:tcPr>
          <w:p w14:paraId="194A06CD" w14:textId="77777777" w:rsidR="00220454" w:rsidRPr="00972868" w:rsidRDefault="00220454" w:rsidP="00227A81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 xml:space="preserve">bolesť brucha, hnačka, </w:t>
            </w:r>
            <w:r w:rsidR="00227A81">
              <w:rPr>
                <w:sz w:val="22"/>
                <w:szCs w:val="22"/>
              </w:rPr>
              <w:t>flatulencia</w:t>
            </w:r>
          </w:p>
        </w:tc>
        <w:tc>
          <w:tcPr>
            <w:tcW w:w="0" w:type="auto"/>
          </w:tcPr>
          <w:p w14:paraId="47F3B513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časté</w:t>
            </w:r>
          </w:p>
        </w:tc>
      </w:tr>
      <w:tr w:rsidR="00220454" w:rsidRPr="00972868" w14:paraId="03FAF525" w14:textId="77777777" w:rsidTr="00EE408A">
        <w:trPr>
          <w:cantSplit/>
        </w:trPr>
        <w:tc>
          <w:tcPr>
            <w:tcW w:w="3708" w:type="dxa"/>
            <w:vMerge/>
          </w:tcPr>
          <w:p w14:paraId="379F9016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</w:p>
        </w:tc>
        <w:tc>
          <w:tcPr>
            <w:tcW w:w="4209" w:type="dxa"/>
          </w:tcPr>
          <w:p w14:paraId="7F677ED2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dyspepsia, gastroezofageálny reflux, nevoľnosť</w:t>
            </w:r>
          </w:p>
        </w:tc>
        <w:tc>
          <w:tcPr>
            <w:tcW w:w="0" w:type="auto"/>
          </w:tcPr>
          <w:p w14:paraId="40792E88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menej časté</w:t>
            </w:r>
          </w:p>
        </w:tc>
      </w:tr>
      <w:tr w:rsidR="00220454" w:rsidRPr="00972868" w14:paraId="5F4F5B51" w14:textId="77777777" w:rsidTr="00EE408A">
        <w:trPr>
          <w:cantSplit/>
        </w:trPr>
        <w:tc>
          <w:tcPr>
            <w:tcW w:w="3708" w:type="dxa"/>
          </w:tcPr>
          <w:p w14:paraId="4D9B48D5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bCs/>
                <w:sz w:val="22"/>
                <w:szCs w:val="22"/>
              </w:rPr>
              <w:t>Poruchy kostrovej a svalovej sústavy a spojivového tkaniva</w:t>
            </w:r>
          </w:p>
        </w:tc>
        <w:tc>
          <w:tcPr>
            <w:tcW w:w="4209" w:type="dxa"/>
          </w:tcPr>
          <w:p w14:paraId="5945FCA7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artralgia, svalové kŕče, bolesť šije</w:t>
            </w:r>
          </w:p>
        </w:tc>
        <w:tc>
          <w:tcPr>
            <w:tcW w:w="0" w:type="auto"/>
          </w:tcPr>
          <w:p w14:paraId="6CFA745F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menej časté</w:t>
            </w:r>
          </w:p>
        </w:tc>
      </w:tr>
      <w:tr w:rsidR="00220454" w:rsidRPr="00972868" w14:paraId="207BB9BE" w14:textId="77777777" w:rsidTr="00EE408A">
        <w:trPr>
          <w:cantSplit/>
        </w:trPr>
        <w:tc>
          <w:tcPr>
            <w:tcW w:w="3708" w:type="dxa"/>
          </w:tcPr>
          <w:p w14:paraId="026F278B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Poruchy metabolizmu a výživy</w:t>
            </w:r>
          </w:p>
        </w:tc>
        <w:tc>
          <w:tcPr>
            <w:tcW w:w="4209" w:type="dxa"/>
          </w:tcPr>
          <w:p w14:paraId="7D4CAF4C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znížená chuť do jedla</w:t>
            </w:r>
          </w:p>
        </w:tc>
        <w:tc>
          <w:tcPr>
            <w:tcW w:w="0" w:type="auto"/>
          </w:tcPr>
          <w:p w14:paraId="01EDF279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menej časté</w:t>
            </w:r>
          </w:p>
        </w:tc>
      </w:tr>
      <w:tr w:rsidR="00220454" w:rsidRPr="00972868" w14:paraId="43724DC9" w14:textId="77777777" w:rsidTr="00EE408A">
        <w:trPr>
          <w:cantSplit/>
        </w:trPr>
        <w:tc>
          <w:tcPr>
            <w:tcW w:w="3708" w:type="dxa"/>
          </w:tcPr>
          <w:p w14:paraId="459160D4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Poruchy ciev</w:t>
            </w:r>
          </w:p>
        </w:tc>
        <w:tc>
          <w:tcPr>
            <w:tcW w:w="4209" w:type="dxa"/>
          </w:tcPr>
          <w:p w14:paraId="753C7556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nával</w:t>
            </w:r>
            <w:r w:rsidR="00227A81">
              <w:rPr>
                <w:sz w:val="22"/>
                <w:szCs w:val="22"/>
              </w:rPr>
              <w:t>y</w:t>
            </w:r>
            <w:r w:rsidRPr="00972868">
              <w:rPr>
                <w:sz w:val="22"/>
                <w:szCs w:val="22"/>
              </w:rPr>
              <w:t xml:space="preserve"> tepla, hypertenzia</w:t>
            </w:r>
          </w:p>
        </w:tc>
        <w:tc>
          <w:tcPr>
            <w:tcW w:w="0" w:type="auto"/>
          </w:tcPr>
          <w:p w14:paraId="2B6E59A8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menej časté</w:t>
            </w:r>
          </w:p>
        </w:tc>
      </w:tr>
      <w:tr w:rsidR="00220454" w:rsidRPr="00972868" w14:paraId="28E9DF63" w14:textId="77777777" w:rsidTr="00EE408A">
        <w:trPr>
          <w:cantSplit/>
        </w:trPr>
        <w:tc>
          <w:tcPr>
            <w:tcW w:w="3708" w:type="dxa"/>
            <w:vMerge w:val="restart"/>
          </w:tcPr>
          <w:p w14:paraId="131EE400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Celkové poruchy a reakcie v mieste podania</w:t>
            </w:r>
          </w:p>
        </w:tc>
        <w:tc>
          <w:tcPr>
            <w:tcW w:w="4209" w:type="dxa"/>
          </w:tcPr>
          <w:p w14:paraId="231D8E85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únava</w:t>
            </w:r>
          </w:p>
        </w:tc>
        <w:tc>
          <w:tcPr>
            <w:tcW w:w="0" w:type="auto"/>
          </w:tcPr>
          <w:p w14:paraId="3FF158D6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časté</w:t>
            </w:r>
          </w:p>
        </w:tc>
      </w:tr>
      <w:tr w:rsidR="00220454" w:rsidRPr="00972868" w14:paraId="63C8F1AD" w14:textId="77777777" w:rsidTr="00EE408A">
        <w:trPr>
          <w:cantSplit/>
        </w:trPr>
        <w:tc>
          <w:tcPr>
            <w:tcW w:w="3708" w:type="dxa"/>
            <w:vMerge/>
            <w:tcBorders>
              <w:bottom w:val="single" w:sz="12" w:space="0" w:color="auto"/>
            </w:tcBorders>
          </w:tcPr>
          <w:p w14:paraId="2F2BA40B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</w:p>
        </w:tc>
        <w:tc>
          <w:tcPr>
            <w:tcW w:w="4209" w:type="dxa"/>
            <w:tcBorders>
              <w:bottom w:val="single" w:sz="12" w:space="0" w:color="auto"/>
            </w:tcBorders>
          </w:tcPr>
          <w:p w14:paraId="384113FC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bolesť na hrudi, bolesť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A88A28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menej časté</w:t>
            </w:r>
          </w:p>
        </w:tc>
      </w:tr>
      <w:tr w:rsidR="00220454" w:rsidRPr="00972868" w14:paraId="3F724926" w14:textId="77777777" w:rsidTr="00EE408A">
        <w:trPr>
          <w:cantSplit/>
        </w:trPr>
        <w:tc>
          <w:tcPr>
            <w:tcW w:w="91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C6F30" w14:textId="77777777" w:rsidR="00220454" w:rsidRPr="00972868" w:rsidRDefault="00220454" w:rsidP="005A3236">
            <w:pPr>
              <w:keepNext/>
              <w:adjustRightInd w:val="0"/>
              <w:snapToGrid w:val="0"/>
              <w:spacing w:after="0"/>
              <w:rPr>
                <w:b/>
              </w:rPr>
            </w:pPr>
            <w:r w:rsidRPr="00972868">
              <w:rPr>
                <w:b/>
                <w:sz w:val="22"/>
                <w:szCs w:val="22"/>
              </w:rPr>
              <w:t xml:space="preserve">Ďalšie nežiaduce reakcie pri </w:t>
            </w:r>
            <w:r w:rsidR="005A3236" w:rsidRPr="00972868">
              <w:rPr>
                <w:b/>
                <w:sz w:val="22"/>
                <w:szCs w:val="22"/>
              </w:rPr>
              <w:t>ezetimibe</w:t>
            </w:r>
            <w:r w:rsidRPr="00972868">
              <w:rPr>
                <w:b/>
                <w:sz w:val="22"/>
                <w:szCs w:val="22"/>
              </w:rPr>
              <w:t xml:space="preserve"> podávanom súbežne so statínom</w:t>
            </w:r>
          </w:p>
        </w:tc>
      </w:tr>
      <w:tr w:rsidR="00220454" w:rsidRPr="00972868" w14:paraId="37D4999B" w14:textId="77777777" w:rsidTr="00EE408A">
        <w:trPr>
          <w:cantSplit/>
        </w:trPr>
        <w:tc>
          <w:tcPr>
            <w:tcW w:w="3708" w:type="dxa"/>
            <w:tcBorders>
              <w:top w:val="single" w:sz="12" w:space="0" w:color="auto"/>
            </w:tcBorders>
          </w:tcPr>
          <w:p w14:paraId="1E6CFFF0" w14:textId="77777777" w:rsidR="00220454" w:rsidRPr="00972868" w:rsidRDefault="00220454" w:rsidP="00EE408A">
            <w:pPr>
              <w:keepNext/>
              <w:adjustRightInd w:val="0"/>
              <w:snapToGrid w:val="0"/>
              <w:spacing w:after="0"/>
              <w:rPr>
                <w:b/>
              </w:rPr>
            </w:pPr>
            <w:r w:rsidRPr="00972868">
              <w:rPr>
                <w:b/>
                <w:sz w:val="22"/>
                <w:szCs w:val="22"/>
              </w:rPr>
              <w:t>Trieda orgánových systémov</w:t>
            </w:r>
          </w:p>
        </w:tc>
        <w:tc>
          <w:tcPr>
            <w:tcW w:w="4209" w:type="dxa"/>
            <w:tcBorders>
              <w:top w:val="single" w:sz="12" w:space="0" w:color="auto"/>
            </w:tcBorders>
          </w:tcPr>
          <w:p w14:paraId="56A35874" w14:textId="77777777" w:rsidR="00220454" w:rsidRPr="00972868" w:rsidRDefault="00220454" w:rsidP="00227A81">
            <w:pPr>
              <w:keepNext/>
              <w:adjustRightInd w:val="0"/>
              <w:snapToGrid w:val="0"/>
              <w:spacing w:after="0"/>
              <w:rPr>
                <w:b/>
              </w:rPr>
            </w:pPr>
            <w:r w:rsidRPr="00972868">
              <w:rPr>
                <w:b/>
                <w:sz w:val="22"/>
                <w:szCs w:val="22"/>
              </w:rPr>
              <w:t xml:space="preserve">Nežiaduce </w:t>
            </w:r>
            <w:r w:rsidR="00227A81">
              <w:rPr>
                <w:b/>
                <w:sz w:val="22"/>
                <w:szCs w:val="22"/>
              </w:rPr>
              <w:t>účinky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38531CE" w14:textId="77777777" w:rsidR="00220454" w:rsidRPr="00972868" w:rsidRDefault="00220454" w:rsidP="00EE408A">
            <w:pPr>
              <w:keepNext/>
              <w:adjustRightInd w:val="0"/>
              <w:snapToGrid w:val="0"/>
              <w:spacing w:after="0"/>
              <w:rPr>
                <w:b/>
              </w:rPr>
            </w:pPr>
            <w:r w:rsidRPr="00972868">
              <w:rPr>
                <w:b/>
                <w:sz w:val="22"/>
                <w:szCs w:val="22"/>
              </w:rPr>
              <w:t>Frekvencia</w:t>
            </w:r>
          </w:p>
        </w:tc>
      </w:tr>
      <w:tr w:rsidR="00220454" w:rsidRPr="00972868" w14:paraId="5DE0B3F5" w14:textId="77777777" w:rsidTr="00EE408A">
        <w:trPr>
          <w:cantSplit/>
        </w:trPr>
        <w:tc>
          <w:tcPr>
            <w:tcW w:w="3708" w:type="dxa"/>
          </w:tcPr>
          <w:p w14:paraId="7215AD1E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Laboratórne a funkčné vyšetrenia</w:t>
            </w:r>
          </w:p>
        </w:tc>
        <w:tc>
          <w:tcPr>
            <w:tcW w:w="4209" w:type="dxa"/>
          </w:tcPr>
          <w:p w14:paraId="449F419F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zvýšená ALT a/alebo AST</w:t>
            </w:r>
          </w:p>
        </w:tc>
        <w:tc>
          <w:tcPr>
            <w:tcW w:w="0" w:type="auto"/>
          </w:tcPr>
          <w:p w14:paraId="2CA555FE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časté</w:t>
            </w:r>
          </w:p>
        </w:tc>
      </w:tr>
      <w:tr w:rsidR="00220454" w:rsidRPr="00972868" w14:paraId="608ED75B" w14:textId="77777777" w:rsidTr="00EE408A">
        <w:trPr>
          <w:cantSplit/>
        </w:trPr>
        <w:tc>
          <w:tcPr>
            <w:tcW w:w="3708" w:type="dxa"/>
            <w:vMerge w:val="restart"/>
          </w:tcPr>
          <w:p w14:paraId="1064B12C" w14:textId="77777777" w:rsidR="00220454" w:rsidRPr="00972868" w:rsidRDefault="00220454" w:rsidP="00EE408A">
            <w:pPr>
              <w:adjustRightInd w:val="0"/>
              <w:snapToGrid w:val="0"/>
              <w:spacing w:after="0"/>
              <w:rPr>
                <w:bCs/>
              </w:rPr>
            </w:pPr>
            <w:r w:rsidRPr="00972868">
              <w:rPr>
                <w:bCs/>
                <w:sz w:val="22"/>
                <w:szCs w:val="22"/>
              </w:rPr>
              <w:t>Poruchy nervového systému</w:t>
            </w:r>
          </w:p>
        </w:tc>
        <w:tc>
          <w:tcPr>
            <w:tcW w:w="4209" w:type="dxa"/>
          </w:tcPr>
          <w:p w14:paraId="01ED9F6F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bolesť hlavy</w:t>
            </w:r>
          </w:p>
        </w:tc>
        <w:tc>
          <w:tcPr>
            <w:tcW w:w="0" w:type="auto"/>
          </w:tcPr>
          <w:p w14:paraId="140A0C84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časté</w:t>
            </w:r>
          </w:p>
        </w:tc>
      </w:tr>
      <w:tr w:rsidR="00220454" w:rsidRPr="00972868" w14:paraId="5042C862" w14:textId="77777777" w:rsidTr="00EE408A">
        <w:trPr>
          <w:cantSplit/>
        </w:trPr>
        <w:tc>
          <w:tcPr>
            <w:tcW w:w="3708" w:type="dxa"/>
            <w:vMerge/>
          </w:tcPr>
          <w:p w14:paraId="62E89FC3" w14:textId="77777777" w:rsidR="00220454" w:rsidRPr="00972868" w:rsidRDefault="00220454" w:rsidP="00EE408A">
            <w:pPr>
              <w:adjustRightInd w:val="0"/>
              <w:snapToGrid w:val="0"/>
              <w:spacing w:after="0"/>
              <w:rPr>
                <w:bCs/>
              </w:rPr>
            </w:pPr>
          </w:p>
        </w:tc>
        <w:tc>
          <w:tcPr>
            <w:tcW w:w="4209" w:type="dxa"/>
          </w:tcPr>
          <w:p w14:paraId="1145F6A7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parestézia</w:t>
            </w:r>
          </w:p>
        </w:tc>
        <w:tc>
          <w:tcPr>
            <w:tcW w:w="0" w:type="auto"/>
          </w:tcPr>
          <w:p w14:paraId="44140CFB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menej časté</w:t>
            </w:r>
          </w:p>
        </w:tc>
      </w:tr>
      <w:tr w:rsidR="00220454" w:rsidRPr="00972868" w14:paraId="50528A33" w14:textId="77777777" w:rsidTr="00EE408A">
        <w:trPr>
          <w:cantSplit/>
        </w:trPr>
        <w:tc>
          <w:tcPr>
            <w:tcW w:w="3708" w:type="dxa"/>
          </w:tcPr>
          <w:p w14:paraId="2D0E3138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bCs/>
                <w:sz w:val="22"/>
                <w:szCs w:val="22"/>
              </w:rPr>
              <w:t>Poruchy gastrointestinálneho traktu</w:t>
            </w:r>
          </w:p>
        </w:tc>
        <w:tc>
          <w:tcPr>
            <w:tcW w:w="4209" w:type="dxa"/>
          </w:tcPr>
          <w:p w14:paraId="1482EE1D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sucho v ústach, gastritída</w:t>
            </w:r>
          </w:p>
        </w:tc>
        <w:tc>
          <w:tcPr>
            <w:tcW w:w="0" w:type="auto"/>
          </w:tcPr>
          <w:p w14:paraId="7DF58DEC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menej časté</w:t>
            </w:r>
          </w:p>
        </w:tc>
      </w:tr>
      <w:tr w:rsidR="00220454" w:rsidRPr="00972868" w14:paraId="60F9642F" w14:textId="77777777" w:rsidTr="00EE408A">
        <w:trPr>
          <w:cantSplit/>
        </w:trPr>
        <w:tc>
          <w:tcPr>
            <w:tcW w:w="3708" w:type="dxa"/>
          </w:tcPr>
          <w:p w14:paraId="098C9CEC" w14:textId="77777777" w:rsidR="00220454" w:rsidRPr="00972868" w:rsidRDefault="00220454" w:rsidP="00EE408A">
            <w:pPr>
              <w:adjustRightInd w:val="0"/>
              <w:snapToGrid w:val="0"/>
              <w:spacing w:after="0"/>
              <w:rPr>
                <w:bCs/>
              </w:rPr>
            </w:pPr>
            <w:r w:rsidRPr="00972868">
              <w:rPr>
                <w:bCs/>
                <w:sz w:val="22"/>
                <w:szCs w:val="22"/>
              </w:rPr>
              <w:t>Poruchy kože a podkožného tkaniva</w:t>
            </w:r>
          </w:p>
        </w:tc>
        <w:tc>
          <w:tcPr>
            <w:tcW w:w="4209" w:type="dxa"/>
          </w:tcPr>
          <w:p w14:paraId="726CCDC4" w14:textId="77777777" w:rsidR="00220454" w:rsidRPr="00972868" w:rsidRDefault="002370FD" w:rsidP="00EE408A">
            <w:pPr>
              <w:adjustRightInd w:val="0"/>
              <w:snapToGrid w:val="0"/>
              <w:spacing w:after="0"/>
            </w:pPr>
            <w:r w:rsidRPr="0069082A">
              <w:rPr>
                <w:i/>
                <w:sz w:val="22"/>
                <w:szCs w:val="22"/>
              </w:rPr>
              <w:t>pruritus</w:t>
            </w:r>
            <w:r w:rsidR="00220454" w:rsidRPr="00972868">
              <w:rPr>
                <w:sz w:val="22"/>
                <w:szCs w:val="22"/>
              </w:rPr>
              <w:t>, vyrážka, urtikária</w:t>
            </w:r>
          </w:p>
        </w:tc>
        <w:tc>
          <w:tcPr>
            <w:tcW w:w="0" w:type="auto"/>
          </w:tcPr>
          <w:p w14:paraId="531ED5B5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menej časté</w:t>
            </w:r>
          </w:p>
        </w:tc>
      </w:tr>
      <w:tr w:rsidR="00220454" w:rsidRPr="00972868" w14:paraId="4EC61C06" w14:textId="77777777" w:rsidTr="00EE408A">
        <w:trPr>
          <w:cantSplit/>
        </w:trPr>
        <w:tc>
          <w:tcPr>
            <w:tcW w:w="3708" w:type="dxa"/>
            <w:vMerge w:val="restart"/>
          </w:tcPr>
          <w:p w14:paraId="5A853A56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bCs/>
                <w:sz w:val="22"/>
                <w:szCs w:val="22"/>
              </w:rPr>
              <w:t>Poruchy kostrovej a svalovej sústavy a spojivového tkaniva</w:t>
            </w:r>
          </w:p>
        </w:tc>
        <w:tc>
          <w:tcPr>
            <w:tcW w:w="4209" w:type="dxa"/>
          </w:tcPr>
          <w:p w14:paraId="441BD839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myalgia</w:t>
            </w:r>
          </w:p>
        </w:tc>
        <w:tc>
          <w:tcPr>
            <w:tcW w:w="0" w:type="auto"/>
          </w:tcPr>
          <w:p w14:paraId="7B42DA85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časté</w:t>
            </w:r>
          </w:p>
        </w:tc>
      </w:tr>
      <w:tr w:rsidR="00220454" w:rsidRPr="00972868" w14:paraId="67E4346A" w14:textId="77777777" w:rsidTr="00EE408A">
        <w:trPr>
          <w:cantSplit/>
        </w:trPr>
        <w:tc>
          <w:tcPr>
            <w:tcW w:w="3708" w:type="dxa"/>
            <w:vMerge/>
          </w:tcPr>
          <w:p w14:paraId="212DE7D3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</w:p>
        </w:tc>
        <w:tc>
          <w:tcPr>
            <w:tcW w:w="4209" w:type="dxa"/>
          </w:tcPr>
          <w:p w14:paraId="792354BA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bolesť chrbta, svalová slabosť, bolesť v končatine</w:t>
            </w:r>
          </w:p>
        </w:tc>
        <w:tc>
          <w:tcPr>
            <w:tcW w:w="0" w:type="auto"/>
          </w:tcPr>
          <w:p w14:paraId="5B7663EC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menej časté</w:t>
            </w:r>
          </w:p>
        </w:tc>
      </w:tr>
      <w:tr w:rsidR="00220454" w:rsidRPr="00972868" w14:paraId="293D187E" w14:textId="77777777" w:rsidTr="00EE408A">
        <w:trPr>
          <w:cantSplit/>
        </w:trPr>
        <w:tc>
          <w:tcPr>
            <w:tcW w:w="3708" w:type="dxa"/>
          </w:tcPr>
          <w:p w14:paraId="38BBC4FD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Celkové poruchy a reakcie v mieste podania</w:t>
            </w:r>
          </w:p>
        </w:tc>
        <w:tc>
          <w:tcPr>
            <w:tcW w:w="4209" w:type="dxa"/>
          </w:tcPr>
          <w:p w14:paraId="1680E8C4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asténia, periférny edém</w:t>
            </w:r>
          </w:p>
        </w:tc>
        <w:tc>
          <w:tcPr>
            <w:tcW w:w="0" w:type="auto"/>
          </w:tcPr>
          <w:p w14:paraId="6A6E6C49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menej časté</w:t>
            </w:r>
          </w:p>
        </w:tc>
      </w:tr>
      <w:tr w:rsidR="00220454" w:rsidRPr="00972868" w14:paraId="0DA490A7" w14:textId="77777777" w:rsidTr="00EE408A">
        <w:trPr>
          <w:cantSplit/>
        </w:trPr>
        <w:tc>
          <w:tcPr>
            <w:tcW w:w="91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169CC" w14:textId="77777777" w:rsidR="00220454" w:rsidRPr="00972868" w:rsidRDefault="00220454" w:rsidP="00EE408A">
            <w:pPr>
              <w:keepNext/>
              <w:adjustRightInd w:val="0"/>
              <w:snapToGrid w:val="0"/>
              <w:spacing w:after="0"/>
              <w:rPr>
                <w:b/>
              </w:rPr>
            </w:pPr>
            <w:r w:rsidRPr="00972868">
              <w:rPr>
                <w:b/>
                <w:sz w:val="22"/>
                <w:szCs w:val="22"/>
              </w:rPr>
              <w:t>Skúsenosti po uvedení lieku na trh (so statínom alebo bez neho)</w:t>
            </w:r>
          </w:p>
        </w:tc>
      </w:tr>
      <w:tr w:rsidR="00220454" w:rsidRPr="00972868" w14:paraId="3F5FEC7B" w14:textId="77777777" w:rsidTr="00EE408A">
        <w:trPr>
          <w:cantSplit/>
        </w:trPr>
        <w:tc>
          <w:tcPr>
            <w:tcW w:w="3708" w:type="dxa"/>
            <w:tcBorders>
              <w:top w:val="single" w:sz="12" w:space="0" w:color="auto"/>
            </w:tcBorders>
          </w:tcPr>
          <w:p w14:paraId="7D4E0C77" w14:textId="77777777" w:rsidR="00220454" w:rsidRPr="00972868" w:rsidRDefault="00220454" w:rsidP="00EE408A">
            <w:pPr>
              <w:keepNext/>
              <w:adjustRightInd w:val="0"/>
              <w:snapToGrid w:val="0"/>
              <w:spacing w:after="0"/>
              <w:rPr>
                <w:b/>
              </w:rPr>
            </w:pPr>
            <w:r w:rsidRPr="00972868">
              <w:rPr>
                <w:b/>
                <w:sz w:val="22"/>
                <w:szCs w:val="22"/>
              </w:rPr>
              <w:t>Trieda orgánových systémov</w:t>
            </w:r>
          </w:p>
        </w:tc>
        <w:tc>
          <w:tcPr>
            <w:tcW w:w="4209" w:type="dxa"/>
            <w:tcBorders>
              <w:top w:val="single" w:sz="12" w:space="0" w:color="auto"/>
            </w:tcBorders>
          </w:tcPr>
          <w:p w14:paraId="36411B1B" w14:textId="77777777" w:rsidR="00220454" w:rsidRPr="00972868" w:rsidRDefault="00220454" w:rsidP="00227A81">
            <w:pPr>
              <w:keepNext/>
              <w:adjustRightInd w:val="0"/>
              <w:snapToGrid w:val="0"/>
              <w:spacing w:after="0"/>
              <w:rPr>
                <w:b/>
              </w:rPr>
            </w:pPr>
            <w:r w:rsidRPr="00972868">
              <w:rPr>
                <w:b/>
                <w:sz w:val="22"/>
                <w:szCs w:val="22"/>
              </w:rPr>
              <w:t xml:space="preserve">Nežiaduce </w:t>
            </w:r>
            <w:r w:rsidR="00227A81">
              <w:rPr>
                <w:b/>
                <w:sz w:val="22"/>
                <w:szCs w:val="22"/>
              </w:rPr>
              <w:t>účinky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AB9A79B" w14:textId="77777777" w:rsidR="00220454" w:rsidRPr="00972868" w:rsidRDefault="00220454" w:rsidP="00EE408A">
            <w:pPr>
              <w:keepNext/>
              <w:adjustRightInd w:val="0"/>
              <w:snapToGrid w:val="0"/>
              <w:spacing w:after="0"/>
              <w:rPr>
                <w:b/>
              </w:rPr>
            </w:pPr>
            <w:r w:rsidRPr="00972868">
              <w:rPr>
                <w:b/>
                <w:sz w:val="22"/>
                <w:szCs w:val="22"/>
              </w:rPr>
              <w:t>Frekvencia</w:t>
            </w:r>
          </w:p>
        </w:tc>
      </w:tr>
      <w:tr w:rsidR="00220454" w:rsidRPr="00972868" w14:paraId="1544A0F7" w14:textId="77777777" w:rsidTr="00EE408A">
        <w:trPr>
          <w:cantSplit/>
        </w:trPr>
        <w:tc>
          <w:tcPr>
            <w:tcW w:w="3708" w:type="dxa"/>
            <w:tcBorders>
              <w:bottom w:val="single" w:sz="4" w:space="0" w:color="auto"/>
            </w:tcBorders>
          </w:tcPr>
          <w:p w14:paraId="5DFFF83C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Poruchy krvi a lymfatického systému</w:t>
            </w: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14:paraId="3FE2EF90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trombocytopénia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00D3205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neznáme</w:t>
            </w:r>
          </w:p>
        </w:tc>
      </w:tr>
      <w:tr w:rsidR="00220454" w:rsidRPr="00972868" w14:paraId="35EC0191" w14:textId="77777777" w:rsidTr="00EE408A">
        <w:trPr>
          <w:cantSplit/>
        </w:trPr>
        <w:tc>
          <w:tcPr>
            <w:tcW w:w="3708" w:type="dxa"/>
          </w:tcPr>
          <w:p w14:paraId="04DFF196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bCs/>
                <w:sz w:val="22"/>
                <w:szCs w:val="22"/>
              </w:rPr>
              <w:t>Poruchy nervového systému</w:t>
            </w:r>
          </w:p>
        </w:tc>
        <w:tc>
          <w:tcPr>
            <w:tcW w:w="4209" w:type="dxa"/>
          </w:tcPr>
          <w:p w14:paraId="1E43BE10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závrat</w:t>
            </w:r>
            <w:r w:rsidR="00227A81">
              <w:rPr>
                <w:sz w:val="22"/>
                <w:szCs w:val="22"/>
              </w:rPr>
              <w:t>y</w:t>
            </w:r>
            <w:r w:rsidRPr="00972868">
              <w:rPr>
                <w:sz w:val="22"/>
                <w:szCs w:val="22"/>
              </w:rPr>
              <w:t>, parestézia</w:t>
            </w:r>
          </w:p>
        </w:tc>
        <w:tc>
          <w:tcPr>
            <w:tcW w:w="0" w:type="auto"/>
          </w:tcPr>
          <w:p w14:paraId="27DF206F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neznáme</w:t>
            </w:r>
          </w:p>
        </w:tc>
      </w:tr>
      <w:tr w:rsidR="00220454" w:rsidRPr="00972868" w14:paraId="7EA18AFD" w14:textId="77777777" w:rsidTr="00EE408A">
        <w:trPr>
          <w:cantSplit/>
        </w:trPr>
        <w:tc>
          <w:tcPr>
            <w:tcW w:w="3708" w:type="dxa"/>
          </w:tcPr>
          <w:p w14:paraId="3A04D6D7" w14:textId="77777777" w:rsidR="00220454" w:rsidRPr="00972868" w:rsidRDefault="00220454" w:rsidP="00EE408A">
            <w:pPr>
              <w:adjustRightInd w:val="0"/>
              <w:snapToGrid w:val="0"/>
              <w:spacing w:after="0"/>
              <w:rPr>
                <w:bCs/>
              </w:rPr>
            </w:pPr>
            <w:r w:rsidRPr="00972868">
              <w:rPr>
                <w:bCs/>
                <w:sz w:val="22"/>
                <w:szCs w:val="22"/>
              </w:rPr>
              <w:t>Poruchy dýchacej sústavy, hrudníka a mediastína</w:t>
            </w:r>
          </w:p>
        </w:tc>
        <w:tc>
          <w:tcPr>
            <w:tcW w:w="4209" w:type="dxa"/>
          </w:tcPr>
          <w:p w14:paraId="66B2D4AA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bCs/>
                <w:sz w:val="22"/>
                <w:szCs w:val="22"/>
              </w:rPr>
              <w:t>dyspnoe</w:t>
            </w:r>
          </w:p>
        </w:tc>
        <w:tc>
          <w:tcPr>
            <w:tcW w:w="0" w:type="auto"/>
          </w:tcPr>
          <w:p w14:paraId="7595606F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neznáme</w:t>
            </w:r>
          </w:p>
        </w:tc>
      </w:tr>
      <w:tr w:rsidR="00220454" w:rsidRPr="00972868" w14:paraId="1559AA81" w14:textId="77777777" w:rsidTr="00EE408A">
        <w:trPr>
          <w:cantSplit/>
        </w:trPr>
        <w:tc>
          <w:tcPr>
            <w:tcW w:w="3708" w:type="dxa"/>
            <w:tcBorders>
              <w:bottom w:val="single" w:sz="4" w:space="0" w:color="auto"/>
            </w:tcBorders>
          </w:tcPr>
          <w:p w14:paraId="165E181B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bCs/>
                <w:sz w:val="22"/>
                <w:szCs w:val="22"/>
              </w:rPr>
              <w:t>Poruchy gastrointestinálneho traktu</w:t>
            </w: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14:paraId="32CF7197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pankreatitída, zápcha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458705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neznáme</w:t>
            </w:r>
          </w:p>
        </w:tc>
      </w:tr>
      <w:tr w:rsidR="00220454" w:rsidRPr="00972868" w14:paraId="4DC4F2A3" w14:textId="77777777" w:rsidTr="00EE408A">
        <w:trPr>
          <w:cantSplit/>
        </w:trPr>
        <w:tc>
          <w:tcPr>
            <w:tcW w:w="3708" w:type="dxa"/>
          </w:tcPr>
          <w:p w14:paraId="2BEEC89E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bCs/>
                <w:sz w:val="22"/>
                <w:szCs w:val="22"/>
              </w:rPr>
              <w:t>Poruchy kože a podkožného tkaniva</w:t>
            </w:r>
          </w:p>
        </w:tc>
        <w:tc>
          <w:tcPr>
            <w:tcW w:w="4209" w:type="dxa"/>
          </w:tcPr>
          <w:p w14:paraId="02932042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multiformný erytém</w:t>
            </w:r>
          </w:p>
        </w:tc>
        <w:tc>
          <w:tcPr>
            <w:tcW w:w="0" w:type="auto"/>
          </w:tcPr>
          <w:p w14:paraId="614922B2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neznáme</w:t>
            </w:r>
          </w:p>
        </w:tc>
      </w:tr>
      <w:tr w:rsidR="00220454" w:rsidRPr="00972868" w14:paraId="7593448F" w14:textId="77777777" w:rsidTr="00EE408A">
        <w:trPr>
          <w:cantSplit/>
        </w:trPr>
        <w:tc>
          <w:tcPr>
            <w:tcW w:w="3708" w:type="dxa"/>
          </w:tcPr>
          <w:p w14:paraId="179D3E3E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bCs/>
                <w:sz w:val="22"/>
                <w:szCs w:val="22"/>
              </w:rPr>
              <w:t>Poruchy kostrovej a svalovej sústavy a spojivového tkaniva</w:t>
            </w:r>
          </w:p>
        </w:tc>
        <w:tc>
          <w:tcPr>
            <w:tcW w:w="4209" w:type="dxa"/>
          </w:tcPr>
          <w:p w14:paraId="0669A100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myalgia, myopatia/rabdomyolýza (pozri časť 4.4)</w:t>
            </w:r>
          </w:p>
        </w:tc>
        <w:tc>
          <w:tcPr>
            <w:tcW w:w="0" w:type="auto"/>
          </w:tcPr>
          <w:p w14:paraId="1D5233A0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neznáme</w:t>
            </w:r>
          </w:p>
        </w:tc>
      </w:tr>
      <w:tr w:rsidR="00220454" w:rsidRPr="00972868" w14:paraId="1A05D1EA" w14:textId="77777777" w:rsidTr="00EE408A">
        <w:trPr>
          <w:cantSplit/>
        </w:trPr>
        <w:tc>
          <w:tcPr>
            <w:tcW w:w="3708" w:type="dxa"/>
          </w:tcPr>
          <w:p w14:paraId="2DBA0E12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Celkové poruchy a reakcie v mieste podania</w:t>
            </w:r>
          </w:p>
        </w:tc>
        <w:tc>
          <w:tcPr>
            <w:tcW w:w="4209" w:type="dxa"/>
          </w:tcPr>
          <w:p w14:paraId="55BAA693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asténia</w:t>
            </w:r>
          </w:p>
        </w:tc>
        <w:tc>
          <w:tcPr>
            <w:tcW w:w="0" w:type="auto"/>
          </w:tcPr>
          <w:p w14:paraId="74952DAA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neznáme</w:t>
            </w:r>
          </w:p>
        </w:tc>
      </w:tr>
      <w:tr w:rsidR="00220454" w:rsidRPr="00972868" w14:paraId="47370C92" w14:textId="77777777" w:rsidTr="00EE408A">
        <w:trPr>
          <w:cantSplit/>
        </w:trPr>
        <w:tc>
          <w:tcPr>
            <w:tcW w:w="3708" w:type="dxa"/>
          </w:tcPr>
          <w:p w14:paraId="6C52BAEC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Poruchy imunitného systému</w:t>
            </w:r>
          </w:p>
        </w:tc>
        <w:tc>
          <w:tcPr>
            <w:tcW w:w="4209" w:type="dxa"/>
          </w:tcPr>
          <w:p w14:paraId="3CD9E36D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precitlivenosť vrátane vyrážky, urtikárie, anafylaxie a angioedému</w:t>
            </w:r>
          </w:p>
        </w:tc>
        <w:tc>
          <w:tcPr>
            <w:tcW w:w="0" w:type="auto"/>
          </w:tcPr>
          <w:p w14:paraId="0DF69176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neznáme</w:t>
            </w:r>
          </w:p>
        </w:tc>
      </w:tr>
      <w:tr w:rsidR="00220454" w:rsidRPr="00972868" w14:paraId="4D351CE3" w14:textId="77777777" w:rsidTr="00EE408A">
        <w:trPr>
          <w:cantSplit/>
        </w:trPr>
        <w:tc>
          <w:tcPr>
            <w:tcW w:w="3708" w:type="dxa"/>
          </w:tcPr>
          <w:p w14:paraId="25EA196D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lastRenderedPageBreak/>
              <w:t>Poruchy pečene a žlčových ciest</w:t>
            </w:r>
          </w:p>
        </w:tc>
        <w:tc>
          <w:tcPr>
            <w:tcW w:w="4209" w:type="dxa"/>
          </w:tcPr>
          <w:p w14:paraId="20DE4304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hepatitída, cholelitiáza, cholecystitída</w:t>
            </w:r>
          </w:p>
        </w:tc>
        <w:tc>
          <w:tcPr>
            <w:tcW w:w="0" w:type="auto"/>
          </w:tcPr>
          <w:p w14:paraId="09BDB0D2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neznáme</w:t>
            </w:r>
          </w:p>
        </w:tc>
      </w:tr>
      <w:tr w:rsidR="00220454" w:rsidRPr="00972868" w14:paraId="24C87440" w14:textId="77777777" w:rsidTr="00EE408A">
        <w:trPr>
          <w:cantSplit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1DF0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Psychické poruchy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4220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depresia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9979" w14:textId="77777777" w:rsidR="00220454" w:rsidRPr="00972868" w:rsidRDefault="00220454" w:rsidP="00EE408A">
            <w:pPr>
              <w:adjustRightInd w:val="0"/>
              <w:snapToGrid w:val="0"/>
              <w:spacing w:after="0"/>
            </w:pPr>
            <w:r w:rsidRPr="00972868">
              <w:rPr>
                <w:sz w:val="22"/>
                <w:szCs w:val="22"/>
              </w:rPr>
              <w:t>neznáme</w:t>
            </w:r>
          </w:p>
        </w:tc>
      </w:tr>
    </w:tbl>
    <w:p w14:paraId="3920850E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F9D40B4" w14:textId="77777777" w:rsidR="00220454" w:rsidRPr="00972868" w:rsidRDefault="005A3236" w:rsidP="00220454">
      <w:pPr>
        <w:keepNext/>
        <w:adjustRightInd w:val="0"/>
        <w:snapToGrid w:val="0"/>
        <w:spacing w:after="0"/>
        <w:rPr>
          <w:i/>
          <w:sz w:val="22"/>
          <w:szCs w:val="22"/>
        </w:rPr>
      </w:pPr>
      <w:r w:rsidRPr="00972868">
        <w:rPr>
          <w:i/>
          <w:sz w:val="22"/>
          <w:szCs w:val="22"/>
          <w:u w:val="single"/>
        </w:rPr>
        <w:t>Ezetimib</w:t>
      </w:r>
      <w:r w:rsidR="00220454" w:rsidRPr="00972868">
        <w:rPr>
          <w:i/>
          <w:sz w:val="22"/>
          <w:szCs w:val="22"/>
          <w:u w:val="single"/>
        </w:rPr>
        <w:t xml:space="preserve"> podávaný s fenofibrátom</w:t>
      </w:r>
    </w:p>
    <w:p w14:paraId="3EC81255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i/>
          <w:sz w:val="22"/>
          <w:szCs w:val="22"/>
        </w:rPr>
        <w:t>Poruchy gastrointestinálneho traktu</w:t>
      </w:r>
      <w:r w:rsidRPr="00972868">
        <w:rPr>
          <w:sz w:val="22"/>
          <w:szCs w:val="22"/>
        </w:rPr>
        <w:t>: bolesť brucha (časté).</w:t>
      </w:r>
    </w:p>
    <w:p w14:paraId="1C7411A9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BD63E8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 multicentrick</w:t>
      </w:r>
      <w:r w:rsidR="00C937D8">
        <w:rPr>
          <w:sz w:val="22"/>
          <w:szCs w:val="22"/>
        </w:rPr>
        <w:t>om</w:t>
      </w:r>
      <w:r w:rsidRPr="00972868">
        <w:rPr>
          <w:sz w:val="22"/>
          <w:szCs w:val="22"/>
        </w:rPr>
        <w:t>, dvojito zaslepen</w:t>
      </w:r>
      <w:r w:rsidR="00C937D8">
        <w:rPr>
          <w:sz w:val="22"/>
          <w:szCs w:val="22"/>
        </w:rPr>
        <w:t>om</w:t>
      </w:r>
      <w:r w:rsidRPr="00972868">
        <w:rPr>
          <w:sz w:val="22"/>
          <w:szCs w:val="22"/>
        </w:rPr>
        <w:t>, placebom kontrolovan</w:t>
      </w:r>
      <w:r w:rsidR="00C937D8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klinick</w:t>
      </w:r>
      <w:r w:rsidR="00C937D8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</w:t>
      </w:r>
      <w:r w:rsidR="00C937D8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u pacientov so zmiešanou hyperlipidémiou bolo liečených 625 pacientov počas obdobia do 12 týždňov a 576 pacientov počas obdobia do 1 roka. V</w:t>
      </w:r>
      <w:r w:rsidR="00C937D8">
        <w:rPr>
          <w:sz w:val="22"/>
          <w:szCs w:val="22"/>
        </w:rPr>
        <w:t> </w:t>
      </w:r>
      <w:r w:rsidRPr="00972868">
        <w:rPr>
          <w:sz w:val="22"/>
          <w:szCs w:val="22"/>
        </w:rPr>
        <w:t>t</w:t>
      </w:r>
      <w:r w:rsidR="00C937D8">
        <w:rPr>
          <w:sz w:val="22"/>
          <w:szCs w:val="22"/>
        </w:rPr>
        <w:t>omto skúšaní</w:t>
      </w:r>
      <w:r w:rsidRPr="00972868">
        <w:rPr>
          <w:sz w:val="22"/>
          <w:szCs w:val="22"/>
        </w:rPr>
        <w:t xml:space="preserve"> 172 pacientov liečených </w:t>
      </w:r>
      <w:r w:rsidR="005A3236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 a fenofibrátom dokončilo 12 týždňov liečby a 230 pacientov liečených </w:t>
      </w:r>
      <w:r w:rsidR="005A3236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 a fenofibrátom (vrátane 109 pacientov, ktorí počas prvých 12 týždňov dostávali samotný </w:t>
      </w:r>
      <w:r w:rsidR="005A3236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>) dokončilo 1 rok liečby. T</w:t>
      </w:r>
      <w:r w:rsidR="00C937D8">
        <w:rPr>
          <w:sz w:val="22"/>
          <w:szCs w:val="22"/>
        </w:rPr>
        <w:t>o</w:t>
      </w:r>
      <w:r w:rsidRPr="00972868">
        <w:rPr>
          <w:sz w:val="22"/>
          <w:szCs w:val="22"/>
        </w:rPr>
        <w:t xml:space="preserve">to </w:t>
      </w:r>
      <w:r w:rsidR="00C937D8">
        <w:rPr>
          <w:sz w:val="22"/>
          <w:szCs w:val="22"/>
        </w:rPr>
        <w:t>skúšanie</w:t>
      </w:r>
      <w:r w:rsidRPr="00972868">
        <w:rPr>
          <w:sz w:val="22"/>
          <w:szCs w:val="22"/>
        </w:rPr>
        <w:t xml:space="preserve"> nebol</w:t>
      </w:r>
      <w:r w:rsidR="00C937D8">
        <w:rPr>
          <w:sz w:val="22"/>
          <w:szCs w:val="22"/>
        </w:rPr>
        <w:t>o</w:t>
      </w:r>
      <w:r w:rsidRPr="00972868">
        <w:rPr>
          <w:sz w:val="22"/>
          <w:szCs w:val="22"/>
        </w:rPr>
        <w:t xml:space="preserve"> usporiadan</w:t>
      </w:r>
      <w:r w:rsidR="00C937D8">
        <w:rPr>
          <w:sz w:val="22"/>
          <w:szCs w:val="22"/>
        </w:rPr>
        <w:t>é</w:t>
      </w:r>
      <w:r w:rsidRPr="00972868">
        <w:rPr>
          <w:sz w:val="22"/>
          <w:szCs w:val="22"/>
        </w:rPr>
        <w:t xml:space="preserve"> tak, aby porovnával</w:t>
      </w:r>
      <w:r w:rsidR="00C937D8">
        <w:rPr>
          <w:sz w:val="22"/>
          <w:szCs w:val="22"/>
        </w:rPr>
        <w:t>o</w:t>
      </w:r>
      <w:r w:rsidRPr="00972868">
        <w:rPr>
          <w:sz w:val="22"/>
          <w:szCs w:val="22"/>
        </w:rPr>
        <w:t xml:space="preserve"> liečebné skupiny podľa zriedkavých nežiaducich účinkov. Hodnoty incidencie (95 % IS) klinicky významných zvýšení (&gt;</w:t>
      </w:r>
      <w:r w:rsidR="003F3474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3</w:t>
      </w:r>
      <w:r w:rsidR="003F3474" w:rsidRPr="00972868">
        <w:rPr>
          <w:sz w:val="22"/>
          <w:szCs w:val="22"/>
        </w:rPr>
        <w:t>-násobok</w:t>
      </w:r>
      <w:r w:rsidRPr="00972868">
        <w:rPr>
          <w:sz w:val="22"/>
          <w:szCs w:val="22"/>
        </w:rPr>
        <w:t xml:space="preserve"> HHN, </w:t>
      </w:r>
      <w:r w:rsidR="00762E87">
        <w:rPr>
          <w:sz w:val="22"/>
          <w:szCs w:val="22"/>
        </w:rPr>
        <w:t>po sebe</w:t>
      </w:r>
      <w:r w:rsidRPr="00972868">
        <w:rPr>
          <w:sz w:val="22"/>
          <w:szCs w:val="22"/>
        </w:rPr>
        <w:t xml:space="preserve">) sérových transamináz upravené na expozíciu liečbe boli 4,5 % (1,9; 8,8) pre monoterapiu fenofibrátom a 2,7 % (1,2; 5,4) pre </w:t>
      </w:r>
      <w:r w:rsidR="00DB0AD0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podávaný súbežne s fenofibrátom. Zodpovedajúce hodnoty incidencie pre cholecystektómiu boli 0,6 % (0,0; 3,1) pre monoterapiu fenofibrátom a 1,7 % (0,6; 4,0) pre </w:t>
      </w:r>
      <w:r w:rsidR="00DB0AD0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podávaný súbežne s fenofibrátom (pozri časti 4.4 a 4.5).</w:t>
      </w:r>
    </w:p>
    <w:p w14:paraId="5528F151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1EBEA671" w14:textId="77777777" w:rsidR="00DB0AD0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  <w:u w:val="single"/>
        </w:rPr>
      </w:pPr>
      <w:r w:rsidRPr="00972868">
        <w:rPr>
          <w:i/>
          <w:sz w:val="22"/>
          <w:szCs w:val="22"/>
          <w:u w:val="single"/>
        </w:rPr>
        <w:t>Pediatrick</w:t>
      </w:r>
      <w:r w:rsidR="00DB0AD0" w:rsidRPr="00972868">
        <w:rPr>
          <w:i/>
          <w:sz w:val="22"/>
          <w:szCs w:val="22"/>
          <w:u w:val="single"/>
        </w:rPr>
        <w:t>á populácia</w:t>
      </w:r>
    </w:p>
    <w:p w14:paraId="1303F3C0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</w:rPr>
      </w:pPr>
      <w:r w:rsidRPr="00972868">
        <w:rPr>
          <w:i/>
          <w:sz w:val="22"/>
          <w:szCs w:val="22"/>
        </w:rPr>
        <w:t>(vek 6 až 17 rokov)</w:t>
      </w:r>
    </w:p>
    <w:p w14:paraId="19AAD728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 </w:t>
      </w:r>
      <w:r w:rsidR="00C937D8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zahŕňajúc</w:t>
      </w:r>
      <w:r w:rsidR="00C937D8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pediatrických pacientov (vo veku 6 až 10 rokov) s heterozygotnou familiárnou alebo non-familiárnou hypercholesterolémiou (n = 138) sa zvýšenia ALT a/alebo AST (≥</w:t>
      </w:r>
      <w:r w:rsidR="003F3474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3</w:t>
      </w:r>
      <w:r w:rsidR="00C27AC2" w:rsidRPr="00972868">
        <w:rPr>
          <w:sz w:val="22"/>
          <w:szCs w:val="22"/>
        </w:rPr>
        <w:t>-násobok</w:t>
      </w:r>
      <w:r w:rsidRPr="00972868">
        <w:rPr>
          <w:sz w:val="22"/>
          <w:szCs w:val="22"/>
        </w:rPr>
        <w:t xml:space="preserve"> HHN, </w:t>
      </w:r>
      <w:r w:rsidR="00762E87">
        <w:rPr>
          <w:sz w:val="22"/>
          <w:szCs w:val="22"/>
        </w:rPr>
        <w:t>po sebe</w:t>
      </w:r>
      <w:r w:rsidRPr="00972868">
        <w:rPr>
          <w:sz w:val="22"/>
          <w:szCs w:val="22"/>
        </w:rPr>
        <w:t>) pozorovali u 1,1 % pacientov (1 pacient) liečených ezetimibom v porovnaní s 0 % v skupine s placebom. Zvýšenie CK (≥</w:t>
      </w:r>
      <w:r w:rsidR="003F3474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10</w:t>
      </w:r>
      <w:r w:rsidR="00C27AC2" w:rsidRPr="00972868">
        <w:rPr>
          <w:sz w:val="22"/>
          <w:szCs w:val="22"/>
        </w:rPr>
        <w:t>-násobok</w:t>
      </w:r>
      <w:r w:rsidRPr="00972868">
        <w:rPr>
          <w:sz w:val="22"/>
          <w:szCs w:val="22"/>
        </w:rPr>
        <w:t xml:space="preserve"> HHN) sa neobjavilo. Nehlásili sa žiadne prípady myopatie.</w:t>
      </w:r>
    </w:p>
    <w:p w14:paraId="4A0CDB2B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6A40DEF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 separátn</w:t>
      </w:r>
      <w:r w:rsidR="00C937D8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</w:t>
      </w:r>
      <w:r w:rsidR="00C937D8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zahŕňajúc</w:t>
      </w:r>
      <w:r w:rsidR="00C937D8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dospievajúcich pacientov (vo veku 10 až 17 rokov) s heterozygotnou familiárnou hypercholesterolémiou (n</w:t>
      </w:r>
      <w:r w:rsidR="00DB0AD0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=</w:t>
      </w:r>
      <w:r w:rsidR="00DB0AD0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248) sa zvýšenia ALT a/alebo AST (≥</w:t>
      </w:r>
      <w:r w:rsidR="003F3474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3</w:t>
      </w:r>
      <w:r w:rsidR="00C27AC2" w:rsidRPr="00972868">
        <w:rPr>
          <w:sz w:val="22"/>
          <w:szCs w:val="22"/>
        </w:rPr>
        <w:t>-násobok</w:t>
      </w:r>
      <w:r w:rsidRPr="00972868">
        <w:rPr>
          <w:sz w:val="22"/>
          <w:szCs w:val="22"/>
        </w:rPr>
        <w:t xml:space="preserve"> HHN, </w:t>
      </w:r>
      <w:r w:rsidR="00762E87">
        <w:rPr>
          <w:sz w:val="22"/>
          <w:szCs w:val="22"/>
        </w:rPr>
        <w:t>po sebe</w:t>
      </w:r>
      <w:r w:rsidRPr="00972868">
        <w:rPr>
          <w:sz w:val="22"/>
          <w:szCs w:val="22"/>
        </w:rPr>
        <w:t>) pozorovali u 3 % pacientov (4 pacienti) v skupine s ezetimibom/simvastatínom v porovnaní s 2 % (2 pacienti) v skupine so simvastatínom v monoterapii; pre zvýšenie CK (≥</w:t>
      </w:r>
      <w:r w:rsidR="003F3474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10</w:t>
      </w:r>
      <w:r w:rsidR="00C27AC2" w:rsidRPr="00972868">
        <w:rPr>
          <w:sz w:val="22"/>
          <w:szCs w:val="22"/>
        </w:rPr>
        <w:t>-</w:t>
      </w:r>
      <w:r w:rsidRPr="00972868">
        <w:rPr>
          <w:sz w:val="22"/>
          <w:szCs w:val="22"/>
        </w:rPr>
        <w:t>násobok HHN) boli hodnoty v skupine s ezetimibom/simvastatínom</w:t>
      </w:r>
      <w:r w:rsidRPr="00972868" w:rsidDel="009070DB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2 % (2 pacienti) a v skupine so simvastatínom v monoterapii 0 %. Nehlásili sa žiadne prípady myopatie.</w:t>
      </w:r>
    </w:p>
    <w:p w14:paraId="55B62AC7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489402F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Tieto skúšania neboli vhodné na porovnanie zriedkavých nežiaducich liekových reakcií.</w:t>
      </w:r>
    </w:p>
    <w:p w14:paraId="71427C11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1E9E9D2D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  <w:u w:val="single"/>
        </w:rPr>
      </w:pPr>
      <w:r w:rsidRPr="00972868">
        <w:rPr>
          <w:i/>
          <w:sz w:val="22"/>
          <w:szCs w:val="22"/>
          <w:u w:val="single"/>
        </w:rPr>
        <w:t>Pacienti s chronickým ochorením obličiek</w:t>
      </w:r>
    </w:p>
    <w:p w14:paraId="46008AB5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 </w:t>
      </w:r>
      <w:r w:rsidR="00C937D8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</w:t>
      </w:r>
      <w:r w:rsidRPr="00972868">
        <w:rPr>
          <w:i/>
          <w:sz w:val="22"/>
          <w:szCs w:val="22"/>
        </w:rPr>
        <w:t>Study of Heart and Renal Protection (</w:t>
      </w:r>
      <w:r w:rsidRPr="00972868">
        <w:rPr>
          <w:sz w:val="22"/>
          <w:szCs w:val="22"/>
        </w:rPr>
        <w:t>SHARP) (pozri časť 5.1) zahŕňajúc</w:t>
      </w:r>
      <w:r w:rsidR="00C937D8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viac ako 9 000 pacientov liečených kombináciou fixných dávok </w:t>
      </w:r>
      <w:r w:rsidR="00DB0AD0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 10 mg s 20 mg simvastatínu denne (n = 4 650) alebo placebom (n = 4 620), boli bezpečnostné profily počas mediánu sledovaného obdobia 4,9 rokov porovnateľné. V tomto skúšaní sa zaznamenávali len závažné nežiaduce udalosti a prerušenia liečby z dôvodu akýchkoľvek nežiaducich udalostí. Miery prerušenia liečby z dôvodu nežiaducich udalostí boli porovnateľné (10,4 % u pacientov liečených </w:t>
      </w:r>
      <w:r w:rsidR="005A3236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 v kombinácii so simvastatínom, 9,8 % u pacientov liečených placebom). Výskyt myopatie/rabdomyolýzy bol 0,2 % u pacientov liečených </w:t>
      </w:r>
      <w:r w:rsidR="005A3236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 v kombinácii so simvastatínom a 0,1 % u pacientov liečených placebom. </w:t>
      </w:r>
      <w:r w:rsidR="00762E87">
        <w:rPr>
          <w:sz w:val="22"/>
          <w:szCs w:val="22"/>
        </w:rPr>
        <w:t>Následné</w:t>
      </w:r>
      <w:r w:rsidRPr="00972868">
        <w:rPr>
          <w:sz w:val="22"/>
          <w:szCs w:val="22"/>
        </w:rPr>
        <w:t xml:space="preserve"> zvýšenia transamináz (&gt; 3</w:t>
      </w:r>
      <w:r w:rsidR="00C27AC2" w:rsidRPr="00972868">
        <w:rPr>
          <w:sz w:val="22"/>
          <w:szCs w:val="22"/>
        </w:rPr>
        <w:t>-násobok</w:t>
      </w:r>
      <w:r w:rsidRPr="00972868">
        <w:rPr>
          <w:sz w:val="22"/>
          <w:szCs w:val="22"/>
        </w:rPr>
        <w:t xml:space="preserve"> HHN) sa objavili u 0,7 % pacientov liečených </w:t>
      </w:r>
      <w:r w:rsidR="005A3236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 v kombinácii so simvastatínom v porovnaní s 0,6 % pacientov liečených placebom. V tomto skúšaní sa neobjavili žiadne štatisticky významné zvýšenia výskytu vopred špecifikovaných nežiaducich udalost</w:t>
      </w:r>
      <w:r w:rsidR="00227A81">
        <w:rPr>
          <w:sz w:val="22"/>
          <w:szCs w:val="22"/>
        </w:rPr>
        <w:t>í</w:t>
      </w:r>
      <w:r w:rsidR="001A6C12">
        <w:rPr>
          <w:sz w:val="22"/>
          <w:szCs w:val="22"/>
        </w:rPr>
        <w:t>,</w:t>
      </w:r>
      <w:r w:rsidRPr="00972868">
        <w:rPr>
          <w:sz w:val="22"/>
          <w:szCs w:val="22"/>
        </w:rPr>
        <w:t xml:space="preserve"> vrátane rakoviny (9,4 % pri </w:t>
      </w:r>
      <w:r w:rsidR="00DB0AD0" w:rsidRPr="00972868">
        <w:rPr>
          <w:sz w:val="22"/>
          <w:szCs w:val="22"/>
        </w:rPr>
        <w:t>ezetimibe</w:t>
      </w:r>
      <w:r w:rsidRPr="00972868">
        <w:rPr>
          <w:sz w:val="22"/>
          <w:szCs w:val="22"/>
        </w:rPr>
        <w:t xml:space="preserve"> v kombinácii so simvastatínom, 9,5 % pri placebe), hepatitídy, cholecystektómie alebo komplikácií žlčových kameňov alebo pankreatitídy.</w:t>
      </w:r>
    </w:p>
    <w:p w14:paraId="1DD626E9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3B9F745D" w14:textId="77777777" w:rsidR="00220454" w:rsidRPr="00972868" w:rsidRDefault="00220454" w:rsidP="00220454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  <w:u w:val="single"/>
        </w:rPr>
      </w:pPr>
      <w:r w:rsidRPr="00972868">
        <w:rPr>
          <w:rFonts w:ascii="Times New Roman" w:hAnsi="Times New Roman"/>
          <w:b w:val="0"/>
          <w:sz w:val="22"/>
          <w:szCs w:val="22"/>
          <w:u w:val="single"/>
        </w:rPr>
        <w:t>Laboratórne hodnoty</w:t>
      </w:r>
    </w:p>
    <w:p w14:paraId="6F3FE4B5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 kontrolovaných klinických skúšaniach monoterapie bola incidencia klinicky významného zvýšenia sérových transamináz (ALT a/alebo AST ≥</w:t>
      </w:r>
      <w:r w:rsidR="003F3474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3</w:t>
      </w:r>
      <w:r w:rsidR="003F3474" w:rsidRPr="00972868">
        <w:rPr>
          <w:sz w:val="22"/>
          <w:szCs w:val="22"/>
        </w:rPr>
        <w:t>-násobok</w:t>
      </w:r>
      <w:r w:rsidRPr="00972868">
        <w:rPr>
          <w:sz w:val="22"/>
          <w:szCs w:val="22"/>
        </w:rPr>
        <w:t xml:space="preserve"> HHN, </w:t>
      </w:r>
      <w:r w:rsidR="00762E87">
        <w:rPr>
          <w:sz w:val="22"/>
          <w:szCs w:val="22"/>
        </w:rPr>
        <w:t>po sebe</w:t>
      </w:r>
      <w:r w:rsidRPr="00972868">
        <w:rPr>
          <w:sz w:val="22"/>
          <w:szCs w:val="22"/>
        </w:rPr>
        <w:t xml:space="preserve">) podobná pri </w:t>
      </w:r>
      <w:r w:rsidR="00DB0AD0" w:rsidRPr="00972868">
        <w:rPr>
          <w:sz w:val="22"/>
          <w:szCs w:val="22"/>
        </w:rPr>
        <w:t>ezetimibe</w:t>
      </w:r>
      <w:r w:rsidRPr="00972868">
        <w:rPr>
          <w:sz w:val="22"/>
          <w:szCs w:val="22"/>
        </w:rPr>
        <w:t xml:space="preserve"> (0,5 %) a placebe (0,3 %). V skúšaniach súbežného podávania bola incidencia 1,3 % u pacientov liečených </w:t>
      </w:r>
      <w:r w:rsidR="005A3236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 v kombinácii so statínom a 0,4 % u pacientov liečených samotným statínom. Tieto </w:t>
      </w:r>
      <w:r w:rsidRPr="00972868">
        <w:rPr>
          <w:sz w:val="22"/>
          <w:szCs w:val="22"/>
        </w:rPr>
        <w:lastRenderedPageBreak/>
        <w:t>zvýšenia boli vo všeobecnosti asymptomatické, neboli spojené s cholestázou a </w:t>
      </w:r>
      <w:r w:rsidRPr="009A5BC5">
        <w:rPr>
          <w:sz w:val="22"/>
          <w:szCs w:val="22"/>
        </w:rPr>
        <w:t xml:space="preserve">vrátili sa na </w:t>
      </w:r>
      <w:r w:rsidR="0069082A" w:rsidRPr="009A5BC5">
        <w:rPr>
          <w:sz w:val="22"/>
          <w:szCs w:val="22"/>
        </w:rPr>
        <w:t>východiskovú</w:t>
      </w:r>
      <w:r w:rsidRPr="009A5BC5">
        <w:rPr>
          <w:sz w:val="22"/>
          <w:szCs w:val="22"/>
        </w:rPr>
        <w:t xml:space="preserve"> hodnotu po prerušení liečby alebo pri jej pokračovaní (pozri časť 4.4).</w:t>
      </w:r>
    </w:p>
    <w:p w14:paraId="0135D431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091A0697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 klinických skúšaniach bola CK &gt;</w:t>
      </w:r>
      <w:r w:rsidR="003F3474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10</w:t>
      </w:r>
      <w:r w:rsidR="003F3474" w:rsidRPr="00972868">
        <w:rPr>
          <w:sz w:val="22"/>
          <w:szCs w:val="22"/>
        </w:rPr>
        <w:t>-násobok</w:t>
      </w:r>
      <w:r w:rsidRPr="00972868">
        <w:rPr>
          <w:sz w:val="22"/>
          <w:szCs w:val="22"/>
        </w:rPr>
        <w:t xml:space="preserve"> HHN hlásená u 4 z 1 674 (0,2 %) pacientov, ktorí dostávali </w:t>
      </w:r>
      <w:r w:rsidR="00DB0AD0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samotný oproti 1 zo 786 (0,1 %) pacientov, ktorí dostávali placebo, a u 1 z 917 (0,1 %) pacientov, ktorí dostávali súbežne </w:t>
      </w:r>
      <w:r w:rsidR="00DB0AD0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a statín oproti 4 z 929 (0,4 %) pacientov, ktorí dostávali samotný statín. V porovnaní s príslušnou kontrolnou vetvou (placebo alebo samotný statín) sa v súvislosti s </w:t>
      </w:r>
      <w:r w:rsidR="005A3236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 nevyskytla nadmerná myopatia alebo rabdomyolýza (pozri časť 4.4).</w:t>
      </w:r>
    </w:p>
    <w:p w14:paraId="467B7778" w14:textId="77777777" w:rsidR="00220454" w:rsidRPr="00972868" w:rsidRDefault="00220454" w:rsidP="00220454">
      <w:pPr>
        <w:adjustRightInd w:val="0"/>
        <w:snapToGrid w:val="0"/>
        <w:spacing w:after="0"/>
        <w:rPr>
          <w:b/>
          <w:i/>
          <w:sz w:val="22"/>
          <w:szCs w:val="22"/>
        </w:rPr>
      </w:pPr>
    </w:p>
    <w:p w14:paraId="09A306CF" w14:textId="77777777" w:rsidR="00220454" w:rsidRPr="00972868" w:rsidRDefault="00220454" w:rsidP="00220454">
      <w:pPr>
        <w:suppressLineNumbers/>
        <w:autoSpaceDE w:val="0"/>
        <w:autoSpaceDN w:val="0"/>
        <w:adjustRightInd w:val="0"/>
        <w:spacing w:after="0"/>
        <w:ind w:left="567" w:hanging="567"/>
        <w:rPr>
          <w:sz w:val="22"/>
          <w:szCs w:val="22"/>
          <w:u w:val="single"/>
        </w:rPr>
      </w:pPr>
      <w:r w:rsidRPr="00972868">
        <w:rPr>
          <w:sz w:val="22"/>
          <w:szCs w:val="22"/>
          <w:u w:val="single"/>
        </w:rPr>
        <w:t>Hlásenie podozrení na nežiaduce reakcie</w:t>
      </w:r>
    </w:p>
    <w:p w14:paraId="4E48E4A7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Hlásenie podozrení na nežiaduce reakcie po registrácii lieku je dôležité. Umožňuje priebežné monitorovanie pomeru prínosu a rizika lieku. Od zdravotníckych pracovníkov sa vyžaduje, aby hlásili akékoľvek podozrenia na nežiaduce reakcie prostredníctvom </w:t>
      </w:r>
      <w:r w:rsidRPr="00972868">
        <w:rPr>
          <w:sz w:val="22"/>
          <w:szCs w:val="22"/>
          <w:shd w:val="clear" w:color="auto" w:fill="BFBFBF"/>
        </w:rPr>
        <w:t xml:space="preserve">národného systému hlásenia uvedeného </w:t>
      </w:r>
      <w:r w:rsidR="00AA3193" w:rsidRPr="00322CCF">
        <w:rPr>
          <w:noProof/>
          <w:sz w:val="22"/>
          <w:szCs w:val="22"/>
          <w:highlight w:val="lightGray"/>
        </w:rPr>
        <w:t>v </w:t>
      </w:r>
      <w:hyperlink r:id="rId8" w:history="1">
        <w:r w:rsidR="00AA3193" w:rsidRPr="00322CCF">
          <w:rPr>
            <w:rStyle w:val="Hypertextovprepojenie"/>
            <w:noProof/>
            <w:sz w:val="22"/>
            <w:szCs w:val="22"/>
            <w:highlight w:val="lightGray"/>
          </w:rPr>
          <w:t>Prílohe V</w:t>
        </w:r>
      </w:hyperlink>
      <w:r w:rsidRPr="00972868">
        <w:rPr>
          <w:sz w:val="22"/>
          <w:szCs w:val="22"/>
          <w:highlight w:val="lightGray"/>
        </w:rPr>
        <w:t>.</w:t>
      </w:r>
    </w:p>
    <w:p w14:paraId="5D78B003" w14:textId="77777777" w:rsidR="00220454" w:rsidRPr="00972868" w:rsidRDefault="00220454" w:rsidP="00220454">
      <w:pPr>
        <w:adjustRightInd w:val="0"/>
        <w:snapToGrid w:val="0"/>
        <w:spacing w:after="0"/>
        <w:rPr>
          <w:b/>
          <w:sz w:val="22"/>
          <w:szCs w:val="22"/>
        </w:rPr>
      </w:pPr>
    </w:p>
    <w:p w14:paraId="7A0538A8" w14:textId="77777777" w:rsidR="00220454" w:rsidRPr="00972868" w:rsidRDefault="00220454" w:rsidP="00220454">
      <w:pPr>
        <w:pStyle w:val="Predmetkomentra"/>
        <w:keepNext/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4.9</w:t>
      </w:r>
      <w:r w:rsidRPr="00972868">
        <w:rPr>
          <w:sz w:val="22"/>
          <w:szCs w:val="22"/>
        </w:rPr>
        <w:tab/>
        <w:t>Predávkovanie</w:t>
      </w:r>
    </w:p>
    <w:p w14:paraId="355B6F81" w14:textId="77777777" w:rsidR="00220454" w:rsidRPr="00972868" w:rsidRDefault="00220454" w:rsidP="001058E7">
      <w:pPr>
        <w:adjustRightInd w:val="0"/>
        <w:snapToGrid w:val="0"/>
        <w:spacing w:after="0"/>
        <w:rPr>
          <w:sz w:val="22"/>
          <w:szCs w:val="22"/>
        </w:rPr>
      </w:pPr>
    </w:p>
    <w:p w14:paraId="0FD1860D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A5BC5">
        <w:rPr>
          <w:sz w:val="22"/>
          <w:szCs w:val="22"/>
        </w:rPr>
        <w:t xml:space="preserve">V klinických </w:t>
      </w:r>
      <w:r w:rsidR="00FA20EB" w:rsidRPr="009A5BC5">
        <w:rPr>
          <w:sz w:val="22"/>
          <w:szCs w:val="22"/>
        </w:rPr>
        <w:t>skúšaniach</w:t>
      </w:r>
      <w:r w:rsidRPr="009A5BC5">
        <w:rPr>
          <w:sz w:val="22"/>
          <w:szCs w:val="22"/>
        </w:rPr>
        <w:t xml:space="preserve"> bolo</w:t>
      </w:r>
      <w:bookmarkStart w:id="5" w:name="_GoBack"/>
      <w:bookmarkEnd w:id="5"/>
      <w:r w:rsidRPr="009A5BC5">
        <w:rPr>
          <w:sz w:val="22"/>
          <w:szCs w:val="22"/>
        </w:rPr>
        <w:t xml:space="preserve"> podávanie ezetimibu 50 mg/deň 15 zdravým </w:t>
      </w:r>
      <w:r w:rsidR="007E52BE" w:rsidRPr="009A5BC5">
        <w:rPr>
          <w:sz w:val="22"/>
          <w:szCs w:val="22"/>
        </w:rPr>
        <w:t xml:space="preserve">osobám </w:t>
      </w:r>
      <w:r w:rsidRPr="009A5BC5">
        <w:rPr>
          <w:sz w:val="22"/>
          <w:szCs w:val="22"/>
        </w:rPr>
        <w:t>až po dobu 14 dní alebo 40 mg/deň 18 pacientom s</w:t>
      </w:r>
      <w:r w:rsidRPr="00972868">
        <w:rPr>
          <w:sz w:val="22"/>
          <w:szCs w:val="22"/>
        </w:rPr>
        <w:t> primárnou hypercholesterolémiou až po dobu 56 dní vo všeobecnosti dobre tolerované. U zvierat sa nepozorovala žiadna toxicita po jednorazových perorálnych dávkach 5 000 mg/kg ezetimibu u potkanov a myší a 3 000 mg/kg u psov.</w:t>
      </w:r>
    </w:p>
    <w:p w14:paraId="7410608F" w14:textId="77777777" w:rsidR="00220454" w:rsidRPr="00972868" w:rsidRDefault="00220454" w:rsidP="00220454">
      <w:pPr>
        <w:pStyle w:val="Zkladntext"/>
        <w:adjustRightInd w:val="0"/>
        <w:snapToGrid w:val="0"/>
        <w:spacing w:after="0"/>
        <w:rPr>
          <w:rFonts w:ascii="Times New Roman" w:hAnsi="Times New Roman"/>
          <w:sz w:val="22"/>
          <w:szCs w:val="22"/>
        </w:rPr>
      </w:pPr>
    </w:p>
    <w:p w14:paraId="335544DD" w14:textId="77777777" w:rsidR="00220454" w:rsidRPr="00972868" w:rsidRDefault="00220454" w:rsidP="00220454">
      <w:pPr>
        <w:pStyle w:val="Zkladntext"/>
        <w:adjustRightInd w:val="0"/>
        <w:snapToGrid w:val="0"/>
        <w:spacing w:after="0"/>
        <w:rPr>
          <w:rFonts w:ascii="Times New Roman" w:hAnsi="Times New Roman"/>
          <w:sz w:val="22"/>
          <w:szCs w:val="22"/>
        </w:rPr>
      </w:pPr>
      <w:r w:rsidRPr="00972868">
        <w:rPr>
          <w:rFonts w:ascii="Times New Roman" w:hAnsi="Times New Roman"/>
          <w:sz w:val="22"/>
          <w:szCs w:val="22"/>
        </w:rPr>
        <w:t xml:space="preserve">Bolo hlásených niekoľko prípadov predávkovania </w:t>
      </w:r>
      <w:r w:rsidR="00DB0AD0" w:rsidRPr="00972868">
        <w:rPr>
          <w:rFonts w:ascii="Times New Roman" w:hAnsi="Times New Roman"/>
          <w:sz w:val="22"/>
          <w:szCs w:val="22"/>
        </w:rPr>
        <w:t>ezetimibom</w:t>
      </w:r>
      <w:r w:rsidRPr="00972868">
        <w:rPr>
          <w:rFonts w:ascii="Times New Roman" w:hAnsi="Times New Roman"/>
          <w:sz w:val="22"/>
          <w:szCs w:val="22"/>
        </w:rPr>
        <w:t xml:space="preserve">; väčšina nebola spojená s nežiaducimi účinkami. Hlásené nežiaduce účinky neboli závažné. V prípade predávkovania </w:t>
      </w:r>
      <w:r w:rsidR="007E52BE">
        <w:rPr>
          <w:rFonts w:ascii="Times New Roman" w:hAnsi="Times New Roman"/>
          <w:sz w:val="22"/>
          <w:szCs w:val="22"/>
        </w:rPr>
        <w:t>je potrebné</w:t>
      </w:r>
      <w:r w:rsidR="007E52BE" w:rsidRPr="00972868">
        <w:rPr>
          <w:rFonts w:ascii="Times New Roman" w:hAnsi="Times New Roman"/>
          <w:sz w:val="22"/>
          <w:szCs w:val="22"/>
        </w:rPr>
        <w:t xml:space="preserve"> </w:t>
      </w:r>
      <w:r w:rsidRPr="00972868">
        <w:rPr>
          <w:rFonts w:ascii="Times New Roman" w:hAnsi="Times New Roman"/>
          <w:sz w:val="22"/>
          <w:szCs w:val="22"/>
        </w:rPr>
        <w:t>použiť symptomatické a podporné opatrenia.</w:t>
      </w:r>
    </w:p>
    <w:p w14:paraId="693F8FF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468249EC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0F5ACB1D" w14:textId="77777777" w:rsidR="00220454" w:rsidRPr="00972868" w:rsidRDefault="00220454" w:rsidP="00220454">
      <w:pPr>
        <w:pStyle w:val="Predmetkomentra"/>
        <w:keepNext/>
        <w:keepLines/>
        <w:adjustRightInd w:val="0"/>
        <w:snapToGrid w:val="0"/>
        <w:spacing w:after="0"/>
        <w:rPr>
          <w:caps/>
          <w:sz w:val="22"/>
          <w:szCs w:val="22"/>
        </w:rPr>
      </w:pPr>
      <w:r w:rsidRPr="00972868">
        <w:rPr>
          <w:caps/>
          <w:sz w:val="22"/>
          <w:szCs w:val="22"/>
        </w:rPr>
        <w:t>5.</w:t>
      </w:r>
      <w:r w:rsidRPr="00972868">
        <w:rPr>
          <w:caps/>
          <w:sz w:val="22"/>
          <w:szCs w:val="22"/>
        </w:rPr>
        <w:tab/>
        <w:t>Farmakologické vlastnosti</w:t>
      </w:r>
    </w:p>
    <w:p w14:paraId="292ECBFD" w14:textId="77777777" w:rsidR="00220454" w:rsidRPr="00972868" w:rsidRDefault="00220454" w:rsidP="001058E7">
      <w:pPr>
        <w:adjustRightInd w:val="0"/>
        <w:snapToGrid w:val="0"/>
        <w:spacing w:after="0"/>
        <w:rPr>
          <w:sz w:val="22"/>
          <w:szCs w:val="22"/>
        </w:rPr>
      </w:pPr>
    </w:p>
    <w:p w14:paraId="03546216" w14:textId="77777777" w:rsidR="00220454" w:rsidRPr="00972868" w:rsidRDefault="00220454" w:rsidP="00220454">
      <w:pPr>
        <w:keepNext/>
        <w:keepLines/>
        <w:adjustRightInd w:val="0"/>
        <w:snapToGrid w:val="0"/>
        <w:spacing w:after="0"/>
        <w:rPr>
          <w:b/>
          <w:sz w:val="22"/>
          <w:szCs w:val="22"/>
        </w:rPr>
      </w:pPr>
      <w:r w:rsidRPr="00972868">
        <w:rPr>
          <w:b/>
          <w:sz w:val="22"/>
          <w:szCs w:val="22"/>
        </w:rPr>
        <w:t>5.1</w:t>
      </w:r>
      <w:r w:rsidRPr="00972868">
        <w:rPr>
          <w:b/>
          <w:sz w:val="22"/>
          <w:szCs w:val="22"/>
        </w:rPr>
        <w:tab/>
        <w:t>Farmakodynamické vlastnosti</w:t>
      </w:r>
    </w:p>
    <w:p w14:paraId="574389CF" w14:textId="77777777" w:rsidR="00220454" w:rsidRPr="00972868" w:rsidRDefault="00220454" w:rsidP="001058E7">
      <w:pPr>
        <w:adjustRightInd w:val="0"/>
        <w:snapToGrid w:val="0"/>
        <w:spacing w:after="0"/>
        <w:rPr>
          <w:sz w:val="22"/>
          <w:szCs w:val="22"/>
        </w:rPr>
      </w:pPr>
    </w:p>
    <w:p w14:paraId="550A9D4C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Farmakoterapeutická skupina: hypolipidemiká, </w:t>
      </w:r>
      <w:r w:rsidR="00567C3C">
        <w:rPr>
          <w:sz w:val="22"/>
          <w:szCs w:val="22"/>
        </w:rPr>
        <w:t xml:space="preserve">liečivá znižujúce cholesterol a triacylglyceroly, samotné, </w:t>
      </w:r>
      <w:r w:rsidR="00567C3C" w:rsidRPr="0069082A">
        <w:rPr>
          <w:sz w:val="22"/>
          <w:szCs w:val="22"/>
        </w:rPr>
        <w:t>iné látky upravujúce lipidy</w:t>
      </w:r>
      <w:r w:rsidRPr="00972868">
        <w:rPr>
          <w:sz w:val="22"/>
          <w:szCs w:val="22"/>
        </w:rPr>
        <w:t>, ATC kód: C10AX09</w:t>
      </w:r>
    </w:p>
    <w:p w14:paraId="134147F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4A71F8DD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sz w:val="22"/>
          <w:szCs w:val="22"/>
          <w:u w:val="single"/>
        </w:rPr>
      </w:pPr>
      <w:r w:rsidRPr="00972868">
        <w:rPr>
          <w:sz w:val="22"/>
          <w:szCs w:val="22"/>
          <w:u w:val="single"/>
        </w:rPr>
        <w:t>Mechanizmus účinku</w:t>
      </w:r>
    </w:p>
    <w:p w14:paraId="116509FC" w14:textId="77777777" w:rsidR="00220454" w:rsidRPr="00972868" w:rsidRDefault="00DB0AD0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Ezetimib</w:t>
      </w:r>
      <w:r w:rsidR="00220454" w:rsidRPr="00972868">
        <w:rPr>
          <w:sz w:val="22"/>
          <w:szCs w:val="22"/>
        </w:rPr>
        <w:t xml:space="preserve"> </w:t>
      </w:r>
      <w:r w:rsidR="00435E0D">
        <w:rPr>
          <w:sz w:val="22"/>
          <w:szCs w:val="22"/>
        </w:rPr>
        <w:t>patrí do</w:t>
      </w:r>
      <w:r w:rsidR="00435E0D" w:rsidRPr="00972868">
        <w:rPr>
          <w:sz w:val="22"/>
          <w:szCs w:val="22"/>
        </w:rPr>
        <w:t xml:space="preserve"> </w:t>
      </w:r>
      <w:r w:rsidR="00220454" w:rsidRPr="00972868">
        <w:rPr>
          <w:sz w:val="22"/>
          <w:szCs w:val="22"/>
        </w:rPr>
        <w:t>nov</w:t>
      </w:r>
      <w:r w:rsidR="00435E0D">
        <w:rPr>
          <w:sz w:val="22"/>
          <w:szCs w:val="22"/>
        </w:rPr>
        <w:t>ej</w:t>
      </w:r>
      <w:r w:rsidR="00220454" w:rsidRPr="00972868">
        <w:rPr>
          <w:sz w:val="22"/>
          <w:szCs w:val="22"/>
        </w:rPr>
        <w:t xml:space="preserve"> tried</w:t>
      </w:r>
      <w:r w:rsidR="00435E0D">
        <w:rPr>
          <w:sz w:val="22"/>
          <w:szCs w:val="22"/>
        </w:rPr>
        <w:t>y</w:t>
      </w:r>
      <w:r w:rsidR="00220454" w:rsidRPr="00972868">
        <w:rPr>
          <w:sz w:val="22"/>
          <w:szCs w:val="22"/>
        </w:rPr>
        <w:t xml:space="preserve"> látok znižujúcich lipidy, ktoré selektívne inhibujú črevnú absorpciu cholesterolu a príbuzných rastlinných sterolov. </w:t>
      </w:r>
      <w:r w:rsidRPr="00972868">
        <w:rPr>
          <w:sz w:val="22"/>
          <w:szCs w:val="22"/>
        </w:rPr>
        <w:t>Ezetimib</w:t>
      </w:r>
      <w:r w:rsidR="00220454" w:rsidRPr="00972868">
        <w:rPr>
          <w:sz w:val="22"/>
          <w:szCs w:val="22"/>
        </w:rPr>
        <w:t xml:space="preserve"> je perorálne aktívny a má mechanizmus účinku, ktorý sa líši od iných skupín látok znižujúcich cholesterol (napr. statíny, sekvestranty žlčových kyselín </w:t>
      </w:r>
      <w:r w:rsidR="00220454" w:rsidRPr="00972868">
        <w:rPr>
          <w:sz w:val="22"/>
          <w:szCs w:val="22"/>
        </w:rPr>
        <w:sym w:font="Symbol" w:char="F05B"/>
      </w:r>
      <w:r w:rsidR="00220454" w:rsidRPr="00972868">
        <w:rPr>
          <w:sz w:val="22"/>
          <w:szCs w:val="22"/>
        </w:rPr>
        <w:t>živice</w:t>
      </w:r>
      <w:r w:rsidR="00220454" w:rsidRPr="00972868">
        <w:rPr>
          <w:sz w:val="22"/>
          <w:szCs w:val="22"/>
        </w:rPr>
        <w:sym w:font="Symbol" w:char="F05D"/>
      </w:r>
      <w:r w:rsidR="00220454" w:rsidRPr="00972868">
        <w:rPr>
          <w:sz w:val="22"/>
          <w:szCs w:val="22"/>
        </w:rPr>
        <w:t xml:space="preserve">, deriváty kyseliny fibrovej a rastlinné stanoly). </w:t>
      </w:r>
      <w:r w:rsidR="00435E0D" w:rsidRPr="00972868">
        <w:rPr>
          <w:sz w:val="22"/>
          <w:szCs w:val="22"/>
        </w:rPr>
        <w:t>Molekul</w:t>
      </w:r>
      <w:r w:rsidR="00435E0D">
        <w:rPr>
          <w:sz w:val="22"/>
          <w:szCs w:val="22"/>
        </w:rPr>
        <w:t>árnym</w:t>
      </w:r>
      <w:r w:rsidR="00435E0D" w:rsidRPr="00972868">
        <w:rPr>
          <w:sz w:val="22"/>
          <w:szCs w:val="22"/>
        </w:rPr>
        <w:t xml:space="preserve"> </w:t>
      </w:r>
      <w:r w:rsidR="00220454" w:rsidRPr="00972868">
        <w:rPr>
          <w:sz w:val="22"/>
          <w:szCs w:val="22"/>
        </w:rPr>
        <w:t>cieľom ezetimibu je sterolový transportér Niemann-Pick C1-Like 1 (NPC1L1), ktorý je zodpovedný za intestinálne vychytávanie cholesterolu a fytosterolov.</w:t>
      </w:r>
    </w:p>
    <w:p w14:paraId="6C3CB7E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067EAF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Ezetimib sa lokalizuje na kefkovitý lem tenkého čreva a inhibuje absorpciu cholesterolu, čo vedie k zníženiu </w:t>
      </w:r>
      <w:r w:rsidR="00435E0D">
        <w:rPr>
          <w:sz w:val="22"/>
          <w:szCs w:val="22"/>
        </w:rPr>
        <w:t>dodania</w:t>
      </w:r>
      <w:r w:rsidR="00435E0D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črevného cholesterolu do pečene; statíny znižujú syntézu cholesterolu v pečeni, a </w:t>
      </w:r>
      <w:r w:rsidR="00435E0D">
        <w:rPr>
          <w:sz w:val="22"/>
          <w:szCs w:val="22"/>
        </w:rPr>
        <w:t>tieto odlišné mechanizmy účinku spolu poskytujú</w:t>
      </w:r>
      <w:r w:rsidRPr="00972868">
        <w:rPr>
          <w:sz w:val="22"/>
          <w:szCs w:val="22"/>
        </w:rPr>
        <w:t xml:space="preserve"> komplementárnu redukciu cholesterolu. V dvojtýždňovom klinickom skúšaní u 18 pacientov s hypercholesterolémiou </w:t>
      </w:r>
      <w:r w:rsidR="00DB0AD0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inhiboval črevnú absorpciu cholesterolu o 54 % v porovnaní s placebom.</w:t>
      </w:r>
    </w:p>
    <w:p w14:paraId="5DADDBAC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1D13C82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  <w:u w:val="single"/>
        </w:rPr>
        <w:t>Farmakodynamické účinky</w:t>
      </w:r>
    </w:p>
    <w:p w14:paraId="030B3E11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Na určenie selektivity ezetimibu na inhibíciu absorpcie cholesterolu sa vykonala séria predklinických </w:t>
      </w:r>
      <w:r w:rsidR="00435E0D">
        <w:rPr>
          <w:sz w:val="22"/>
          <w:szCs w:val="22"/>
        </w:rPr>
        <w:t>štúdií</w:t>
      </w:r>
      <w:r w:rsidRPr="00972868">
        <w:rPr>
          <w:sz w:val="22"/>
          <w:szCs w:val="22"/>
        </w:rPr>
        <w:t>. Ezetimib inhiboval absorpciu [</w:t>
      </w:r>
      <w:r w:rsidRPr="00972868">
        <w:rPr>
          <w:sz w:val="22"/>
          <w:szCs w:val="22"/>
          <w:vertAlign w:val="superscript"/>
        </w:rPr>
        <w:t>14</w:t>
      </w:r>
      <w:r w:rsidRPr="00972868">
        <w:rPr>
          <w:sz w:val="22"/>
          <w:szCs w:val="22"/>
        </w:rPr>
        <w:t>C]-cholesterolu bez účinku na absorpciu triglyceridov, mastných kyselín, žlčových kyselín, progesterónu, etinylestradiolu alebo v tukoch rozpustných vitamínov A a D.</w:t>
      </w:r>
    </w:p>
    <w:p w14:paraId="6158C8F2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621E3A7" w14:textId="77777777" w:rsidR="00FC144C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Epidemiologické štúdie preukázali, že kardiovaskulárna morbidita a mortalita sa priamoúmerne mení s hladinou celkového-C a LDL-C a nepriamoúmerne s hladinou HDL-C. </w:t>
      </w:r>
    </w:p>
    <w:p w14:paraId="7D27522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Priaznivý účinok </w:t>
      </w:r>
      <w:r w:rsidR="0069318C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 na kardiovaskulárnu morbiditu a mortalitu zatiaľ nebol preukázaný.</w:t>
      </w:r>
    </w:p>
    <w:p w14:paraId="6888D11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63C9DDC8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sz w:val="22"/>
          <w:szCs w:val="22"/>
          <w:u w:val="single"/>
        </w:rPr>
      </w:pPr>
      <w:r w:rsidRPr="00972868">
        <w:rPr>
          <w:sz w:val="22"/>
          <w:szCs w:val="22"/>
          <w:u w:val="single"/>
        </w:rPr>
        <w:t>Klinická účinnosť a</w:t>
      </w:r>
      <w:r w:rsidR="00FC144C" w:rsidRPr="00972868">
        <w:rPr>
          <w:sz w:val="22"/>
          <w:szCs w:val="22"/>
          <w:u w:val="single"/>
        </w:rPr>
        <w:t> </w:t>
      </w:r>
      <w:r w:rsidRPr="00972868">
        <w:rPr>
          <w:sz w:val="22"/>
          <w:szCs w:val="22"/>
          <w:u w:val="single"/>
        </w:rPr>
        <w:t>bezpečnosť</w:t>
      </w:r>
    </w:p>
    <w:p w14:paraId="524E229D" w14:textId="77777777" w:rsidR="00FC144C" w:rsidRPr="00972868" w:rsidRDefault="00FC144C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1A92BC8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A5BC5">
        <w:rPr>
          <w:sz w:val="22"/>
          <w:szCs w:val="22"/>
        </w:rPr>
        <w:t xml:space="preserve">V kontrolovaných klinických </w:t>
      </w:r>
      <w:r w:rsidR="001D1BA8" w:rsidRPr="009A5BC5">
        <w:rPr>
          <w:sz w:val="22"/>
          <w:szCs w:val="22"/>
        </w:rPr>
        <w:t>skúšaniach</w:t>
      </w:r>
      <w:r w:rsidRPr="009A5BC5">
        <w:rPr>
          <w:sz w:val="22"/>
          <w:szCs w:val="22"/>
        </w:rPr>
        <w:t xml:space="preserve"> </w:t>
      </w:r>
      <w:r w:rsidR="00FC144C" w:rsidRPr="009A5BC5">
        <w:rPr>
          <w:sz w:val="22"/>
          <w:szCs w:val="22"/>
        </w:rPr>
        <w:t>ezetimib</w:t>
      </w:r>
      <w:r w:rsidRPr="009A5BC5">
        <w:rPr>
          <w:sz w:val="22"/>
          <w:szCs w:val="22"/>
        </w:rPr>
        <w:t xml:space="preserve"> v monoterapii</w:t>
      </w:r>
      <w:r w:rsidRPr="00972868">
        <w:rPr>
          <w:sz w:val="22"/>
          <w:szCs w:val="22"/>
        </w:rPr>
        <w:t xml:space="preserve"> aj súbežne podávaný so statínom signifikantne znížil celkový cholesterol (celkový-C), cholesterol nízkodenzitných lipoproteínov (LDL</w:t>
      </w:r>
      <w:r w:rsidRPr="00972868">
        <w:rPr>
          <w:sz w:val="22"/>
          <w:szCs w:val="22"/>
        </w:rPr>
        <w:noBreakHyphen/>
        <w:t>C), apolipoproteín B (Apo B) a triglyceridy (TG) a zvýšil cholesterol vysokodenzitných lipoproteínov (HDL-C) u pacientov s hypercholesterolémiou.</w:t>
      </w:r>
    </w:p>
    <w:p w14:paraId="0A573235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4E2DC058" w14:textId="77777777" w:rsidR="00220454" w:rsidRPr="00972868" w:rsidRDefault="00220454" w:rsidP="00220454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</w:rPr>
      </w:pPr>
      <w:r w:rsidRPr="00972868">
        <w:rPr>
          <w:rFonts w:ascii="Times New Roman" w:hAnsi="Times New Roman"/>
          <w:b w:val="0"/>
          <w:sz w:val="22"/>
          <w:szCs w:val="22"/>
        </w:rPr>
        <w:t>Primárna hypercholesterolémia</w:t>
      </w:r>
    </w:p>
    <w:p w14:paraId="4C38C670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 dvojito zaslepen</w:t>
      </w:r>
      <w:r w:rsidR="001D1BA8">
        <w:rPr>
          <w:sz w:val="22"/>
          <w:szCs w:val="22"/>
        </w:rPr>
        <w:t>om</w:t>
      </w:r>
      <w:r w:rsidRPr="00972868">
        <w:rPr>
          <w:sz w:val="22"/>
          <w:szCs w:val="22"/>
        </w:rPr>
        <w:t>, placebom kontrolovan</w:t>
      </w:r>
      <w:r w:rsidR="001D1BA8">
        <w:rPr>
          <w:sz w:val="22"/>
          <w:szCs w:val="22"/>
        </w:rPr>
        <w:t>om</w:t>
      </w:r>
      <w:r w:rsidRPr="00972868">
        <w:rPr>
          <w:sz w:val="22"/>
          <w:szCs w:val="22"/>
        </w:rPr>
        <w:t>, 8-týždňov</w:t>
      </w:r>
      <w:r w:rsidR="001D1BA8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</w:t>
      </w:r>
      <w:r w:rsidR="001D1BA8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bolo 769 pacientov s hypercholesterolémiou, ktorí už dostávali monoterapiu statínom a podľa „National Cholesterol Education Program (NCEP)“ nedosiahli cieľový LDL-C (2,6 až 4,1 mmol/l [</w:t>
      </w:r>
      <w:r w:rsidR="00567C3C">
        <w:rPr>
          <w:sz w:val="22"/>
          <w:szCs w:val="22"/>
        </w:rPr>
        <w:t>1 až 1,6 g/l</w:t>
      </w:r>
      <w:r w:rsidRPr="00972868">
        <w:rPr>
          <w:sz w:val="22"/>
          <w:szCs w:val="22"/>
        </w:rPr>
        <w:t xml:space="preserve">] v závislosti od vstupných </w:t>
      </w:r>
      <w:r w:rsidR="003C7570">
        <w:rPr>
          <w:sz w:val="22"/>
          <w:szCs w:val="22"/>
        </w:rPr>
        <w:t>hladín</w:t>
      </w:r>
      <w:r w:rsidRPr="00972868">
        <w:rPr>
          <w:sz w:val="22"/>
          <w:szCs w:val="22"/>
        </w:rPr>
        <w:t xml:space="preserve">) randomizovaných tak, aby k prebiehajúcej liečbe statínom dostávali buď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10 mg alebo placebo.</w:t>
      </w:r>
    </w:p>
    <w:p w14:paraId="392181B1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55793652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Medzi pacientmi liečenými statínom, ktorí pri vstupe do </w:t>
      </w:r>
      <w:r w:rsidR="001D1BA8">
        <w:rPr>
          <w:sz w:val="22"/>
          <w:szCs w:val="22"/>
        </w:rPr>
        <w:t>skúšania</w:t>
      </w:r>
      <w:r w:rsidRPr="00972868">
        <w:rPr>
          <w:sz w:val="22"/>
          <w:szCs w:val="22"/>
        </w:rPr>
        <w:t xml:space="preserve"> nemali cieľovú hladinu LDL-C (~82 %), signifikantne viac pacientov randomizovaných na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dosiahlo cieľovú </w:t>
      </w:r>
      <w:r w:rsidR="005004F1">
        <w:rPr>
          <w:sz w:val="22"/>
          <w:szCs w:val="22"/>
        </w:rPr>
        <w:t>hladinu</w:t>
      </w:r>
      <w:r w:rsidR="005004F1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 xml:space="preserve">LDL-C na konci </w:t>
      </w:r>
      <w:r w:rsidR="001D1BA8">
        <w:rPr>
          <w:sz w:val="22"/>
          <w:szCs w:val="22"/>
        </w:rPr>
        <w:t>skúšania</w:t>
      </w:r>
      <w:r w:rsidRPr="00972868">
        <w:rPr>
          <w:sz w:val="22"/>
          <w:szCs w:val="22"/>
        </w:rPr>
        <w:t xml:space="preserve"> v porovnaní s pacientmi randomizovanými na placebo, 72 % a 19 % v uvedenom poradí. Príslušné zníženia LDL-C boli signifikantne rozdielne (25 % pre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a 4 % pre placebo). Okrem toho,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pridaný k prebiehajúcej liečbe statínom v porovnaní s placebom signifikantne znížil celkový-C, Apo B, TG a zvýšil HDL-C.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alebo placebo pridané k liečbe statínom znížili medián C-reaktívneho proteínu o 10 %</w:t>
      </w:r>
      <w:r w:rsidR="003C7570">
        <w:rPr>
          <w:sz w:val="22"/>
          <w:szCs w:val="22"/>
        </w:rPr>
        <w:t>,</w:t>
      </w:r>
      <w:r w:rsidRPr="00972868">
        <w:rPr>
          <w:sz w:val="22"/>
          <w:szCs w:val="22"/>
        </w:rPr>
        <w:t xml:space="preserve"> resp. 0 % oproti </w:t>
      </w:r>
      <w:r w:rsidR="003C7570">
        <w:rPr>
          <w:sz w:val="22"/>
          <w:szCs w:val="22"/>
        </w:rPr>
        <w:t>vstupným hladinám</w:t>
      </w:r>
      <w:r w:rsidRPr="00972868">
        <w:rPr>
          <w:sz w:val="22"/>
          <w:szCs w:val="22"/>
        </w:rPr>
        <w:t>.</w:t>
      </w:r>
    </w:p>
    <w:p w14:paraId="2625CB85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12FD7E18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V dvoch dvojito zaslepených, randomizovaných, placebom kontrolovaných, 12-týždňových </w:t>
      </w:r>
      <w:r w:rsidR="001D1BA8">
        <w:rPr>
          <w:sz w:val="22"/>
          <w:szCs w:val="22"/>
        </w:rPr>
        <w:t>skúšaniach</w:t>
      </w:r>
      <w:r w:rsidRPr="00972868">
        <w:rPr>
          <w:sz w:val="22"/>
          <w:szCs w:val="22"/>
        </w:rPr>
        <w:t xml:space="preserve"> u 1 719 pacientov s primárnou hypercholesterolémiou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10 mg v porovnaní s placebom signifikantne znížil celkový-C (13 %), LDL-C (19 %), Apo B (14 %) a TG (8 %) a zvýšil HDL-C (3 %). Navyše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nemal žiadny účinok na plazmatické koncentrácie v tukoch rozpustných vitamínov A, D a E, nemal žiadny účinok na protrombínový čas a tak, ako ostatné látky znižujúce lipidy, neovplyvnil tvorbu adrenokortikálneho steroidného hormónu.</w:t>
      </w:r>
    </w:p>
    <w:p w14:paraId="21DB0ADB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6B3C2682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 multicentrick</w:t>
      </w:r>
      <w:r w:rsidR="00BC2774">
        <w:rPr>
          <w:sz w:val="22"/>
          <w:szCs w:val="22"/>
        </w:rPr>
        <w:t>om</w:t>
      </w:r>
      <w:r w:rsidRPr="00972868">
        <w:rPr>
          <w:sz w:val="22"/>
          <w:szCs w:val="22"/>
        </w:rPr>
        <w:t>, dvojito zaslepen</w:t>
      </w:r>
      <w:r w:rsidR="00BC2774">
        <w:rPr>
          <w:sz w:val="22"/>
          <w:szCs w:val="22"/>
        </w:rPr>
        <w:t>om</w:t>
      </w:r>
      <w:r w:rsidRPr="00972868">
        <w:rPr>
          <w:sz w:val="22"/>
          <w:szCs w:val="22"/>
        </w:rPr>
        <w:t>, kontrolovan</w:t>
      </w:r>
      <w:r w:rsidR="00BC2774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klinick</w:t>
      </w:r>
      <w:r w:rsidR="00BC2774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</w:t>
      </w:r>
      <w:r w:rsidR="00BC2774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(ENHANCE) bolo 720 pacientov s heterozygotnou familiárnou hypercholesterolémiou randomizovaných na ezetimib 10 mg v kombinácii so simvastatínom 80 mg (n = 357) alebo na simvastatín 80 mg (n = 363) počas 2 rokov. Primárnym cieľom </w:t>
      </w:r>
      <w:r w:rsidR="00BC2774">
        <w:rPr>
          <w:sz w:val="22"/>
          <w:szCs w:val="22"/>
        </w:rPr>
        <w:t>skúšania</w:t>
      </w:r>
      <w:r w:rsidRPr="00972868">
        <w:rPr>
          <w:sz w:val="22"/>
          <w:szCs w:val="22"/>
        </w:rPr>
        <w:t xml:space="preserve"> bolo preskúmať účinok kombinovanej liečby ezetimib/simvastatín na hrúbku vrstvy intima-média (intima-media thickness, IMT) krčnej tepny v porovnaní s monoterapiou simvastatínom. Vplyv tohto zástupného markera na kardiovaskulárnu morbiditu a mortalitu nie je stále preukázaný.</w:t>
      </w:r>
    </w:p>
    <w:p w14:paraId="7D9E36D8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39AAF2C8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Primárny cieľový ukazovateľ, zmena strednej hodnoty IMT všetkých šiestich segmentov krčnej tepny meraná ultrazvukom v B-móde, sa medzi dvoma liečebnými skupinami signifikantne nelíšil (p = 0,29). Počas 2-ročného trvania </w:t>
      </w:r>
      <w:r w:rsidR="00BC2774">
        <w:rPr>
          <w:sz w:val="22"/>
          <w:szCs w:val="22"/>
        </w:rPr>
        <w:t>skúšania</w:t>
      </w:r>
      <w:r w:rsidRPr="00972868">
        <w:rPr>
          <w:sz w:val="22"/>
          <w:szCs w:val="22"/>
        </w:rPr>
        <w:t xml:space="preserve"> sa hrúbka vrstvy intima-média zväčšila o 0,0111 mm pri ezetimibe 10 mg v kombinácii so simvastatínom 80 mg (východisková stredná hodnota karotickej IMT 0,68 mm) a o 0,0058 mm pri samotnom simvastatíne 80 mg (východisková stredná hodnota karotickej IMT 0,69 mm).</w:t>
      </w:r>
    </w:p>
    <w:p w14:paraId="6E30B54D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5DA83239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Ezetimib 10 mg v kombinácii so simvastatínom 80 mg znížil LDL-C, celkový-C, Apo B a TG signifikantne viac ako simvastatín 80 mg. Percentuálne zvýšenie HDL-C bolo podobné pre obe liečebné skupiny. Nežiaduce </w:t>
      </w:r>
      <w:r w:rsidR="00E30F7F">
        <w:rPr>
          <w:sz w:val="22"/>
          <w:szCs w:val="22"/>
        </w:rPr>
        <w:t>účinky</w:t>
      </w:r>
      <w:r w:rsidR="00E30F7F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hlásené pre ezetimib 10 mg v kombinácii so simvastatínom 80 mg boli zhodné s jeho známym bezpečnostným profilom.</w:t>
      </w:r>
    </w:p>
    <w:p w14:paraId="189B9A3D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478CE5C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</w:rPr>
      </w:pPr>
      <w:r w:rsidRPr="00972868">
        <w:rPr>
          <w:i/>
          <w:sz w:val="22"/>
          <w:szCs w:val="22"/>
        </w:rPr>
        <w:t>Pediatrická populácia</w:t>
      </w:r>
    </w:p>
    <w:p w14:paraId="49915BBD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bookmarkStart w:id="6" w:name="OLE_LINK13"/>
      <w:bookmarkStart w:id="7" w:name="OLE_LINK14"/>
      <w:r w:rsidRPr="00972868">
        <w:rPr>
          <w:sz w:val="22"/>
          <w:szCs w:val="22"/>
        </w:rPr>
        <w:t>V multicentrick</w:t>
      </w:r>
      <w:r w:rsidR="00BC2774">
        <w:rPr>
          <w:sz w:val="22"/>
          <w:szCs w:val="22"/>
        </w:rPr>
        <w:t>om</w:t>
      </w:r>
      <w:r w:rsidRPr="00972868">
        <w:rPr>
          <w:sz w:val="22"/>
          <w:szCs w:val="22"/>
        </w:rPr>
        <w:t>, dvojito zaslepen</w:t>
      </w:r>
      <w:r w:rsidR="00BC2774">
        <w:rPr>
          <w:sz w:val="22"/>
          <w:szCs w:val="22"/>
        </w:rPr>
        <w:t>om</w:t>
      </w:r>
      <w:r w:rsidRPr="00972868">
        <w:rPr>
          <w:sz w:val="22"/>
          <w:szCs w:val="22"/>
        </w:rPr>
        <w:t>, kontrolovan</w:t>
      </w:r>
      <w:r w:rsidR="00BC2774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</w:t>
      </w:r>
      <w:r w:rsidR="00BC2774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bolo 138 pacientov (59 chlapcov a 79 dievčat), vo veku 6 až 10 rokov (priemerný vek 8,3 rokov) s heterozygotnou familiárnou alebo non-familiárnou hypercholesterolémiou (HeFH) s východiskovými hladinami LDL-C medzi 3,74 a 9,92 mmol/l, randomizovaných buď na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10 mg alebo na placebo počas 12 týždňov.</w:t>
      </w:r>
    </w:p>
    <w:p w14:paraId="687943F7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0F314090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lastRenderedPageBreak/>
        <w:t xml:space="preserve">V 12. týždni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v porovnaní s placebom signifikantne znížil celkový-C (-21 % oproti 0 %), LDL-C (-28 % oproti -1 %), Apo B (-22 % oproti -1 %), a non-HDL-C (-26 % oproti 0 %). Výsledky pri týchto dvoch liečebných skupinách boli podobné pre TG a HDL-C (</w:t>
      </w:r>
      <w:r w:rsidRPr="00972868">
        <w:rPr>
          <w:sz w:val="22"/>
          <w:szCs w:val="22"/>
        </w:rPr>
        <w:noBreakHyphen/>
        <w:t>6 % oproti +8 % a +2 % oproti +1 %).</w:t>
      </w:r>
    </w:p>
    <w:p w14:paraId="6F86820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1636CC0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 multicentrick</w:t>
      </w:r>
      <w:r w:rsidR="00BC2774">
        <w:rPr>
          <w:sz w:val="22"/>
          <w:szCs w:val="22"/>
        </w:rPr>
        <w:t>om</w:t>
      </w:r>
      <w:r w:rsidRPr="00972868">
        <w:rPr>
          <w:sz w:val="22"/>
          <w:szCs w:val="22"/>
        </w:rPr>
        <w:t>, dvojito zaslepen</w:t>
      </w:r>
      <w:r w:rsidR="00BC2774">
        <w:rPr>
          <w:sz w:val="22"/>
          <w:szCs w:val="22"/>
        </w:rPr>
        <w:t>om</w:t>
      </w:r>
      <w:r w:rsidRPr="00972868">
        <w:rPr>
          <w:sz w:val="22"/>
          <w:szCs w:val="22"/>
        </w:rPr>
        <w:t>, kontrolovan</w:t>
      </w:r>
      <w:r w:rsidR="00BC2774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</w:t>
      </w:r>
      <w:r w:rsidR="00BC2774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bolo 142 chlapcov (Tannerovo štádium II a vyššie) a 106 dievčat po menarché, vo veku 10 až 17 rokov (priemerný vek 14,2 rokov) s heterozygotnou familiárnou hypercholesterolémiou (HeFH) s východiskovými hladinami LDL-C medzi 4,1 a 10,4 mmol/l randomizovaných buď na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10 mg podávaný súbežne so simvastatínom (10, 20 alebo 40 mg) alebo na samotný simvastatín (10, 20 alebo 40 mg) počas 6 týždňov, ďalej na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podávaný súbežne so simvastatínom 40 mg alebo na samotný simvastatín 40 mg počas ďalších 27 týždňov a následne na otvorené súbežné podávanie </w:t>
      </w:r>
      <w:r w:rsidR="00FC144C" w:rsidRPr="00972868">
        <w:rPr>
          <w:sz w:val="22"/>
          <w:szCs w:val="22"/>
        </w:rPr>
        <w:t>ezetimib</w:t>
      </w:r>
      <w:r w:rsidR="001058E7" w:rsidRPr="00972868">
        <w:rPr>
          <w:sz w:val="22"/>
          <w:szCs w:val="22"/>
        </w:rPr>
        <w:t>u</w:t>
      </w:r>
      <w:r w:rsidRPr="00972868">
        <w:rPr>
          <w:sz w:val="22"/>
          <w:szCs w:val="22"/>
        </w:rPr>
        <w:t xml:space="preserve"> a simvastatínu (10, 20 alebo 40 mg) počas ďalších 20 týždňov.</w:t>
      </w:r>
    </w:p>
    <w:bookmarkEnd w:id="6"/>
    <w:bookmarkEnd w:id="7"/>
    <w:p w14:paraId="4F3D72F8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037072C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V 6. týždni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podávaný súbežne so simvastatínom (všetky dávky) v porovnaní so samotným simvastatínom (všetky dávky) signifikantne znížil celkový-C (38 % oproti 26 %), LDL-C (49 % oproti 34 %), Apo B (39 % oproti 27 %), a non-HDL-C (47 % oproti 33 %). Výsledky týchto liečebných skupín boli podobné pre TG (</w:t>
      </w:r>
      <w:r w:rsidRPr="00972868">
        <w:rPr>
          <w:sz w:val="22"/>
          <w:szCs w:val="22"/>
        </w:rPr>
        <w:noBreakHyphen/>
        <w:t xml:space="preserve">17 % oproti </w:t>
      </w:r>
      <w:r w:rsidRPr="00972868">
        <w:rPr>
          <w:sz w:val="22"/>
          <w:szCs w:val="22"/>
        </w:rPr>
        <w:noBreakHyphen/>
        <w:t xml:space="preserve">12 %) a HDL-C (+7 % oproti +6 %). V 33. týždni boli výsledky konzistentné s výsledkami zo 6. týždňa a signifikantne viac pacientov užívajúcich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a simvastatín 40 mg (62 %) dosiahlo ideálny cieľ podľa NCEP APP (&lt;</w:t>
      </w:r>
      <w:r w:rsidR="003F3474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2,8 mmol/l [</w:t>
      </w:r>
      <w:r w:rsidR="00BC2D68">
        <w:rPr>
          <w:sz w:val="22"/>
          <w:szCs w:val="22"/>
        </w:rPr>
        <w:t>1,1 g/l</w:t>
      </w:r>
      <w:r w:rsidRPr="00972868">
        <w:rPr>
          <w:sz w:val="22"/>
          <w:szCs w:val="22"/>
        </w:rPr>
        <w:t>]) pre LDL-C v porovnaní s pacientmi užívajúcimi samotný simvastatín 40 mg (25 %). V 53. týždni, na konci otvoreného predĺženia, boli účinky na lipidové parametre zachované.</w:t>
      </w:r>
    </w:p>
    <w:p w14:paraId="0BF11318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3A76336C" w14:textId="77777777" w:rsidR="00220454" w:rsidRPr="00972868" w:rsidRDefault="00220454" w:rsidP="007E01DB">
      <w:pPr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Bezpečnosť a účinnosť </w:t>
      </w:r>
      <w:r w:rsidR="00FC144C" w:rsidRPr="00972868">
        <w:rPr>
          <w:sz w:val="22"/>
          <w:szCs w:val="22"/>
        </w:rPr>
        <w:t>ezetimib</w:t>
      </w:r>
      <w:r w:rsidR="001058E7" w:rsidRPr="00972868">
        <w:rPr>
          <w:sz w:val="22"/>
          <w:szCs w:val="22"/>
        </w:rPr>
        <w:t>u</w:t>
      </w:r>
      <w:r w:rsidRPr="00972868">
        <w:rPr>
          <w:sz w:val="22"/>
          <w:szCs w:val="22"/>
        </w:rPr>
        <w:t xml:space="preserve"> podávaného súbežne s dávkami simvastatínu nad 40 mg denne sa u pediatrických pacientov vo veku 10 až 17 rokov neštudovali. Bezpečnosť a účinnosť </w:t>
      </w:r>
      <w:r w:rsidR="00FC144C" w:rsidRPr="00972868">
        <w:rPr>
          <w:sz w:val="22"/>
          <w:szCs w:val="22"/>
        </w:rPr>
        <w:t>ezetimib</w:t>
      </w:r>
      <w:r w:rsidR="001058E7" w:rsidRPr="00972868">
        <w:rPr>
          <w:sz w:val="22"/>
          <w:szCs w:val="22"/>
        </w:rPr>
        <w:t>u</w:t>
      </w:r>
      <w:r w:rsidRPr="00972868">
        <w:rPr>
          <w:sz w:val="22"/>
          <w:szCs w:val="22"/>
        </w:rPr>
        <w:t xml:space="preserve"> podávaného súbežne so simvastatínom sa u pediatrických pacientov vo veku </w:t>
      </w:r>
      <w:r w:rsidR="000E4B24">
        <w:rPr>
          <w:rFonts w:cs="TimesNewRomanPSMT"/>
          <w:sz w:val="22"/>
          <w:szCs w:val="22"/>
          <w:lang w:eastAsia="fr-FR" w:bidi="gu-IN"/>
        </w:rPr>
        <w:t>do</w:t>
      </w:r>
      <w:r w:rsidRPr="00972868">
        <w:rPr>
          <w:rFonts w:cs="TimesNewRomanPSMT"/>
          <w:sz w:val="22"/>
          <w:szCs w:val="22"/>
          <w:lang w:eastAsia="fr-FR" w:bidi="gu-IN"/>
        </w:rPr>
        <w:t xml:space="preserve"> 10 rokov neštudovali. </w:t>
      </w:r>
      <w:r w:rsidRPr="00972868">
        <w:rPr>
          <w:sz w:val="22"/>
          <w:szCs w:val="22"/>
        </w:rPr>
        <w:t>Dlhodobá účinnosť liečby s </w:t>
      </w:r>
      <w:r w:rsidR="00FC144C" w:rsidRPr="00972868">
        <w:rPr>
          <w:sz w:val="22"/>
          <w:szCs w:val="22"/>
        </w:rPr>
        <w:t>ezetimib</w:t>
      </w:r>
      <w:r w:rsidR="001058E7" w:rsidRPr="00972868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u pacientov mladších ako 17 rokov na zníženie morbidity a mortality v dospelosti sa neštudovala.</w:t>
      </w:r>
    </w:p>
    <w:p w14:paraId="639F7672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78FE6CD" w14:textId="77777777" w:rsidR="00220454" w:rsidRPr="00972868" w:rsidRDefault="00220454" w:rsidP="00220454">
      <w:pPr>
        <w:keepNext/>
        <w:keepLines/>
        <w:adjustRightInd w:val="0"/>
        <w:snapToGrid w:val="0"/>
        <w:spacing w:after="0"/>
        <w:rPr>
          <w:i/>
          <w:sz w:val="22"/>
          <w:szCs w:val="22"/>
        </w:rPr>
      </w:pPr>
      <w:r w:rsidRPr="00972868">
        <w:rPr>
          <w:i/>
          <w:sz w:val="22"/>
          <w:szCs w:val="22"/>
        </w:rPr>
        <w:t>Homozygotná familiárna hypercholesterolémia (HoFH)</w:t>
      </w:r>
    </w:p>
    <w:p w14:paraId="66963C2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Dvojito zaslepen</w:t>
      </w:r>
      <w:r w:rsidR="00A244A5">
        <w:rPr>
          <w:sz w:val="22"/>
          <w:szCs w:val="22"/>
        </w:rPr>
        <w:t>é</w:t>
      </w:r>
      <w:r w:rsidRPr="00972868">
        <w:rPr>
          <w:sz w:val="22"/>
          <w:szCs w:val="22"/>
        </w:rPr>
        <w:t>, randomizovan</w:t>
      </w:r>
      <w:r w:rsidR="00A244A5">
        <w:rPr>
          <w:sz w:val="22"/>
          <w:szCs w:val="22"/>
        </w:rPr>
        <w:t>é</w:t>
      </w:r>
      <w:r w:rsidRPr="00972868">
        <w:rPr>
          <w:sz w:val="22"/>
          <w:szCs w:val="22"/>
        </w:rPr>
        <w:t>, 12-týždňov</w:t>
      </w:r>
      <w:r w:rsidR="00A244A5">
        <w:rPr>
          <w:sz w:val="22"/>
          <w:szCs w:val="22"/>
        </w:rPr>
        <w:t>é</w:t>
      </w:r>
      <w:r w:rsidRPr="00972868">
        <w:rPr>
          <w:sz w:val="22"/>
          <w:szCs w:val="22"/>
        </w:rPr>
        <w:t xml:space="preserve"> </w:t>
      </w:r>
      <w:r w:rsidR="00A244A5">
        <w:rPr>
          <w:sz w:val="22"/>
          <w:szCs w:val="22"/>
        </w:rPr>
        <w:t>skúšanie</w:t>
      </w:r>
      <w:r w:rsidRPr="00972868">
        <w:rPr>
          <w:sz w:val="22"/>
          <w:szCs w:val="22"/>
        </w:rPr>
        <w:t xml:space="preserve"> zahŕňal</w:t>
      </w:r>
      <w:r w:rsidR="00A244A5">
        <w:rPr>
          <w:sz w:val="22"/>
          <w:szCs w:val="22"/>
        </w:rPr>
        <w:t>o</w:t>
      </w:r>
      <w:r w:rsidRPr="00972868">
        <w:rPr>
          <w:sz w:val="22"/>
          <w:szCs w:val="22"/>
        </w:rPr>
        <w:t xml:space="preserve"> 50 pacientov s klinickou a/alebo genotypovou diagnózou HoFH, ktorí dostávali atorvastatín alebo simvastatín (40 mg) so súčasnou LDL aferézou alebo bez nej.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podávaný súbežne s atorvastatínom (40 alebo 80 mg) alebo simvastatínom (40 alebo 80 mg) signifikantne znížil LDL-C o 15 % v porovnaní so zvýšením dávky simvastatínu alebo atorvastatínu od 40 do 80 mg pri monoterapii.</w:t>
      </w:r>
    </w:p>
    <w:p w14:paraId="2C8FBEB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193BAE3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</w:rPr>
      </w:pPr>
      <w:r w:rsidRPr="00972868">
        <w:rPr>
          <w:i/>
          <w:sz w:val="22"/>
          <w:szCs w:val="22"/>
        </w:rPr>
        <w:t>Homozygotná sitosterolémia (fytosterolémia)</w:t>
      </w:r>
    </w:p>
    <w:p w14:paraId="3B75527C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 dvojito zaslepen</w:t>
      </w:r>
      <w:r w:rsidR="00A244A5">
        <w:rPr>
          <w:sz w:val="22"/>
          <w:szCs w:val="22"/>
        </w:rPr>
        <w:t>om</w:t>
      </w:r>
      <w:r w:rsidRPr="00972868">
        <w:rPr>
          <w:sz w:val="22"/>
          <w:szCs w:val="22"/>
        </w:rPr>
        <w:t>, placebom kontrolovan</w:t>
      </w:r>
      <w:r w:rsidR="00A244A5">
        <w:rPr>
          <w:sz w:val="22"/>
          <w:szCs w:val="22"/>
        </w:rPr>
        <w:t>om</w:t>
      </w:r>
      <w:r w:rsidRPr="00972868">
        <w:rPr>
          <w:sz w:val="22"/>
          <w:szCs w:val="22"/>
        </w:rPr>
        <w:t>, 8-týždňov</w:t>
      </w:r>
      <w:r w:rsidR="00A244A5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</w:t>
      </w:r>
      <w:r w:rsidR="00A244A5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bolo randomizovaných 37 pacientov s homozygotnou sitosterolémiou tak, že dostávali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10 mg (n</w:t>
      </w:r>
      <w:r w:rsidR="00382413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=</w:t>
      </w:r>
      <w:r w:rsidR="00382413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30) alebo placebo (n</w:t>
      </w:r>
      <w:r w:rsidR="00382413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=</w:t>
      </w:r>
      <w:r w:rsidR="00382413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 xml:space="preserve">7). Niektorí pacienti dostávali inú liečbu (napr. statíny, živice).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signifikantne znížil dva hlavné rastlinné steroly, sitosterol o</w:t>
      </w:r>
      <w:r w:rsidR="00382413" w:rsidRPr="00972868">
        <w:rPr>
          <w:sz w:val="22"/>
          <w:szCs w:val="22"/>
        </w:rPr>
        <w:t> </w:t>
      </w:r>
      <w:r w:rsidRPr="00972868">
        <w:rPr>
          <w:sz w:val="22"/>
          <w:szCs w:val="22"/>
        </w:rPr>
        <w:t>21</w:t>
      </w:r>
      <w:r w:rsidR="00382413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% a kampesterol o 24 % v porovnaní s východiskovými hodnotami. Účinky zníženia sitosterolu na morbiditu a mortalitu v tejto populácii nie sú známe.</w:t>
      </w:r>
    </w:p>
    <w:p w14:paraId="1EEA257B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17ACAFA3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</w:rPr>
      </w:pPr>
      <w:r w:rsidRPr="00972868">
        <w:rPr>
          <w:i/>
          <w:sz w:val="22"/>
          <w:szCs w:val="22"/>
        </w:rPr>
        <w:t>Prevencia veľkých vaskulárnych príhod pri chronickom ochorení obličiek (Chronic Kidney Disease, CKD)</w:t>
      </w:r>
    </w:p>
    <w:p w14:paraId="56DAAC6C" w14:textId="77777777" w:rsidR="00220454" w:rsidRPr="00972868" w:rsidRDefault="00A244A5" w:rsidP="00220454">
      <w:pPr>
        <w:adjustRightInd w:val="0"/>
        <w:snapToGrid w:val="0"/>
        <w:spacing w:after="0"/>
        <w:rPr>
          <w:sz w:val="22"/>
          <w:szCs w:val="22"/>
        </w:rPr>
      </w:pPr>
      <w:r>
        <w:rPr>
          <w:sz w:val="22"/>
          <w:szCs w:val="22"/>
        </w:rPr>
        <w:t>Skúšanie</w:t>
      </w:r>
      <w:r w:rsidR="00220454" w:rsidRPr="00972868">
        <w:rPr>
          <w:sz w:val="22"/>
          <w:szCs w:val="22"/>
        </w:rPr>
        <w:t xml:space="preserve"> </w:t>
      </w:r>
      <w:r w:rsidR="00220454" w:rsidRPr="00972868">
        <w:rPr>
          <w:i/>
          <w:sz w:val="22"/>
          <w:szCs w:val="22"/>
        </w:rPr>
        <w:t>Study of Heart and Renal Protection</w:t>
      </w:r>
      <w:r w:rsidR="00220454" w:rsidRPr="00972868">
        <w:rPr>
          <w:sz w:val="22"/>
          <w:szCs w:val="22"/>
        </w:rPr>
        <w:t xml:space="preserve"> (SHARP) bol</w:t>
      </w:r>
      <w:r>
        <w:rPr>
          <w:sz w:val="22"/>
          <w:szCs w:val="22"/>
        </w:rPr>
        <w:t>o</w:t>
      </w:r>
      <w:r w:rsidR="00220454" w:rsidRPr="00972868">
        <w:rPr>
          <w:sz w:val="22"/>
          <w:szCs w:val="22"/>
        </w:rPr>
        <w:t xml:space="preserve"> mnohonárodn</w:t>
      </w:r>
      <w:r>
        <w:rPr>
          <w:sz w:val="22"/>
          <w:szCs w:val="22"/>
        </w:rPr>
        <w:t>é</w:t>
      </w:r>
      <w:r w:rsidR="00220454" w:rsidRPr="00972868">
        <w:rPr>
          <w:sz w:val="22"/>
          <w:szCs w:val="22"/>
        </w:rPr>
        <w:t xml:space="preserve"> randomizovan</w:t>
      </w:r>
      <w:r>
        <w:rPr>
          <w:sz w:val="22"/>
          <w:szCs w:val="22"/>
        </w:rPr>
        <w:t>é</w:t>
      </w:r>
      <w:r w:rsidR="00220454" w:rsidRPr="00972868">
        <w:rPr>
          <w:sz w:val="22"/>
          <w:szCs w:val="22"/>
        </w:rPr>
        <w:t>, placebom kontrolovan</w:t>
      </w:r>
      <w:r>
        <w:rPr>
          <w:sz w:val="22"/>
          <w:szCs w:val="22"/>
        </w:rPr>
        <w:t>é</w:t>
      </w:r>
      <w:r w:rsidR="00220454" w:rsidRPr="00972868">
        <w:rPr>
          <w:sz w:val="22"/>
          <w:szCs w:val="22"/>
        </w:rPr>
        <w:t>, dvojito zaslepen</w:t>
      </w:r>
      <w:r>
        <w:rPr>
          <w:sz w:val="22"/>
          <w:szCs w:val="22"/>
        </w:rPr>
        <w:t>é</w:t>
      </w:r>
      <w:r w:rsidR="00220454" w:rsidRPr="00972868">
        <w:rPr>
          <w:sz w:val="22"/>
          <w:szCs w:val="22"/>
        </w:rPr>
        <w:t xml:space="preserve"> </w:t>
      </w:r>
      <w:r>
        <w:rPr>
          <w:sz w:val="22"/>
          <w:szCs w:val="22"/>
        </w:rPr>
        <w:t>skúšanie</w:t>
      </w:r>
      <w:r w:rsidR="00220454" w:rsidRPr="00972868">
        <w:rPr>
          <w:sz w:val="22"/>
          <w:szCs w:val="22"/>
        </w:rPr>
        <w:t xml:space="preserve"> vykonan</w:t>
      </w:r>
      <w:r>
        <w:rPr>
          <w:sz w:val="22"/>
          <w:szCs w:val="22"/>
        </w:rPr>
        <w:t>é</w:t>
      </w:r>
      <w:r w:rsidR="00220454" w:rsidRPr="00972868">
        <w:rPr>
          <w:sz w:val="22"/>
          <w:szCs w:val="22"/>
        </w:rPr>
        <w:t xml:space="preserve"> u 9 438 pacientov s chronickým ochorením obličiek, z ktorých jedna tretina podstupovala pri zaradení do </w:t>
      </w:r>
      <w:r w:rsidR="00FC3519">
        <w:rPr>
          <w:sz w:val="22"/>
          <w:szCs w:val="22"/>
        </w:rPr>
        <w:t>skúšania</w:t>
      </w:r>
      <w:r w:rsidR="00220454" w:rsidRPr="00972868">
        <w:rPr>
          <w:sz w:val="22"/>
          <w:szCs w:val="22"/>
        </w:rPr>
        <w:t xml:space="preserve"> dialýzu. Celkovo bolo 4 650 pacientov randomizovaných na kombináciu fixných dávok </w:t>
      </w:r>
      <w:r w:rsidR="00FC144C" w:rsidRPr="00972868">
        <w:rPr>
          <w:sz w:val="22"/>
          <w:szCs w:val="22"/>
        </w:rPr>
        <w:t>ezetimib</w:t>
      </w:r>
      <w:r w:rsidR="00382413" w:rsidRPr="00972868">
        <w:rPr>
          <w:sz w:val="22"/>
          <w:szCs w:val="22"/>
        </w:rPr>
        <w:t>u</w:t>
      </w:r>
      <w:r w:rsidR="00220454" w:rsidRPr="00972868">
        <w:rPr>
          <w:sz w:val="22"/>
          <w:szCs w:val="22"/>
        </w:rPr>
        <w:t xml:space="preserve"> 10 mg s 20 mg simvastatínu a 4 620 na placebo a pacienti sa sledovali počas mediánu 4,9 rokov. Priemerný vek pacientov bol 62 rokov a 63 % boli muži, 72 % boli belosi, 23 % boli diabetici a u tých pacientov, ktorí nepodstupovali dialýzu, bola priemerná odhadovaná rýchlosť glomerulárnej filtrácie (eGFR) 26,5 ml/min/1,73 m</w:t>
      </w:r>
      <w:r w:rsidR="00220454" w:rsidRPr="00972868">
        <w:rPr>
          <w:sz w:val="22"/>
          <w:szCs w:val="22"/>
          <w:vertAlign w:val="superscript"/>
        </w:rPr>
        <w:t>2</w:t>
      </w:r>
      <w:r w:rsidR="00220454" w:rsidRPr="00972868">
        <w:rPr>
          <w:sz w:val="22"/>
          <w:szCs w:val="22"/>
        </w:rPr>
        <w:t>. Neboli udané žiadne vstupné kritéria pre hladiny lipidov. Priemerná východisková hladina LDL-C bola 108 mg/dl. Vrátane pacientov, ktorí už viac neužívali skúšaný liek, sa po jednom roku znížila hladina LDL-C samotným simvastatínom 20 mg o 26 % a </w:t>
      </w:r>
      <w:r w:rsidR="00FC144C" w:rsidRPr="00972868">
        <w:rPr>
          <w:sz w:val="22"/>
          <w:szCs w:val="22"/>
        </w:rPr>
        <w:t>ezetimib</w:t>
      </w:r>
      <w:r w:rsidR="001058E7" w:rsidRPr="00972868">
        <w:rPr>
          <w:sz w:val="22"/>
          <w:szCs w:val="22"/>
        </w:rPr>
        <w:t>om</w:t>
      </w:r>
      <w:r w:rsidR="00220454" w:rsidRPr="00972868">
        <w:rPr>
          <w:sz w:val="22"/>
          <w:szCs w:val="22"/>
        </w:rPr>
        <w:t xml:space="preserve"> 10 mg v kombinácii s 20 mg simvastatínu o 38 % v porovnaní s placebom.</w:t>
      </w:r>
    </w:p>
    <w:p w14:paraId="1E158B85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3B96307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lastRenderedPageBreak/>
        <w:t xml:space="preserve">Primárnym porovnaním, ktoré bolo špecifikované protokolom </w:t>
      </w:r>
      <w:r w:rsidR="00A244A5">
        <w:rPr>
          <w:sz w:val="22"/>
          <w:szCs w:val="22"/>
        </w:rPr>
        <w:t>skúšania</w:t>
      </w:r>
      <w:r w:rsidRPr="00972868">
        <w:rPr>
          <w:sz w:val="22"/>
          <w:szCs w:val="22"/>
        </w:rPr>
        <w:t xml:space="preserve"> SHARP, bola analýza podľa liečebného zámeru (</w:t>
      </w:r>
      <w:r w:rsidRPr="00972868">
        <w:rPr>
          <w:i/>
          <w:sz w:val="22"/>
          <w:szCs w:val="22"/>
        </w:rPr>
        <w:t>intention to treat</w:t>
      </w:r>
      <w:r w:rsidRPr="00972868">
        <w:rPr>
          <w:sz w:val="22"/>
          <w:szCs w:val="22"/>
        </w:rPr>
        <w:t>) „veľkých vaskulárnych príhod“ (MVE, definované ako nefatálny infarkt myokardu alebo kardiálne úmrtie, cievna mozgová príhoda alebo akýkoľvek revaskularizačný výkon) len u tých pacientov, ktorí boli na začiatku randomizovaní do skupiny s </w:t>
      </w:r>
      <w:r w:rsidR="00FC144C" w:rsidRPr="00972868">
        <w:rPr>
          <w:sz w:val="22"/>
          <w:szCs w:val="22"/>
        </w:rPr>
        <w:t>ezetimib</w:t>
      </w:r>
      <w:r w:rsidR="001058E7" w:rsidRPr="00972868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v kombinácii so simvastatínom (n = 4 193) alebo do skupiny s placebom (n = 4 191). Sekundárne analýzy zahŕňali rovnaký súbor analyzovaný v celej kohorte randomizovanej (na začiatku </w:t>
      </w:r>
      <w:r w:rsidR="00A244A5">
        <w:rPr>
          <w:sz w:val="22"/>
          <w:szCs w:val="22"/>
        </w:rPr>
        <w:t>skúšania</w:t>
      </w:r>
      <w:r w:rsidRPr="00972868">
        <w:rPr>
          <w:sz w:val="22"/>
          <w:szCs w:val="22"/>
        </w:rPr>
        <w:t xml:space="preserve"> alebo v 1. roku) na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v kombinácii so simvastatínom (n = 4 650) alebo na placebo (n = 4 620), ako aj zložky tohto súboru.</w:t>
      </w:r>
    </w:p>
    <w:p w14:paraId="0BCDA26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6ADB9E68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Analýza primárneho cieľového ukazovateľa preukázala, že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v kombinácii so simvastatínom signifikantne znížil riziko veľkých vaskulárnych príhod (749 pacientov s príhodami v skupine s placebom oproti 639 v skupine s </w:t>
      </w:r>
      <w:r w:rsidR="00FC144C" w:rsidRPr="00972868">
        <w:rPr>
          <w:sz w:val="22"/>
          <w:szCs w:val="22"/>
        </w:rPr>
        <w:t>ezetimib</w:t>
      </w:r>
      <w:r w:rsidR="001058E7" w:rsidRPr="00972868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v kombinácii so simvastatínom) s relatívnym znížením rizika o 16 % (p = 0,001).</w:t>
      </w:r>
    </w:p>
    <w:p w14:paraId="0658F1F2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1D4695A0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Tento dizajn </w:t>
      </w:r>
      <w:r w:rsidR="00A244A5">
        <w:rPr>
          <w:sz w:val="22"/>
          <w:szCs w:val="22"/>
        </w:rPr>
        <w:t>skúšania</w:t>
      </w:r>
      <w:r w:rsidRPr="00972868">
        <w:rPr>
          <w:sz w:val="22"/>
          <w:szCs w:val="22"/>
        </w:rPr>
        <w:t xml:space="preserve"> však neumožnil sledovať separátny prínos samotného ezetimibu k účinnosti signifikantne znížiť riziko veľkých vaskulárnych príhod u pacientov s CKD.</w:t>
      </w:r>
    </w:p>
    <w:p w14:paraId="37E6E441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FCF763E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Jednotlivé zložky MVE u všetkých randomizovaných pacientov sú uvedené v tabuľke 1. 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v kombinácii so simvastatínom signifikantne znížil riziko cievnej mozgovej príhody a akejkoľvek revaskularizácie, s nesignifikantnými číselnými rozdielmi v prospech </w:t>
      </w:r>
      <w:r w:rsidR="00FC144C" w:rsidRPr="00972868">
        <w:rPr>
          <w:sz w:val="22"/>
          <w:szCs w:val="22"/>
        </w:rPr>
        <w:t>ezetimib</w:t>
      </w:r>
      <w:r w:rsidR="001058E7" w:rsidRPr="00972868">
        <w:rPr>
          <w:sz w:val="22"/>
          <w:szCs w:val="22"/>
        </w:rPr>
        <w:t>u</w:t>
      </w:r>
      <w:r w:rsidRPr="00972868">
        <w:rPr>
          <w:sz w:val="22"/>
          <w:szCs w:val="22"/>
        </w:rPr>
        <w:t xml:space="preserve"> v kombinácii so simvastatínom pri nefatálnom infarkte myokardu a kardiálnom úmrtí.</w:t>
      </w:r>
    </w:p>
    <w:p w14:paraId="44F80031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92C1F34" w14:textId="77777777" w:rsidR="00220454" w:rsidRPr="00972868" w:rsidRDefault="00220454" w:rsidP="00220454">
      <w:pPr>
        <w:pStyle w:val="Tablenormal"/>
        <w:keepLines w:val="0"/>
        <w:rPr>
          <w:rFonts w:ascii="Times New Roman" w:hAnsi="Times New Roman"/>
          <w:b/>
          <w:sz w:val="22"/>
          <w:szCs w:val="22"/>
          <w:lang w:val="sk-SK"/>
        </w:rPr>
      </w:pPr>
      <w:r w:rsidRPr="00972868">
        <w:rPr>
          <w:rFonts w:ascii="Times New Roman" w:hAnsi="Times New Roman"/>
          <w:b/>
          <w:sz w:val="22"/>
          <w:szCs w:val="22"/>
          <w:lang w:val="sk-SK"/>
        </w:rPr>
        <w:t>Tabuľka 1</w:t>
      </w:r>
    </w:p>
    <w:p w14:paraId="2CB61211" w14:textId="77777777" w:rsidR="00220454" w:rsidRPr="00972868" w:rsidRDefault="00220454" w:rsidP="00220454">
      <w:pPr>
        <w:pStyle w:val="Tablenormal"/>
        <w:keepLines w:val="0"/>
        <w:rPr>
          <w:rFonts w:ascii="Times New Roman" w:hAnsi="Times New Roman"/>
          <w:b/>
          <w:sz w:val="22"/>
          <w:szCs w:val="22"/>
          <w:lang w:val="sk-SK"/>
        </w:rPr>
      </w:pPr>
      <w:r w:rsidRPr="00972868">
        <w:rPr>
          <w:rFonts w:ascii="Times New Roman" w:hAnsi="Times New Roman"/>
          <w:b/>
          <w:sz w:val="22"/>
          <w:szCs w:val="22"/>
          <w:lang w:val="sk-SK"/>
        </w:rPr>
        <w:t>Veľké vaskulárne príhody podľa liečebnej skupiny u všetkých randomizovaných pacientov v </w:t>
      </w:r>
      <w:r w:rsidR="00A244A5">
        <w:rPr>
          <w:rFonts w:ascii="Times New Roman" w:hAnsi="Times New Roman"/>
          <w:b/>
          <w:sz w:val="22"/>
          <w:szCs w:val="22"/>
          <w:lang w:val="sk-SK"/>
        </w:rPr>
        <w:t>skúšaní</w:t>
      </w:r>
      <w:r w:rsidRPr="00972868">
        <w:rPr>
          <w:rFonts w:ascii="Times New Roman" w:hAnsi="Times New Roman"/>
          <w:b/>
          <w:sz w:val="22"/>
          <w:szCs w:val="22"/>
          <w:lang w:val="sk-SK"/>
        </w:rPr>
        <w:t xml:space="preserve"> SHARP</w:t>
      </w:r>
      <w:r w:rsidRPr="00972868">
        <w:rPr>
          <w:rFonts w:ascii="Times New Roman" w:hAnsi="Times New Roman"/>
          <w:b/>
          <w:sz w:val="22"/>
          <w:szCs w:val="22"/>
          <w:vertAlign w:val="superscript"/>
          <w:lang w:val="sk-SK"/>
        </w:rPr>
        <w:t>a</w:t>
      </w:r>
    </w:p>
    <w:p w14:paraId="5FDFD989" w14:textId="77777777" w:rsidR="00220454" w:rsidRPr="00972868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9"/>
        <w:gridCol w:w="1720"/>
        <w:gridCol w:w="1548"/>
        <w:gridCol w:w="1838"/>
        <w:gridCol w:w="1161"/>
      </w:tblGrid>
      <w:tr w:rsidR="00220454" w:rsidRPr="00972868" w14:paraId="26914803" w14:textId="77777777" w:rsidTr="00EE408A">
        <w:trPr>
          <w:cantSplit/>
          <w:tblHeader/>
        </w:trPr>
        <w:tc>
          <w:tcPr>
            <w:tcW w:w="2808" w:type="dxa"/>
            <w:tcBorders>
              <w:top w:val="single" w:sz="18" w:space="0" w:color="auto"/>
              <w:left w:val="nil"/>
              <w:right w:val="nil"/>
            </w:tcBorders>
          </w:tcPr>
          <w:p w14:paraId="29A941ED" w14:textId="77777777" w:rsidR="00220454" w:rsidRPr="00972868" w:rsidRDefault="00220454" w:rsidP="00EE408A">
            <w:pPr>
              <w:pStyle w:val="Tablenormal"/>
              <w:keepLines w:val="0"/>
              <w:ind w:left="180" w:hanging="180"/>
              <w:rPr>
                <w:rFonts w:ascii="Times New Roman" w:hAnsi="Times New Roman"/>
                <w:b/>
                <w:sz w:val="22"/>
                <w:szCs w:val="22"/>
                <w:u w:val="single"/>
                <w:lang w:val="sk-SK"/>
              </w:rPr>
            </w:pPr>
          </w:p>
          <w:p w14:paraId="5D52DCD0" w14:textId="77777777" w:rsidR="00220454" w:rsidRPr="00972868" w:rsidRDefault="00220454" w:rsidP="00EE408A">
            <w:pPr>
              <w:pStyle w:val="Tablenormal"/>
              <w:keepLines w:val="0"/>
              <w:ind w:left="180" w:hanging="180"/>
              <w:rPr>
                <w:rFonts w:ascii="Times New Roman" w:hAnsi="Times New Roman"/>
                <w:bCs/>
                <w:sz w:val="22"/>
                <w:szCs w:val="22"/>
                <w:u w:val="single"/>
                <w:lang w:val="sk-SK"/>
              </w:rPr>
            </w:pPr>
            <w:r w:rsidRPr="00972868">
              <w:rPr>
                <w:rFonts w:ascii="Times New Roman" w:hAnsi="Times New Roman"/>
                <w:bCs/>
                <w:sz w:val="22"/>
                <w:szCs w:val="22"/>
                <w:u w:val="single"/>
                <w:lang w:val="sk-SK"/>
              </w:rPr>
              <w:t>Výsledok</w:t>
            </w:r>
          </w:p>
        </w:tc>
        <w:tc>
          <w:tcPr>
            <w:tcW w:w="1600" w:type="dxa"/>
            <w:tcBorders>
              <w:top w:val="single" w:sz="18" w:space="0" w:color="auto"/>
              <w:left w:val="nil"/>
              <w:right w:val="nil"/>
            </w:tcBorders>
          </w:tcPr>
          <w:p w14:paraId="4EEE0ED9" w14:textId="77777777" w:rsidR="00220454" w:rsidRPr="00972868" w:rsidRDefault="00382413" w:rsidP="00762E87">
            <w:pPr>
              <w:pStyle w:val="Tablenormal"/>
              <w:keepLines w:val="0"/>
              <w:rPr>
                <w:rFonts w:ascii="Times New Roman" w:hAnsi="Times New Roman"/>
                <w:bCs/>
                <w:sz w:val="22"/>
                <w:szCs w:val="22"/>
                <w:u w:val="single"/>
                <w:lang w:val="sk-SK"/>
              </w:rPr>
            </w:pPr>
            <w:r w:rsidRPr="00972868">
              <w:rPr>
                <w:rFonts w:ascii="Times New Roman" w:hAnsi="Times New Roman"/>
                <w:color w:val="000000"/>
                <w:sz w:val="22"/>
                <w:szCs w:val="22"/>
                <w:lang w:val="sk-SK"/>
              </w:rPr>
              <w:t>ezetimib</w:t>
            </w:r>
            <w:r w:rsidR="00220454" w:rsidRPr="00972868">
              <w:rPr>
                <w:rFonts w:ascii="Times New Roman" w:hAnsi="Times New Roman"/>
                <w:color w:val="000000"/>
                <w:sz w:val="22"/>
                <w:szCs w:val="22"/>
                <w:lang w:val="sk-SK"/>
              </w:rPr>
              <w:t xml:space="preserve"> 10 mg v kombinácii s 20 mg simvastatínu</w:t>
            </w:r>
            <w:r w:rsidR="00220454" w:rsidRPr="00972868">
              <w:rPr>
                <w:rFonts w:ascii="Times New Roman" w:hAnsi="Times New Roman"/>
                <w:bCs/>
                <w:sz w:val="22"/>
                <w:szCs w:val="22"/>
                <w:lang w:val="sk-SK"/>
              </w:rPr>
              <w:br/>
              <w:t>(</w:t>
            </w:r>
            <w:r w:rsidR="00762E87">
              <w:rPr>
                <w:rFonts w:ascii="Times New Roman" w:hAnsi="Times New Roman"/>
                <w:bCs/>
                <w:sz w:val="22"/>
                <w:szCs w:val="22"/>
                <w:lang w:val="sk-SK"/>
              </w:rPr>
              <w:t>n</w:t>
            </w:r>
            <w:r w:rsidR="00220454" w:rsidRPr="00972868">
              <w:rPr>
                <w:rFonts w:ascii="Times New Roman" w:hAnsi="Times New Roman"/>
                <w:bCs/>
                <w:sz w:val="22"/>
                <w:szCs w:val="22"/>
                <w:lang w:val="sk-SK"/>
              </w:rPr>
              <w:t> = 4 650)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right w:val="nil"/>
            </w:tcBorders>
          </w:tcPr>
          <w:p w14:paraId="1DBC7B44" w14:textId="77777777" w:rsidR="00220454" w:rsidRPr="00972868" w:rsidRDefault="00382413" w:rsidP="00EE408A">
            <w:pPr>
              <w:pStyle w:val="Tablenormal"/>
              <w:keepLines w:val="0"/>
              <w:rPr>
                <w:rFonts w:ascii="Times New Roman" w:hAnsi="Times New Roman"/>
                <w:bCs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bCs/>
                <w:sz w:val="22"/>
                <w:szCs w:val="22"/>
                <w:u w:val="single"/>
                <w:lang w:val="sk-SK"/>
              </w:rPr>
              <w:t>p</w:t>
            </w:r>
            <w:r w:rsidR="00220454" w:rsidRPr="00972868">
              <w:rPr>
                <w:rFonts w:ascii="Times New Roman" w:hAnsi="Times New Roman"/>
                <w:bCs/>
                <w:sz w:val="22"/>
                <w:szCs w:val="22"/>
                <w:u w:val="single"/>
                <w:lang w:val="sk-SK"/>
              </w:rPr>
              <w:t>lacebo</w:t>
            </w:r>
            <w:r w:rsidR="00220454" w:rsidRPr="00972868">
              <w:rPr>
                <w:rFonts w:ascii="Times New Roman" w:hAnsi="Times New Roman"/>
                <w:bCs/>
                <w:sz w:val="22"/>
                <w:szCs w:val="22"/>
                <w:lang w:val="sk-SK"/>
              </w:rPr>
              <w:t xml:space="preserve"> </w:t>
            </w:r>
          </w:p>
          <w:p w14:paraId="62D1B0C6" w14:textId="77777777" w:rsidR="00220454" w:rsidRPr="00972868" w:rsidRDefault="00220454" w:rsidP="00762E87">
            <w:pPr>
              <w:pStyle w:val="Tablenormal"/>
              <w:keepLines w:val="0"/>
              <w:rPr>
                <w:rFonts w:ascii="Times New Roman" w:hAnsi="Times New Roman"/>
                <w:bCs/>
                <w:sz w:val="22"/>
                <w:szCs w:val="22"/>
                <w:u w:val="single"/>
                <w:lang w:val="sk-SK"/>
              </w:rPr>
            </w:pPr>
            <w:r w:rsidRPr="00972868">
              <w:rPr>
                <w:rFonts w:ascii="Times New Roman" w:hAnsi="Times New Roman"/>
                <w:bCs/>
                <w:sz w:val="22"/>
                <w:szCs w:val="22"/>
                <w:lang w:val="sk-SK"/>
              </w:rPr>
              <w:t>(</w:t>
            </w:r>
            <w:r w:rsidR="00762E87">
              <w:rPr>
                <w:rFonts w:ascii="Times New Roman" w:hAnsi="Times New Roman"/>
                <w:bCs/>
                <w:sz w:val="22"/>
                <w:szCs w:val="22"/>
                <w:lang w:val="sk-SK"/>
              </w:rPr>
              <w:t>n</w:t>
            </w:r>
            <w:r w:rsidRPr="00972868">
              <w:rPr>
                <w:rFonts w:ascii="Times New Roman" w:hAnsi="Times New Roman"/>
                <w:bCs/>
                <w:sz w:val="22"/>
                <w:szCs w:val="22"/>
                <w:lang w:val="sk-SK"/>
              </w:rPr>
              <w:t> = 4 620)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right w:val="nil"/>
            </w:tcBorders>
          </w:tcPr>
          <w:p w14:paraId="21778A4D" w14:textId="77777777" w:rsidR="00220454" w:rsidRPr="00972868" w:rsidRDefault="00382413" w:rsidP="00EE408A">
            <w:pPr>
              <w:pStyle w:val="Tablenormal"/>
              <w:keepLines w:val="0"/>
              <w:tabs>
                <w:tab w:val="decimal" w:pos="432"/>
              </w:tabs>
              <w:rPr>
                <w:rFonts w:ascii="Times New Roman" w:hAnsi="Times New Roman"/>
                <w:bCs/>
                <w:sz w:val="22"/>
                <w:szCs w:val="22"/>
                <w:u w:val="single"/>
                <w:lang w:val="sk-SK"/>
              </w:rPr>
            </w:pPr>
            <w:r w:rsidRPr="00972868">
              <w:rPr>
                <w:rFonts w:ascii="Times New Roman" w:hAnsi="Times New Roman"/>
                <w:bCs/>
                <w:sz w:val="22"/>
                <w:szCs w:val="22"/>
                <w:u w:val="single"/>
                <w:lang w:val="sk-SK"/>
              </w:rPr>
              <w:t>p</w:t>
            </w:r>
            <w:r w:rsidR="00220454" w:rsidRPr="00972868">
              <w:rPr>
                <w:rFonts w:ascii="Times New Roman" w:hAnsi="Times New Roman"/>
                <w:bCs/>
                <w:sz w:val="22"/>
                <w:szCs w:val="22"/>
                <w:u w:val="single"/>
                <w:lang w:val="sk-SK"/>
              </w:rPr>
              <w:t>omer rizika</w:t>
            </w:r>
          </w:p>
          <w:p w14:paraId="020174CF" w14:textId="77777777" w:rsidR="00220454" w:rsidRPr="00972868" w:rsidRDefault="00220454" w:rsidP="00EE408A">
            <w:pPr>
              <w:pStyle w:val="Tablenormal"/>
              <w:keepLines w:val="0"/>
              <w:rPr>
                <w:rFonts w:ascii="Times New Roman" w:hAnsi="Times New Roman"/>
                <w:bCs/>
                <w:sz w:val="22"/>
                <w:szCs w:val="22"/>
                <w:u w:val="single"/>
                <w:lang w:val="sk-SK"/>
              </w:rPr>
            </w:pPr>
            <w:r w:rsidRPr="00972868">
              <w:rPr>
                <w:rFonts w:ascii="Times New Roman" w:hAnsi="Times New Roman"/>
                <w:bCs/>
                <w:sz w:val="22"/>
                <w:szCs w:val="22"/>
                <w:u w:val="single"/>
                <w:lang w:val="sk-SK"/>
              </w:rPr>
              <w:t>(95 % IS)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right w:val="nil"/>
            </w:tcBorders>
          </w:tcPr>
          <w:p w14:paraId="0CEACB98" w14:textId="77777777" w:rsidR="00220454" w:rsidRPr="00972868" w:rsidRDefault="00220454" w:rsidP="00EE408A">
            <w:pPr>
              <w:pStyle w:val="Tablenormal"/>
              <w:keepLines w:val="0"/>
              <w:rPr>
                <w:rFonts w:ascii="Times New Roman" w:hAnsi="Times New Roman"/>
                <w:bCs/>
                <w:sz w:val="22"/>
                <w:szCs w:val="22"/>
                <w:u w:val="single"/>
                <w:lang w:val="sk-SK"/>
              </w:rPr>
            </w:pPr>
            <w:r w:rsidRPr="00972868">
              <w:rPr>
                <w:rFonts w:ascii="Times New Roman" w:hAnsi="Times New Roman"/>
                <w:bCs/>
                <w:sz w:val="22"/>
                <w:szCs w:val="22"/>
                <w:u w:val="single"/>
                <w:lang w:val="sk-SK"/>
              </w:rPr>
              <w:t>hodnota p</w:t>
            </w:r>
          </w:p>
        </w:tc>
      </w:tr>
      <w:tr w:rsidR="00220454" w:rsidRPr="00972868" w14:paraId="1F413714" w14:textId="77777777" w:rsidTr="00EE408A">
        <w:trPr>
          <w:cantSplit/>
        </w:trPr>
        <w:tc>
          <w:tcPr>
            <w:tcW w:w="2808" w:type="dxa"/>
            <w:tcBorders>
              <w:top w:val="single" w:sz="18" w:space="0" w:color="auto"/>
              <w:left w:val="nil"/>
              <w:right w:val="nil"/>
            </w:tcBorders>
          </w:tcPr>
          <w:p w14:paraId="2E8451A1" w14:textId="77777777" w:rsidR="00220454" w:rsidRPr="00972868" w:rsidRDefault="00220454" w:rsidP="00EE408A">
            <w:pPr>
              <w:pStyle w:val="Tablenormal"/>
              <w:keepLines w:val="0"/>
              <w:spacing w:before="120" w:after="120"/>
              <w:ind w:left="187" w:hanging="187"/>
              <w:rPr>
                <w:rFonts w:ascii="Times New Roman" w:hAnsi="Times New Roman"/>
                <w:bCs/>
                <w:sz w:val="22"/>
                <w:szCs w:val="22"/>
                <w:vertAlign w:val="superscript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Veľké vaskulárne príhody</w:t>
            </w:r>
          </w:p>
        </w:tc>
        <w:tc>
          <w:tcPr>
            <w:tcW w:w="1600" w:type="dxa"/>
            <w:tcBorders>
              <w:top w:val="single" w:sz="18" w:space="0" w:color="auto"/>
              <w:left w:val="nil"/>
              <w:right w:val="nil"/>
            </w:tcBorders>
          </w:tcPr>
          <w:p w14:paraId="253C6113" w14:textId="77777777" w:rsidR="00220454" w:rsidRPr="00972868" w:rsidRDefault="00220454" w:rsidP="00EE408A">
            <w:pPr>
              <w:pStyle w:val="Tablenormal"/>
              <w:keepLines w:val="0"/>
              <w:spacing w:before="120" w:after="12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701 (15,1 %)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right w:val="nil"/>
            </w:tcBorders>
          </w:tcPr>
          <w:p w14:paraId="1864CDFD" w14:textId="77777777" w:rsidR="00220454" w:rsidRPr="00972868" w:rsidRDefault="00220454" w:rsidP="00EE408A">
            <w:pPr>
              <w:pStyle w:val="Tablenormal"/>
              <w:keepLines w:val="0"/>
              <w:spacing w:before="120" w:after="12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814 (17,6 %)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right w:val="nil"/>
            </w:tcBorders>
          </w:tcPr>
          <w:p w14:paraId="6E3F27F4" w14:textId="77777777" w:rsidR="00220454" w:rsidRPr="00972868" w:rsidRDefault="00220454" w:rsidP="00EE408A">
            <w:pPr>
              <w:pStyle w:val="Tablenormal"/>
              <w:keepLines w:val="0"/>
              <w:tabs>
                <w:tab w:val="decimal" w:pos="-18"/>
                <w:tab w:val="decimal" w:pos="522"/>
              </w:tabs>
              <w:spacing w:before="120" w:after="12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0,85 (0,77 – 0,94)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right w:val="nil"/>
            </w:tcBorders>
          </w:tcPr>
          <w:p w14:paraId="07ECB750" w14:textId="77777777" w:rsidR="00220454" w:rsidRPr="00972868" w:rsidRDefault="00220454" w:rsidP="00EE408A">
            <w:pPr>
              <w:pStyle w:val="Tablenormal"/>
              <w:keepLines w:val="0"/>
              <w:spacing w:before="120" w:after="12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0,001</w:t>
            </w:r>
          </w:p>
        </w:tc>
      </w:tr>
      <w:tr w:rsidR="00220454" w:rsidRPr="00972868" w14:paraId="4F773CA8" w14:textId="77777777" w:rsidTr="00EE408A">
        <w:trPr>
          <w:cantSplit/>
        </w:trPr>
        <w:tc>
          <w:tcPr>
            <w:tcW w:w="2808" w:type="dxa"/>
            <w:tcBorders>
              <w:left w:val="nil"/>
              <w:bottom w:val="nil"/>
              <w:right w:val="nil"/>
            </w:tcBorders>
          </w:tcPr>
          <w:p w14:paraId="23EACAE4" w14:textId="77777777" w:rsidR="00220454" w:rsidRPr="00972868" w:rsidRDefault="00220454" w:rsidP="006B3FE8">
            <w:pPr>
              <w:pStyle w:val="Tablenormal"/>
              <w:keepLines w:val="0"/>
              <w:spacing w:before="120" w:after="120"/>
              <w:ind w:left="187" w:hanging="187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Nefatálny infarkt myokardu</w:t>
            </w: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</w:tcPr>
          <w:p w14:paraId="01765164" w14:textId="77777777" w:rsidR="00220454" w:rsidRPr="00972868" w:rsidRDefault="00220454" w:rsidP="00EE408A">
            <w:pPr>
              <w:pStyle w:val="Tablenormal"/>
              <w:keepLines w:val="0"/>
              <w:spacing w:before="60" w:after="6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134 (2,9 %)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331D2486" w14:textId="77777777" w:rsidR="00220454" w:rsidRPr="00972868" w:rsidRDefault="00220454" w:rsidP="00EE408A">
            <w:pPr>
              <w:pStyle w:val="Tablenormal"/>
              <w:keepLines w:val="0"/>
              <w:spacing w:before="60" w:after="6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159 (3,4 %)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000EEF31" w14:textId="77777777" w:rsidR="00220454" w:rsidRPr="00972868" w:rsidRDefault="00220454" w:rsidP="00EE408A">
            <w:pPr>
              <w:pStyle w:val="Tablenormal"/>
              <w:keepLines w:val="0"/>
              <w:tabs>
                <w:tab w:val="decimal" w:pos="-18"/>
                <w:tab w:val="decimal" w:pos="522"/>
              </w:tabs>
              <w:spacing w:before="60" w:after="6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0,84 (0,66 – 1,05)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57FAE6DB" w14:textId="77777777" w:rsidR="00220454" w:rsidRPr="00972868" w:rsidRDefault="00220454" w:rsidP="00EE408A">
            <w:pPr>
              <w:pStyle w:val="Tablenormal"/>
              <w:keepLines w:val="0"/>
              <w:spacing w:before="60" w:after="6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0,12</w:t>
            </w:r>
          </w:p>
        </w:tc>
      </w:tr>
      <w:tr w:rsidR="00220454" w:rsidRPr="00972868" w14:paraId="6E05DC59" w14:textId="77777777" w:rsidTr="00EE408A">
        <w:trPr>
          <w:cantSplit/>
        </w:trPr>
        <w:tc>
          <w:tcPr>
            <w:tcW w:w="2808" w:type="dxa"/>
            <w:tcBorders>
              <w:left w:val="nil"/>
              <w:bottom w:val="nil"/>
              <w:right w:val="nil"/>
            </w:tcBorders>
          </w:tcPr>
          <w:p w14:paraId="2C5EE7C7" w14:textId="77777777" w:rsidR="00220454" w:rsidRPr="00972868" w:rsidRDefault="00220454" w:rsidP="006B3FE8">
            <w:pPr>
              <w:pStyle w:val="Tablenormal"/>
              <w:keepLines w:val="0"/>
              <w:spacing w:before="120" w:after="120"/>
              <w:ind w:left="187" w:hanging="187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Kardiálne úmrtie</w:t>
            </w: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</w:tcPr>
          <w:p w14:paraId="4FEE829A" w14:textId="77777777" w:rsidR="00220454" w:rsidRPr="00972868" w:rsidRDefault="00220454" w:rsidP="00EE408A">
            <w:pPr>
              <w:pStyle w:val="Tablenormal"/>
              <w:keepNext w:val="0"/>
              <w:keepLines w:val="0"/>
              <w:spacing w:before="60" w:after="6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253 (5,4 %)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0C152876" w14:textId="77777777" w:rsidR="00220454" w:rsidRPr="00972868" w:rsidRDefault="00220454" w:rsidP="00EE408A">
            <w:pPr>
              <w:pStyle w:val="Tablenormal"/>
              <w:keepNext w:val="0"/>
              <w:keepLines w:val="0"/>
              <w:spacing w:before="60" w:after="6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272 (5,9 %)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22BDFA88" w14:textId="77777777" w:rsidR="00220454" w:rsidRPr="00972868" w:rsidRDefault="00220454" w:rsidP="00EE408A">
            <w:pPr>
              <w:pStyle w:val="Tablenormal"/>
              <w:keepNext w:val="0"/>
              <w:keepLines w:val="0"/>
              <w:tabs>
                <w:tab w:val="decimal" w:pos="-18"/>
                <w:tab w:val="decimal" w:pos="522"/>
              </w:tabs>
              <w:spacing w:before="60" w:after="6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0,93 (0,78 – 1,10)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6D40E7B4" w14:textId="77777777" w:rsidR="00220454" w:rsidRPr="00972868" w:rsidRDefault="00220454" w:rsidP="00EE408A">
            <w:pPr>
              <w:pStyle w:val="Tablenormal"/>
              <w:keepNext w:val="0"/>
              <w:keepLines w:val="0"/>
              <w:spacing w:before="60" w:after="6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0,38</w:t>
            </w:r>
          </w:p>
        </w:tc>
      </w:tr>
      <w:tr w:rsidR="00220454" w:rsidRPr="00972868" w14:paraId="0682B495" w14:textId="77777777" w:rsidTr="00EE408A">
        <w:trPr>
          <w:cantSplit/>
        </w:trPr>
        <w:tc>
          <w:tcPr>
            <w:tcW w:w="2808" w:type="dxa"/>
            <w:tcBorders>
              <w:left w:val="nil"/>
              <w:bottom w:val="nil"/>
              <w:right w:val="nil"/>
            </w:tcBorders>
          </w:tcPr>
          <w:p w14:paraId="71E33B30" w14:textId="77777777" w:rsidR="00220454" w:rsidRPr="00972868" w:rsidRDefault="00220454" w:rsidP="006B3FE8">
            <w:pPr>
              <w:pStyle w:val="Tablenormal"/>
              <w:keepLines w:val="0"/>
              <w:spacing w:before="120" w:after="120"/>
              <w:ind w:left="187" w:hanging="187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Akákoľvek cievna mozgová príhoda</w:t>
            </w: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</w:tcPr>
          <w:p w14:paraId="3562A031" w14:textId="77777777" w:rsidR="00220454" w:rsidRPr="00972868" w:rsidRDefault="00220454" w:rsidP="00EE408A">
            <w:pPr>
              <w:pStyle w:val="Tablenormal"/>
              <w:keepLines w:val="0"/>
              <w:spacing w:before="60" w:after="6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171 (3,7 %)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23A8461A" w14:textId="77777777" w:rsidR="00220454" w:rsidRPr="00972868" w:rsidRDefault="00220454" w:rsidP="00EE408A">
            <w:pPr>
              <w:pStyle w:val="Tablenormal"/>
              <w:keepLines w:val="0"/>
              <w:spacing w:before="60" w:after="6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210 (4,5 %)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0996262B" w14:textId="77777777" w:rsidR="00220454" w:rsidRPr="00972868" w:rsidRDefault="00220454" w:rsidP="00EE408A">
            <w:pPr>
              <w:pStyle w:val="Tablenormal"/>
              <w:keepLines w:val="0"/>
              <w:tabs>
                <w:tab w:val="decimal" w:pos="-18"/>
                <w:tab w:val="decimal" w:pos="522"/>
              </w:tabs>
              <w:spacing w:before="60" w:after="6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0,81 (0,66 – 0,99)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6043077A" w14:textId="77777777" w:rsidR="00220454" w:rsidRPr="00972868" w:rsidRDefault="00220454" w:rsidP="00EE408A">
            <w:pPr>
              <w:pStyle w:val="Tablenormal"/>
              <w:keepLines w:val="0"/>
              <w:spacing w:before="60" w:after="6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0,038</w:t>
            </w:r>
          </w:p>
        </w:tc>
      </w:tr>
      <w:tr w:rsidR="00220454" w:rsidRPr="00972868" w14:paraId="36A05048" w14:textId="77777777" w:rsidTr="00EE408A">
        <w:trPr>
          <w:cantSplit/>
        </w:trPr>
        <w:tc>
          <w:tcPr>
            <w:tcW w:w="2808" w:type="dxa"/>
            <w:tcBorders>
              <w:left w:val="nil"/>
              <w:bottom w:val="single" w:sz="4" w:space="0" w:color="auto"/>
              <w:right w:val="nil"/>
            </w:tcBorders>
          </w:tcPr>
          <w:p w14:paraId="5F5662C3" w14:textId="77777777" w:rsidR="00220454" w:rsidRPr="00972868" w:rsidRDefault="00220454" w:rsidP="006B3FE8">
            <w:pPr>
              <w:pStyle w:val="Tablenormal"/>
              <w:keepLines w:val="0"/>
              <w:spacing w:before="120" w:after="120"/>
              <w:ind w:left="187" w:hanging="187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Nehemoragická cievna mozgová príhoda</w:t>
            </w:r>
          </w:p>
        </w:tc>
        <w:tc>
          <w:tcPr>
            <w:tcW w:w="1600" w:type="dxa"/>
            <w:tcBorders>
              <w:left w:val="nil"/>
              <w:bottom w:val="single" w:sz="4" w:space="0" w:color="auto"/>
              <w:right w:val="nil"/>
            </w:tcBorders>
          </w:tcPr>
          <w:p w14:paraId="1017BA3E" w14:textId="77777777" w:rsidR="00220454" w:rsidRPr="00972868" w:rsidRDefault="00220454" w:rsidP="00EE408A">
            <w:pPr>
              <w:pStyle w:val="Tablenormal"/>
              <w:keepNext w:val="0"/>
              <w:keepLines w:val="0"/>
              <w:spacing w:before="60" w:after="6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131 (2,8 %)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7950A979" w14:textId="77777777" w:rsidR="00220454" w:rsidRPr="00972868" w:rsidRDefault="00220454" w:rsidP="00EE408A">
            <w:pPr>
              <w:pStyle w:val="Tablenormal"/>
              <w:keepNext w:val="0"/>
              <w:keepLines w:val="0"/>
              <w:spacing w:before="60" w:after="6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174 (3,8 %)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268275B4" w14:textId="77777777" w:rsidR="00220454" w:rsidRPr="00972868" w:rsidRDefault="00220454" w:rsidP="00EE408A">
            <w:pPr>
              <w:pStyle w:val="Tablenormal"/>
              <w:keepNext w:val="0"/>
              <w:keepLines w:val="0"/>
              <w:tabs>
                <w:tab w:val="decimal" w:pos="-18"/>
                <w:tab w:val="decimal" w:pos="522"/>
              </w:tabs>
              <w:spacing w:before="60" w:after="6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0,75 (0,60 – 0,94)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5EA3FD9" w14:textId="77777777" w:rsidR="00220454" w:rsidRPr="00972868" w:rsidRDefault="00220454" w:rsidP="00EE408A">
            <w:pPr>
              <w:pStyle w:val="Tablenormal"/>
              <w:keepNext w:val="0"/>
              <w:keepLines w:val="0"/>
              <w:spacing w:before="60" w:after="6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0,011</w:t>
            </w:r>
          </w:p>
        </w:tc>
      </w:tr>
      <w:tr w:rsidR="00220454" w:rsidRPr="00972868" w14:paraId="36CC160D" w14:textId="77777777" w:rsidTr="00EE408A">
        <w:trPr>
          <w:cantSplit/>
        </w:trPr>
        <w:tc>
          <w:tcPr>
            <w:tcW w:w="2808" w:type="dxa"/>
            <w:tcBorders>
              <w:left w:val="nil"/>
              <w:bottom w:val="single" w:sz="4" w:space="0" w:color="auto"/>
              <w:right w:val="nil"/>
            </w:tcBorders>
          </w:tcPr>
          <w:p w14:paraId="3F34BC17" w14:textId="77777777" w:rsidR="00220454" w:rsidRPr="00972868" w:rsidRDefault="00220454" w:rsidP="006B3FE8">
            <w:pPr>
              <w:pStyle w:val="Tablenormal"/>
              <w:keepLines w:val="0"/>
              <w:spacing w:before="120" w:after="120"/>
              <w:ind w:left="187" w:hanging="187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Hemoragická cievna mozgová príhoda</w:t>
            </w:r>
          </w:p>
        </w:tc>
        <w:tc>
          <w:tcPr>
            <w:tcW w:w="1600" w:type="dxa"/>
            <w:tcBorders>
              <w:left w:val="nil"/>
              <w:bottom w:val="single" w:sz="4" w:space="0" w:color="auto"/>
              <w:right w:val="nil"/>
            </w:tcBorders>
          </w:tcPr>
          <w:p w14:paraId="65208157" w14:textId="77777777" w:rsidR="00220454" w:rsidRPr="00972868" w:rsidRDefault="00220454" w:rsidP="00EE408A">
            <w:pPr>
              <w:pStyle w:val="Tablenormal"/>
              <w:keepNext w:val="0"/>
              <w:keepLines w:val="0"/>
              <w:spacing w:before="60" w:after="6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45 (1,0 %)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2B0ECF48" w14:textId="77777777" w:rsidR="00220454" w:rsidRPr="00972868" w:rsidRDefault="00220454" w:rsidP="00EE408A">
            <w:pPr>
              <w:pStyle w:val="Tablenormal"/>
              <w:keepNext w:val="0"/>
              <w:keepLines w:val="0"/>
              <w:spacing w:before="60" w:after="6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37 (0,8 %)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7232CD7A" w14:textId="77777777" w:rsidR="00220454" w:rsidRPr="00972868" w:rsidRDefault="00220454" w:rsidP="00EE408A">
            <w:pPr>
              <w:pStyle w:val="Tablenormal"/>
              <w:keepNext w:val="0"/>
              <w:keepLines w:val="0"/>
              <w:tabs>
                <w:tab w:val="decimal" w:pos="-18"/>
                <w:tab w:val="decimal" w:pos="522"/>
              </w:tabs>
              <w:spacing w:before="60" w:after="6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1,21 (0,78 – 1,86)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2201B6BC" w14:textId="77777777" w:rsidR="00220454" w:rsidRPr="00972868" w:rsidRDefault="00220454" w:rsidP="00EE408A">
            <w:pPr>
              <w:pStyle w:val="Tablenormal"/>
              <w:keepNext w:val="0"/>
              <w:keepLines w:val="0"/>
              <w:spacing w:before="60" w:after="6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0,40</w:t>
            </w:r>
          </w:p>
        </w:tc>
      </w:tr>
      <w:tr w:rsidR="00220454" w:rsidRPr="00972868" w14:paraId="2A10E2C7" w14:textId="77777777" w:rsidTr="00EE408A">
        <w:trPr>
          <w:cantSplit/>
        </w:trPr>
        <w:tc>
          <w:tcPr>
            <w:tcW w:w="2808" w:type="dxa"/>
            <w:tcBorders>
              <w:left w:val="nil"/>
              <w:right w:val="nil"/>
            </w:tcBorders>
          </w:tcPr>
          <w:p w14:paraId="4E76BCB3" w14:textId="77777777" w:rsidR="00220454" w:rsidRPr="00972868" w:rsidRDefault="00220454" w:rsidP="006B3FE8">
            <w:pPr>
              <w:pStyle w:val="Tablenormal"/>
              <w:keepLines w:val="0"/>
              <w:spacing w:before="120" w:after="120"/>
              <w:ind w:left="187" w:hanging="187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Akákoľvek revaskularizácia</w:t>
            </w:r>
          </w:p>
        </w:tc>
        <w:tc>
          <w:tcPr>
            <w:tcW w:w="1600" w:type="dxa"/>
            <w:tcBorders>
              <w:left w:val="nil"/>
              <w:right w:val="nil"/>
            </w:tcBorders>
          </w:tcPr>
          <w:p w14:paraId="3C31FFE9" w14:textId="77777777" w:rsidR="00220454" w:rsidRPr="00972868" w:rsidRDefault="00220454" w:rsidP="00EE408A">
            <w:pPr>
              <w:pStyle w:val="Tablenormal"/>
              <w:keepNext w:val="0"/>
              <w:keepLines w:val="0"/>
              <w:spacing w:before="60" w:after="6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284 (6,1 %)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65336229" w14:textId="77777777" w:rsidR="00220454" w:rsidRPr="00972868" w:rsidRDefault="00220454" w:rsidP="00EE408A">
            <w:pPr>
              <w:pStyle w:val="Tablenormal"/>
              <w:keepNext w:val="0"/>
              <w:keepLines w:val="0"/>
              <w:spacing w:before="60" w:after="6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352 (7,6 %)</w:t>
            </w: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7F49BAE6" w14:textId="77777777" w:rsidR="00220454" w:rsidRPr="00972868" w:rsidRDefault="00220454" w:rsidP="00EE408A">
            <w:pPr>
              <w:pStyle w:val="Tablenormal"/>
              <w:keepNext w:val="0"/>
              <w:keepLines w:val="0"/>
              <w:tabs>
                <w:tab w:val="decimal" w:pos="-18"/>
                <w:tab w:val="decimal" w:pos="522"/>
              </w:tabs>
              <w:spacing w:before="60" w:after="6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0,79 (0,68 – 0,93)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4A93FAFF" w14:textId="77777777" w:rsidR="00220454" w:rsidRPr="00972868" w:rsidRDefault="00220454" w:rsidP="00EE408A">
            <w:pPr>
              <w:pStyle w:val="Tablenormal"/>
              <w:keepNext w:val="0"/>
              <w:keepLines w:val="0"/>
              <w:spacing w:before="60" w:after="6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0,004</w:t>
            </w:r>
          </w:p>
        </w:tc>
      </w:tr>
      <w:tr w:rsidR="00220454" w:rsidRPr="00972868" w14:paraId="4D3146C7" w14:textId="77777777" w:rsidTr="00EE408A">
        <w:trPr>
          <w:cantSplit/>
        </w:trPr>
        <w:tc>
          <w:tcPr>
            <w:tcW w:w="2808" w:type="dxa"/>
            <w:tcBorders>
              <w:left w:val="nil"/>
              <w:bottom w:val="single" w:sz="4" w:space="0" w:color="auto"/>
              <w:right w:val="nil"/>
            </w:tcBorders>
          </w:tcPr>
          <w:p w14:paraId="64D8B379" w14:textId="77777777" w:rsidR="00220454" w:rsidRPr="00972868" w:rsidDel="003258B2" w:rsidRDefault="00220454" w:rsidP="00EE408A">
            <w:pPr>
              <w:pStyle w:val="Tablenormal"/>
              <w:keepLines w:val="0"/>
              <w:spacing w:before="60" w:after="6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Veľké aterosklerotické príhody (</w:t>
            </w:r>
            <w:r w:rsidR="00E30F7F" w:rsidRPr="00E564E6">
              <w:rPr>
                <w:rFonts w:ascii="Times New Roman" w:hAnsi="Times New Roman"/>
                <w:sz w:val="22"/>
                <w:szCs w:val="22"/>
                <w:lang w:val="sk-SK"/>
              </w:rPr>
              <w:t>Major Atherosclerotic Events</w:t>
            </w:r>
            <w:r w:rsidR="00E30F7F">
              <w:rPr>
                <w:rFonts w:ascii="Times New Roman" w:hAnsi="Times New Roman"/>
                <w:sz w:val="22"/>
                <w:szCs w:val="22"/>
                <w:lang w:val="sk-SK"/>
              </w:rPr>
              <w:t>,</w:t>
            </w:r>
            <w:r w:rsidR="00E30F7F" w:rsidRPr="00972868">
              <w:rPr>
                <w:rFonts w:ascii="Times New Roman" w:hAnsi="Times New Roman"/>
                <w:sz w:val="22"/>
                <w:szCs w:val="22"/>
                <w:lang w:val="sk-SK"/>
              </w:rPr>
              <w:t xml:space="preserve"> </w:t>
            </w: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MAE)</w:t>
            </w:r>
            <w:r w:rsidRPr="00972868">
              <w:rPr>
                <w:rFonts w:ascii="Times New Roman" w:hAnsi="Times New Roman"/>
                <w:sz w:val="22"/>
                <w:szCs w:val="22"/>
                <w:vertAlign w:val="superscript"/>
                <w:lang w:val="sk-SK"/>
              </w:rPr>
              <w:t>b</w:t>
            </w:r>
          </w:p>
        </w:tc>
        <w:tc>
          <w:tcPr>
            <w:tcW w:w="1600" w:type="dxa"/>
            <w:tcBorders>
              <w:left w:val="nil"/>
              <w:bottom w:val="single" w:sz="4" w:space="0" w:color="auto"/>
              <w:right w:val="nil"/>
            </w:tcBorders>
          </w:tcPr>
          <w:p w14:paraId="686A1839" w14:textId="77777777" w:rsidR="00220454" w:rsidRPr="00972868" w:rsidDel="003258B2" w:rsidRDefault="00220454" w:rsidP="00EE408A">
            <w:pPr>
              <w:pStyle w:val="Tablenormal"/>
              <w:keepNext w:val="0"/>
              <w:keepLines w:val="0"/>
              <w:spacing w:before="60" w:after="6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526 (11,3 %)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493038CB" w14:textId="77777777" w:rsidR="00220454" w:rsidRPr="00972868" w:rsidDel="003258B2" w:rsidRDefault="00220454" w:rsidP="00EE408A">
            <w:pPr>
              <w:pStyle w:val="Tablenormal"/>
              <w:keepNext w:val="0"/>
              <w:keepLines w:val="0"/>
              <w:spacing w:before="60" w:after="60"/>
              <w:rPr>
                <w:rFonts w:ascii="Times New Roman" w:hAnsi="Times New Roman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z w:val="22"/>
                <w:szCs w:val="22"/>
                <w:lang w:val="sk-SK"/>
              </w:rPr>
              <w:t>619 (13,4 %)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59FFA7C6" w14:textId="77777777" w:rsidR="00220454" w:rsidRPr="00972868" w:rsidDel="003258B2" w:rsidRDefault="00220454" w:rsidP="00EE408A">
            <w:pPr>
              <w:pStyle w:val="Tablenormal"/>
              <w:keepNext w:val="0"/>
              <w:keepLines w:val="0"/>
              <w:tabs>
                <w:tab w:val="decimal" w:pos="-18"/>
                <w:tab w:val="decimal" w:pos="522"/>
              </w:tabs>
              <w:spacing w:before="60" w:after="6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0,83 (0,74 – 0,94)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3FD44393" w14:textId="77777777" w:rsidR="00220454" w:rsidRPr="00972868" w:rsidDel="003258B2" w:rsidRDefault="00220454" w:rsidP="00EE408A">
            <w:pPr>
              <w:pStyle w:val="Tablenormal"/>
              <w:keepNext w:val="0"/>
              <w:keepLines w:val="0"/>
              <w:spacing w:before="60" w:after="60"/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</w:pPr>
            <w:r w:rsidRPr="00972868">
              <w:rPr>
                <w:rFonts w:ascii="Times New Roman" w:hAnsi="Times New Roman"/>
                <w:snapToGrid w:val="0"/>
                <w:sz w:val="22"/>
                <w:szCs w:val="22"/>
                <w:lang w:val="sk-SK"/>
              </w:rPr>
              <w:t>0,002</w:t>
            </w:r>
          </w:p>
        </w:tc>
      </w:tr>
    </w:tbl>
    <w:p w14:paraId="76751B1A" w14:textId="77777777" w:rsidR="00220454" w:rsidRPr="00972868" w:rsidRDefault="00220454" w:rsidP="00220454">
      <w:pPr>
        <w:keepNext/>
        <w:tabs>
          <w:tab w:val="left" w:pos="170"/>
        </w:tabs>
        <w:spacing w:after="0"/>
        <w:ind w:left="170" w:hanging="170"/>
        <w:rPr>
          <w:sz w:val="16"/>
          <w:szCs w:val="16"/>
        </w:rPr>
      </w:pPr>
      <w:r w:rsidRPr="00972868">
        <w:rPr>
          <w:sz w:val="22"/>
          <w:szCs w:val="22"/>
          <w:vertAlign w:val="superscript"/>
        </w:rPr>
        <w:t>a</w:t>
      </w:r>
      <w:r w:rsidRPr="00972868">
        <w:rPr>
          <w:sz w:val="22"/>
          <w:szCs w:val="22"/>
        </w:rPr>
        <w:tab/>
      </w:r>
      <w:r w:rsidRPr="00972868">
        <w:rPr>
          <w:sz w:val="16"/>
          <w:szCs w:val="16"/>
        </w:rPr>
        <w:t>Analýza podľa liečebného zámeru u všetkých pacientov v </w:t>
      </w:r>
      <w:r w:rsidR="00A244A5">
        <w:rPr>
          <w:sz w:val="16"/>
          <w:szCs w:val="16"/>
        </w:rPr>
        <w:t>skúšaní</w:t>
      </w:r>
      <w:r w:rsidRPr="00972868">
        <w:rPr>
          <w:sz w:val="16"/>
          <w:szCs w:val="16"/>
        </w:rPr>
        <w:t xml:space="preserve"> SHARP randomizovaných na </w:t>
      </w:r>
      <w:r w:rsidR="00382413" w:rsidRPr="00972868">
        <w:rPr>
          <w:sz w:val="16"/>
          <w:szCs w:val="16"/>
        </w:rPr>
        <w:t>ezetimib</w:t>
      </w:r>
      <w:r w:rsidRPr="00972868">
        <w:rPr>
          <w:sz w:val="16"/>
          <w:szCs w:val="16"/>
        </w:rPr>
        <w:t xml:space="preserve"> v kombinácii so simvastatínom alebo placebo buď na začiatku</w:t>
      </w:r>
      <w:r w:rsidR="00382413" w:rsidRPr="00972868">
        <w:rPr>
          <w:sz w:val="16"/>
          <w:szCs w:val="16"/>
        </w:rPr>
        <w:t>,</w:t>
      </w:r>
      <w:r w:rsidRPr="00972868">
        <w:rPr>
          <w:sz w:val="16"/>
          <w:szCs w:val="16"/>
        </w:rPr>
        <w:t xml:space="preserve"> alebo po 1. roku.</w:t>
      </w:r>
    </w:p>
    <w:p w14:paraId="059DBA59" w14:textId="77777777" w:rsidR="00220454" w:rsidRPr="00972868" w:rsidRDefault="00220454" w:rsidP="00220454">
      <w:pPr>
        <w:pStyle w:val="Footnote"/>
        <w:keepLines w:val="0"/>
        <w:tabs>
          <w:tab w:val="clear" w:pos="317"/>
          <w:tab w:val="clear" w:pos="346"/>
          <w:tab w:val="left" w:pos="170"/>
        </w:tabs>
        <w:ind w:left="170" w:hanging="170"/>
        <w:rPr>
          <w:rFonts w:ascii="Times New Roman" w:hAnsi="Times New Roman"/>
          <w:sz w:val="16"/>
          <w:szCs w:val="16"/>
          <w:lang w:val="sk-SK"/>
        </w:rPr>
      </w:pPr>
      <w:r w:rsidRPr="00972868">
        <w:rPr>
          <w:rFonts w:ascii="Times New Roman" w:hAnsi="Times New Roman"/>
          <w:sz w:val="16"/>
          <w:szCs w:val="16"/>
          <w:vertAlign w:val="superscript"/>
          <w:lang w:val="sk-SK"/>
        </w:rPr>
        <w:t>b</w:t>
      </w:r>
      <w:r w:rsidRPr="00972868">
        <w:rPr>
          <w:rFonts w:ascii="Times New Roman" w:hAnsi="Times New Roman"/>
          <w:sz w:val="16"/>
          <w:szCs w:val="16"/>
          <w:lang w:val="sk-SK"/>
        </w:rPr>
        <w:tab/>
        <w:t>MAE; definované ako súbor nefatálneho infarktu myokardu, koronárneho úmrtia, nehemoragickej cievnej mozgovej príhody alebo akejkoľvek revaskularizácie.</w:t>
      </w:r>
    </w:p>
    <w:p w14:paraId="0F028C3A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6FCA40C5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lastRenderedPageBreak/>
        <w:t xml:space="preserve">Absolútne zníženie LDL cholesterolu dosiahnuté </w:t>
      </w:r>
      <w:r w:rsidR="00382413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 v kombinácii so simvastatínom medzi pacientmi s nižšou východiskovou hladinou LDL-C </w:t>
      </w:r>
      <w:r w:rsidRPr="00972868">
        <w:rPr>
          <w:bCs/>
          <w:sz w:val="22"/>
          <w:szCs w:val="22"/>
        </w:rPr>
        <w:t>(&lt;</w:t>
      </w:r>
      <w:r w:rsidRPr="00972868">
        <w:rPr>
          <w:sz w:val="22"/>
          <w:szCs w:val="22"/>
        </w:rPr>
        <w:t> </w:t>
      </w:r>
      <w:r w:rsidRPr="00972868">
        <w:rPr>
          <w:bCs/>
          <w:sz w:val="22"/>
          <w:szCs w:val="22"/>
        </w:rPr>
        <w:t xml:space="preserve">2,5 mmol/l) a pacientmi podstupujúcimi pri vstupe do </w:t>
      </w:r>
      <w:r w:rsidR="00A244A5">
        <w:rPr>
          <w:bCs/>
          <w:sz w:val="22"/>
          <w:szCs w:val="22"/>
        </w:rPr>
        <w:t>skúšania</w:t>
      </w:r>
      <w:r w:rsidRPr="00972868">
        <w:rPr>
          <w:bCs/>
          <w:sz w:val="22"/>
          <w:szCs w:val="22"/>
        </w:rPr>
        <w:t xml:space="preserve"> dialýzu bolo </w:t>
      </w:r>
      <w:r w:rsidRPr="00972868">
        <w:rPr>
          <w:sz w:val="22"/>
          <w:szCs w:val="22"/>
        </w:rPr>
        <w:t>nižšie</w:t>
      </w:r>
      <w:r w:rsidRPr="00972868">
        <w:rPr>
          <w:bCs/>
          <w:sz w:val="22"/>
          <w:szCs w:val="22"/>
        </w:rPr>
        <w:t xml:space="preserve"> ako u ostatných pacientov a zodpovedajúce zníženia rizika v týchto dvoch skupinách boli zoslabené.</w:t>
      </w:r>
    </w:p>
    <w:p w14:paraId="3D23AC25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1C8FD48C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sz w:val="22"/>
          <w:szCs w:val="22"/>
        </w:rPr>
      </w:pPr>
      <w:r w:rsidRPr="00972868">
        <w:rPr>
          <w:i/>
          <w:sz w:val="22"/>
          <w:szCs w:val="22"/>
        </w:rPr>
        <w:t>Aortálna stenóza</w:t>
      </w:r>
    </w:p>
    <w:p w14:paraId="54D9AED0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Multicentrick</w:t>
      </w:r>
      <w:r w:rsidR="00B967B5">
        <w:rPr>
          <w:sz w:val="22"/>
          <w:szCs w:val="22"/>
        </w:rPr>
        <w:t>é</w:t>
      </w:r>
      <w:r w:rsidRPr="00972868">
        <w:rPr>
          <w:sz w:val="22"/>
          <w:szCs w:val="22"/>
        </w:rPr>
        <w:t>, dvojito zaslepen</w:t>
      </w:r>
      <w:r w:rsidR="00B967B5">
        <w:rPr>
          <w:sz w:val="22"/>
          <w:szCs w:val="22"/>
        </w:rPr>
        <w:t>é</w:t>
      </w:r>
      <w:r w:rsidRPr="00972868">
        <w:rPr>
          <w:sz w:val="22"/>
          <w:szCs w:val="22"/>
        </w:rPr>
        <w:t>, placebom kontrolovan</w:t>
      </w:r>
      <w:r w:rsidR="00B967B5">
        <w:rPr>
          <w:sz w:val="22"/>
          <w:szCs w:val="22"/>
        </w:rPr>
        <w:t>é</w:t>
      </w:r>
      <w:r w:rsidRPr="00972868">
        <w:rPr>
          <w:sz w:val="22"/>
          <w:szCs w:val="22"/>
        </w:rPr>
        <w:t xml:space="preserve"> </w:t>
      </w:r>
      <w:r w:rsidR="00B967B5">
        <w:rPr>
          <w:sz w:val="22"/>
          <w:szCs w:val="22"/>
        </w:rPr>
        <w:t>skúšanie</w:t>
      </w:r>
      <w:r w:rsidRPr="00972868">
        <w:rPr>
          <w:sz w:val="22"/>
          <w:szCs w:val="22"/>
        </w:rPr>
        <w:t xml:space="preserve"> „Simvastatín a </w:t>
      </w:r>
      <w:r w:rsidR="00FC144C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na liečbu aortálnej stenózy“ (Simvastatin and Ezetimibe for the Treatment of Aortic Stenosis, SEAS) s mediánom trvania 4,4 rokov sa uskutočnil</w:t>
      </w:r>
      <w:r w:rsidR="00B967B5">
        <w:rPr>
          <w:sz w:val="22"/>
          <w:szCs w:val="22"/>
        </w:rPr>
        <w:t>o</w:t>
      </w:r>
      <w:r w:rsidRPr="00972868">
        <w:rPr>
          <w:sz w:val="22"/>
          <w:szCs w:val="22"/>
        </w:rPr>
        <w:t xml:space="preserve"> u 1 873 pacientov s asymptomatickou aortálnou stenózou (AS) zdokumentovanou pomocou Dopplerovho merania maximálnej rýchlosti prúdenia aortou v rozmedzí 2,5 až 4,0 m/s. Do </w:t>
      </w:r>
      <w:r w:rsidR="00B967B5">
        <w:rPr>
          <w:sz w:val="22"/>
          <w:szCs w:val="22"/>
        </w:rPr>
        <w:t>skúšania</w:t>
      </w:r>
      <w:r w:rsidRPr="00972868">
        <w:rPr>
          <w:sz w:val="22"/>
          <w:szCs w:val="22"/>
        </w:rPr>
        <w:t xml:space="preserve"> boli zaradení len tí pacienti, u ktorých sa zvážilo, že nie je potrebná liečba statínmi za účelom zníženia rizika aterosklerotického kardiovaskulárneho ochorenia. Pacienti boli randomizovaní v pomere 1:1 a dostávali placebo alebo im bol denne súbežne podávaný ezetimib 10 mg a simvastatín 40 mg.</w:t>
      </w:r>
    </w:p>
    <w:p w14:paraId="3E1444FE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AA79F8A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Primárnym cieľovým ukazovateľom bol súbor veľkých kardiovaskulárnych udalostí (major cardiovascular events, MCE) pozostávajúci z kardiovaskulárneho úmrtia, chirurgickej náhrady aortálnej chlopne (aortic valve replacement, AVR), kongestívneho srdcového zlyhania (congestive heart failure, CHF) v dôsledku progresie AS, nefatálneho infarktu myokardu, bypassu koronárnej artérie (coronary artery bypass grafting, CABG), perkutánnej koronárnej intervencie (percutaneous coronary intervention, PCI), hospitalizácie pre nestabilnú angínu pectoris a nehemoragickej cievnej mozgovej príhody. Sekundárnymi cieľovými ukazovateľmi boli súbory podskupín kategórií udalostí primárneho cieľového ukazovateľa.</w:t>
      </w:r>
    </w:p>
    <w:p w14:paraId="7BA02DB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4B07F691" w14:textId="77777777" w:rsidR="00220454" w:rsidRPr="00972868" w:rsidRDefault="00382413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E</w:t>
      </w:r>
      <w:r w:rsidR="00FC144C" w:rsidRPr="00972868">
        <w:rPr>
          <w:sz w:val="22"/>
          <w:szCs w:val="22"/>
        </w:rPr>
        <w:t>zetimib</w:t>
      </w:r>
      <w:r w:rsidR="00220454" w:rsidRPr="00972868">
        <w:rPr>
          <w:sz w:val="22"/>
          <w:szCs w:val="22"/>
        </w:rPr>
        <w:t>/simvastatín 10/40 mg v porovnaní s placebom signifikantne neznížili riziko MCE.</w:t>
      </w:r>
    </w:p>
    <w:p w14:paraId="0B8AEE0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Primárny výsledok sa vyskytol u 333 pacientov (35,3 %) v skupine ezetimib/simvastatín a u 355 pacientov (38,2 %) v skupine s placebom (pomer rizika v skupine ezetimib/simvastatín 0,96; 95 % interval spoľahlivosti 0,83 až 1,12; p = 0,59). Náhrada aortálnej chlopne sa uskutočnila u 267 pacientov (28,3 %) v skupine ezetimib/simvastatín a u 278 pacientov (29,9 %) v skupine s placebom (pomer rizika 1,00; 95 % IS 0,84 až 1,18; p = 0,97). V skupine ezetimib/simvastatín (n = 148) malo menej pacientov ischemické kardiovaskulárne príhody ako v skupine s placebom (n = 187) (pomer rizika 0,78; 95 % IS 0,63 až 0,97; p = 0,02) predovšetkým kvôli menšiemu počtu pacientov, ktorí podstúpili bypass koronárnej artérie.</w:t>
      </w:r>
    </w:p>
    <w:p w14:paraId="6BDA0B62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6F3991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V skupine ezetimib/simvastatín sa častejšie vyskytovala rakovina (105 oproti 70, p = 0,01). Klinický význam tohto zistenia nie je jasný, pretože vo väčšom skúšaní SHARP sa celkový počet pacientov s akýmkoľvek výskytom rakoviny (438 pri ezetimibe/simvastatíne oproti 439 v skupine s placebom) nelíšil, a preto zistenie zo skúšania SEAS nie je možné potvrdiť skúšaním SHARP.</w:t>
      </w:r>
    </w:p>
    <w:p w14:paraId="6A444C1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5927CE31" w14:textId="77777777" w:rsidR="00220454" w:rsidRPr="00972868" w:rsidRDefault="00220454" w:rsidP="00220454">
      <w:pPr>
        <w:pStyle w:val="Predmetkomentra"/>
        <w:keepNext/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5.2</w:t>
      </w:r>
      <w:r w:rsidRPr="00972868">
        <w:rPr>
          <w:sz w:val="22"/>
          <w:szCs w:val="22"/>
        </w:rPr>
        <w:tab/>
        <w:t>Farmakokinetické vlastnosti</w:t>
      </w:r>
    </w:p>
    <w:p w14:paraId="671E24B6" w14:textId="77777777" w:rsidR="00220454" w:rsidRPr="00972868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0A733E13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  <w:u w:val="single"/>
        </w:rPr>
        <w:t>Absorpcia</w:t>
      </w:r>
    </w:p>
    <w:p w14:paraId="02211E39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Po perorálnom podaní je ezetimib rýchlo absorbovaný a extenzívne konjugovaný na farmakologicky aktívny fenolový glukuronid (ezetimib-glukuronid). Priemerné maximálne plazmatické koncentrácie (C</w:t>
      </w:r>
      <w:r w:rsidRPr="00972868">
        <w:rPr>
          <w:sz w:val="22"/>
          <w:szCs w:val="22"/>
          <w:vertAlign w:val="subscript"/>
        </w:rPr>
        <w:t>max</w:t>
      </w:r>
      <w:r w:rsidRPr="00972868">
        <w:rPr>
          <w:sz w:val="22"/>
          <w:szCs w:val="22"/>
        </w:rPr>
        <w:t>) ezetimib-glukuronidu sa dosiahnu za 1 až 2 hodiny a ezetimibu za 4 až 12 hodín. Absolútnu biologickú dostupnosť ezetimibu nemožno stanoviť, pretože zlúčenina je prakticky nerozpustná vo vodných médiách vhodných na injekciu.</w:t>
      </w:r>
    </w:p>
    <w:p w14:paraId="4B91107A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1731F2C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Súbežné podanie jedla (jedál s vysokým obsahom tukov alebo bez tuku) nemalo žiadny vplyv na biologickú dostupnosť</w:t>
      </w:r>
      <w:r w:rsidR="000E4B24">
        <w:rPr>
          <w:sz w:val="22"/>
          <w:szCs w:val="22"/>
        </w:rPr>
        <w:t xml:space="preserve"> ezetimibu po perorálnom podaní</w:t>
      </w:r>
      <w:r w:rsidRPr="00972868">
        <w:rPr>
          <w:sz w:val="22"/>
          <w:szCs w:val="22"/>
        </w:rPr>
        <w:t xml:space="preserve"> podávaného ako </w:t>
      </w:r>
      <w:r w:rsidR="007B3770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10</w:t>
      </w:r>
      <w:r w:rsidR="000E4B24">
        <w:rPr>
          <w:sz w:val="22"/>
          <w:szCs w:val="22"/>
        </w:rPr>
        <w:t>-miligramové</w:t>
      </w:r>
      <w:r w:rsidRPr="00972868">
        <w:rPr>
          <w:sz w:val="22"/>
          <w:szCs w:val="22"/>
        </w:rPr>
        <w:t xml:space="preserve"> tablety. </w:t>
      </w:r>
      <w:r w:rsidR="007B3770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sa môže podávať s jedlom alebo bez jedla.</w:t>
      </w:r>
    </w:p>
    <w:p w14:paraId="723AF688" w14:textId="77777777" w:rsidR="00220454" w:rsidRPr="00972868" w:rsidRDefault="00220454" w:rsidP="00220454">
      <w:pPr>
        <w:adjustRightInd w:val="0"/>
        <w:snapToGrid w:val="0"/>
        <w:spacing w:after="0"/>
        <w:rPr>
          <w:b/>
          <w:i/>
          <w:sz w:val="22"/>
          <w:szCs w:val="22"/>
        </w:rPr>
      </w:pPr>
    </w:p>
    <w:p w14:paraId="5B10BB7C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  <w:u w:val="single"/>
        </w:rPr>
        <w:t>Distribúcia</w:t>
      </w:r>
    </w:p>
    <w:p w14:paraId="2BF57C75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99,7 % ezetimibu a 88 až 92 % ezetimib-glukuronidu sa viaže na </w:t>
      </w:r>
      <w:r w:rsidR="000E4B24">
        <w:rPr>
          <w:sz w:val="22"/>
          <w:szCs w:val="22"/>
        </w:rPr>
        <w:t xml:space="preserve">plazmatické </w:t>
      </w:r>
      <w:r w:rsidRPr="00972868">
        <w:rPr>
          <w:sz w:val="22"/>
          <w:szCs w:val="22"/>
        </w:rPr>
        <w:t>proteíny.</w:t>
      </w:r>
    </w:p>
    <w:p w14:paraId="03B46A60" w14:textId="77777777" w:rsidR="00220454" w:rsidRPr="00972868" w:rsidRDefault="00220454" w:rsidP="00220454">
      <w:pPr>
        <w:adjustRightInd w:val="0"/>
        <w:snapToGrid w:val="0"/>
        <w:spacing w:after="0"/>
        <w:rPr>
          <w:b/>
          <w:i/>
          <w:sz w:val="22"/>
          <w:szCs w:val="22"/>
        </w:rPr>
      </w:pPr>
    </w:p>
    <w:p w14:paraId="3B619E7F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  <w:u w:val="single"/>
        </w:rPr>
        <w:lastRenderedPageBreak/>
        <w:t>Biotransformácia</w:t>
      </w:r>
    </w:p>
    <w:p w14:paraId="2B0A3BC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Ezetimib je primárne metabolizovaný v tenkom čreve a v pečeni konjugáciou na glukuronid (reakcia fázy II) </w:t>
      </w:r>
      <w:r w:rsidR="00BC2D68">
        <w:rPr>
          <w:sz w:val="22"/>
          <w:szCs w:val="22"/>
        </w:rPr>
        <w:t>a</w:t>
      </w:r>
      <w:r w:rsidRPr="00972868">
        <w:rPr>
          <w:sz w:val="22"/>
          <w:szCs w:val="22"/>
        </w:rPr>
        <w:t> následn</w:t>
      </w:r>
      <w:r w:rsidR="000E4B24">
        <w:rPr>
          <w:sz w:val="22"/>
          <w:szCs w:val="22"/>
        </w:rPr>
        <w:t>e</w:t>
      </w:r>
      <w:r w:rsidRPr="00972868">
        <w:rPr>
          <w:sz w:val="22"/>
          <w:szCs w:val="22"/>
        </w:rPr>
        <w:t xml:space="preserve"> </w:t>
      </w:r>
      <w:r w:rsidR="000E4B24">
        <w:rPr>
          <w:sz w:val="22"/>
          <w:szCs w:val="22"/>
        </w:rPr>
        <w:t xml:space="preserve">je </w:t>
      </w:r>
      <w:r w:rsidRPr="00972868">
        <w:rPr>
          <w:sz w:val="22"/>
          <w:szCs w:val="22"/>
        </w:rPr>
        <w:t>vylučovan</w:t>
      </w:r>
      <w:r w:rsidR="000E4B24">
        <w:rPr>
          <w:sz w:val="22"/>
          <w:szCs w:val="22"/>
        </w:rPr>
        <w:t>ý</w:t>
      </w:r>
      <w:r w:rsidRPr="00972868">
        <w:rPr>
          <w:sz w:val="22"/>
          <w:szCs w:val="22"/>
        </w:rPr>
        <w:t xml:space="preserve"> do žlče. U všetkých hodnotených druhov sa pozoroval minimálny oxidatívny metabolizmus (reakcia fázy I). Ezetimib a ezetimib-glukuronid sú hlavné od liečiva odvodené látky detegované v plazme, pričom ezetimib tvoril približne 10 až 20 % a ezetimib-glukuronid približne 80 až 90 % celkového liečiva v plazme. Ezetimib aj ezetimib-glukuronid sú pomaly eliminované z plazmy s dôkazom signifikantnej enterohepatálnej cirkulácie. Biologický polčas ezetimibu a ezetimib-glukuronidu je približne 22 hodín.</w:t>
      </w:r>
    </w:p>
    <w:p w14:paraId="42A38893" w14:textId="77777777" w:rsidR="00220454" w:rsidRPr="00972868" w:rsidRDefault="00220454" w:rsidP="00220454">
      <w:pPr>
        <w:adjustRightInd w:val="0"/>
        <w:snapToGrid w:val="0"/>
        <w:spacing w:after="0"/>
        <w:rPr>
          <w:b/>
          <w:i/>
          <w:sz w:val="22"/>
          <w:szCs w:val="22"/>
        </w:rPr>
      </w:pPr>
    </w:p>
    <w:p w14:paraId="16BB35FD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  <w:u w:val="single"/>
        </w:rPr>
        <w:t>Eliminácia</w:t>
      </w:r>
    </w:p>
    <w:p w14:paraId="2712E26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Po perorálnom podaní </w:t>
      </w:r>
      <w:r w:rsidRPr="00972868">
        <w:rPr>
          <w:sz w:val="22"/>
          <w:szCs w:val="22"/>
          <w:vertAlign w:val="superscript"/>
        </w:rPr>
        <w:t>14</w:t>
      </w:r>
      <w:r w:rsidRPr="00972868">
        <w:rPr>
          <w:sz w:val="22"/>
          <w:szCs w:val="22"/>
        </w:rPr>
        <w:t xml:space="preserve">C-ezetimibu (20 mg) ľudským jedincom tvoril celkový ezetimib približne 93 % celkovej </w:t>
      </w:r>
      <w:r w:rsidR="007E6C03">
        <w:rPr>
          <w:sz w:val="22"/>
          <w:szCs w:val="22"/>
        </w:rPr>
        <w:t>rádioaktívne značenej látky</w:t>
      </w:r>
      <w:r w:rsidR="007E6C03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 xml:space="preserve">v plazme. Počas 10-dňového obdobia zberu sa izolovalo približne 78 % </w:t>
      </w:r>
      <w:r w:rsidR="007E6C03">
        <w:rPr>
          <w:sz w:val="22"/>
          <w:szCs w:val="22"/>
        </w:rPr>
        <w:t>rádioaktívne značenej látky</w:t>
      </w:r>
      <w:r w:rsidRPr="00972868">
        <w:rPr>
          <w:sz w:val="22"/>
          <w:szCs w:val="22"/>
        </w:rPr>
        <w:t xml:space="preserve"> v stolici a 11 % v moči. Po 48 hodinách neboli v plazme detegovateľné </w:t>
      </w:r>
      <w:r w:rsidR="007E6C03">
        <w:rPr>
          <w:sz w:val="22"/>
          <w:szCs w:val="22"/>
        </w:rPr>
        <w:t>koncentrácie</w:t>
      </w:r>
      <w:r w:rsidR="007E6C03" w:rsidRPr="00972868">
        <w:rPr>
          <w:sz w:val="22"/>
          <w:szCs w:val="22"/>
        </w:rPr>
        <w:t xml:space="preserve"> </w:t>
      </w:r>
      <w:r w:rsidR="007E6C03">
        <w:rPr>
          <w:sz w:val="22"/>
          <w:szCs w:val="22"/>
        </w:rPr>
        <w:t>rádioaktívne značenej látky</w:t>
      </w:r>
      <w:r w:rsidRPr="00972868">
        <w:rPr>
          <w:sz w:val="22"/>
          <w:szCs w:val="22"/>
        </w:rPr>
        <w:t>.</w:t>
      </w:r>
    </w:p>
    <w:p w14:paraId="1A8586A8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0F8B95B4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  <w:u w:val="single"/>
        </w:rPr>
      </w:pPr>
      <w:r w:rsidRPr="00972868">
        <w:rPr>
          <w:i/>
          <w:sz w:val="22"/>
          <w:szCs w:val="22"/>
          <w:u w:val="single"/>
        </w:rPr>
        <w:t>Osobitné skupiny pacientov</w:t>
      </w:r>
    </w:p>
    <w:p w14:paraId="78FAD67B" w14:textId="77777777" w:rsidR="007B3770" w:rsidRPr="00972868" w:rsidRDefault="007B3770" w:rsidP="007B3770">
      <w:pPr>
        <w:adjustRightInd w:val="0"/>
        <w:snapToGrid w:val="0"/>
        <w:spacing w:after="0"/>
        <w:rPr>
          <w:sz w:val="22"/>
          <w:szCs w:val="22"/>
        </w:rPr>
      </w:pPr>
    </w:p>
    <w:p w14:paraId="4A032073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i/>
          <w:sz w:val="22"/>
          <w:szCs w:val="22"/>
          <w:u w:val="single"/>
        </w:rPr>
      </w:pPr>
      <w:r w:rsidRPr="00972868">
        <w:rPr>
          <w:i/>
          <w:sz w:val="22"/>
          <w:szCs w:val="22"/>
        </w:rPr>
        <w:t>Pediatrická populácia</w:t>
      </w:r>
    </w:p>
    <w:p w14:paraId="7500A7AD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Farmakokinetika ezetimibu je podobná medzi </w:t>
      </w:r>
      <w:r w:rsidR="007E6C03">
        <w:rPr>
          <w:sz w:val="22"/>
          <w:szCs w:val="22"/>
        </w:rPr>
        <w:t>deťmi nad 6 rokov</w:t>
      </w:r>
      <w:r w:rsidRPr="00972868">
        <w:rPr>
          <w:sz w:val="22"/>
          <w:szCs w:val="22"/>
        </w:rPr>
        <w:t xml:space="preserve"> a dospelými. Farmakokinetické údaje pre pediatrickú populáciu </w:t>
      </w:r>
      <w:r w:rsidR="007E6C03">
        <w:rPr>
          <w:sz w:val="22"/>
          <w:szCs w:val="22"/>
        </w:rPr>
        <w:t>do</w:t>
      </w:r>
      <w:r w:rsidRPr="00972868">
        <w:rPr>
          <w:sz w:val="22"/>
          <w:szCs w:val="22"/>
        </w:rPr>
        <w:t> 6 rokov nie sú k dispozícii. Klinická skúsenosť u pediatrických a adolescentných pacientov zahŕňa pacientov s HoFH, HeFH alebo sitosterolémiou.</w:t>
      </w:r>
    </w:p>
    <w:p w14:paraId="352D9820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3131DC44" w14:textId="77777777" w:rsidR="00220454" w:rsidRPr="00972868" w:rsidRDefault="00220454" w:rsidP="00220454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</w:rPr>
      </w:pPr>
      <w:r w:rsidRPr="00972868">
        <w:rPr>
          <w:rFonts w:ascii="Times New Roman" w:hAnsi="Times New Roman"/>
          <w:b w:val="0"/>
          <w:sz w:val="22"/>
          <w:szCs w:val="22"/>
        </w:rPr>
        <w:t>Staršie osoby</w:t>
      </w:r>
    </w:p>
    <w:p w14:paraId="60DBF1F8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Plazmatické koncentrácie celkového ezetimibu sú u starších pacientov (≥</w:t>
      </w:r>
      <w:r w:rsidR="003F3474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 xml:space="preserve">65 rokov) približne 2-násobne vyššie ako u mladých pacientov (18 až 45 rokov). Zníženie LDL-C a bezpečnostný profil sú u starších a mladých jedincov liečených </w:t>
      </w:r>
      <w:r w:rsidR="007B3770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 porovnateľné. Preto u starších nie je nutná úprava dávkovania.</w:t>
      </w:r>
    </w:p>
    <w:p w14:paraId="70DEAC0E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97B83AF" w14:textId="77777777" w:rsidR="00220454" w:rsidRPr="00972868" w:rsidRDefault="00220454" w:rsidP="00220454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</w:rPr>
      </w:pPr>
      <w:r w:rsidRPr="00972868">
        <w:rPr>
          <w:rFonts w:ascii="Times New Roman" w:hAnsi="Times New Roman"/>
          <w:b w:val="0"/>
          <w:sz w:val="22"/>
          <w:szCs w:val="22"/>
          <w:u w:val="single"/>
        </w:rPr>
        <w:t>Porucha funkcie pečene</w:t>
      </w:r>
    </w:p>
    <w:p w14:paraId="027787F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Po jednorazovej 10</w:t>
      </w:r>
      <w:r w:rsidR="007E6C03">
        <w:rPr>
          <w:sz w:val="22"/>
          <w:szCs w:val="22"/>
        </w:rPr>
        <w:t>-miligramovej</w:t>
      </w:r>
      <w:r w:rsidRPr="00972868">
        <w:rPr>
          <w:sz w:val="22"/>
          <w:szCs w:val="22"/>
        </w:rPr>
        <w:t xml:space="preserve"> dávke ezetimibu sa priemerná AUC celkového ezetimibu zvýšila približne 1,7</w:t>
      </w:r>
      <w:r w:rsidR="00181FBC" w:rsidRPr="00972868">
        <w:rPr>
          <w:sz w:val="22"/>
          <w:szCs w:val="22"/>
        </w:rPr>
        <w:t>-</w:t>
      </w:r>
      <w:r w:rsidRPr="00972868">
        <w:rPr>
          <w:sz w:val="22"/>
          <w:szCs w:val="22"/>
        </w:rPr>
        <w:t>násobne u pacientov s miernou poruchou funkcie pečene (Childovo-Pughovo skóre 5 alebo 6) v porovnaní so zdravými jedincami. V 14-dňov</w:t>
      </w:r>
      <w:r w:rsidR="00B967B5">
        <w:rPr>
          <w:sz w:val="22"/>
          <w:szCs w:val="22"/>
        </w:rPr>
        <w:t>om</w:t>
      </w:r>
      <w:r w:rsidRPr="00972868">
        <w:rPr>
          <w:sz w:val="22"/>
          <w:szCs w:val="22"/>
        </w:rPr>
        <w:t xml:space="preserve"> </w:t>
      </w:r>
      <w:r w:rsidR="00B967B5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opakovaných dávok (10 mg denne) u pacientov so stredne závažnou poruchou funkcie pečene (Childovo-Pughovo skóre 7 až 9) bola priemerná AUC celkového ezetimibu zvýšená približne 4</w:t>
      </w:r>
      <w:r w:rsidRPr="00972868">
        <w:rPr>
          <w:sz w:val="22"/>
          <w:szCs w:val="22"/>
        </w:rPr>
        <w:noBreakHyphen/>
        <w:t>násobne 1. a 14. deň v porovnaní so zdravými jedincami. U pacientov s miernou poruchou funkcie pečene nie je potrebná úprava dávkovania. Vzhľadom na neznáme účinky zvýšenej expozície ezetimibu u pacientov so stredne závažnou alebo závažnou poruchou funkcie pečene (Childovo-Pughovo skóre &gt;</w:t>
      </w:r>
      <w:r w:rsidR="003F3474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 xml:space="preserve">9) sa u týchto pacientov </w:t>
      </w:r>
      <w:r w:rsidR="007B3770" w:rsidRPr="00972868">
        <w:rPr>
          <w:sz w:val="22"/>
          <w:szCs w:val="22"/>
        </w:rPr>
        <w:t>ezetimib</w:t>
      </w:r>
      <w:r w:rsidRPr="00972868">
        <w:rPr>
          <w:sz w:val="22"/>
          <w:szCs w:val="22"/>
        </w:rPr>
        <w:t xml:space="preserve"> neodporúča (pozri časť 4.4).</w:t>
      </w:r>
    </w:p>
    <w:p w14:paraId="3EA731AC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F295666" w14:textId="77777777" w:rsidR="00220454" w:rsidRPr="00972868" w:rsidRDefault="00220454" w:rsidP="00220454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</w:rPr>
      </w:pPr>
      <w:r w:rsidRPr="00972868">
        <w:rPr>
          <w:rFonts w:ascii="Times New Roman" w:hAnsi="Times New Roman"/>
          <w:b w:val="0"/>
          <w:sz w:val="22"/>
          <w:szCs w:val="22"/>
          <w:u w:val="single"/>
        </w:rPr>
        <w:t>Porucha funkcie obličiek</w:t>
      </w:r>
    </w:p>
    <w:p w14:paraId="5FE4596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Po jednorazovej 10</w:t>
      </w:r>
      <w:r w:rsidR="007E6C03">
        <w:rPr>
          <w:sz w:val="22"/>
          <w:szCs w:val="22"/>
        </w:rPr>
        <w:t>-miligramovej</w:t>
      </w:r>
      <w:r w:rsidRPr="00972868">
        <w:rPr>
          <w:sz w:val="22"/>
          <w:szCs w:val="22"/>
        </w:rPr>
        <w:t xml:space="preserve"> dávke ezetimibu sa priemerná AUC celkového ezetimibu zvýšila približne 1,5</w:t>
      </w:r>
      <w:r w:rsidR="003F3474" w:rsidRPr="00972868">
        <w:rPr>
          <w:sz w:val="22"/>
          <w:szCs w:val="22"/>
        </w:rPr>
        <w:t>-</w:t>
      </w:r>
      <w:r w:rsidRPr="00972868">
        <w:rPr>
          <w:sz w:val="22"/>
          <w:szCs w:val="22"/>
        </w:rPr>
        <w:t>násobne u pacientov so závažným renálnym ochorením (n</w:t>
      </w:r>
      <w:r w:rsidR="000778E7" w:rsidRPr="00972868">
        <w:rPr>
          <w:sz w:val="22"/>
          <w:szCs w:val="22"/>
        </w:rPr>
        <w:t xml:space="preserve"> = </w:t>
      </w:r>
      <w:r w:rsidRPr="00972868">
        <w:rPr>
          <w:sz w:val="22"/>
          <w:szCs w:val="22"/>
        </w:rPr>
        <w:t>8; priemerný klírens kreatinínu ≤</w:t>
      </w:r>
      <w:r w:rsidR="003F3474" w:rsidRPr="00972868">
        <w:rPr>
          <w:sz w:val="22"/>
          <w:szCs w:val="22"/>
        </w:rPr>
        <w:t> </w:t>
      </w:r>
      <w:r w:rsidRPr="00972868">
        <w:rPr>
          <w:sz w:val="22"/>
          <w:szCs w:val="22"/>
        </w:rPr>
        <w:t>30 ml/min/1,73 m</w:t>
      </w:r>
      <w:r w:rsidRPr="00972868">
        <w:rPr>
          <w:sz w:val="22"/>
          <w:szCs w:val="22"/>
          <w:vertAlign w:val="superscript"/>
        </w:rPr>
        <w:t>2</w:t>
      </w:r>
      <w:r w:rsidRPr="00972868">
        <w:rPr>
          <w:sz w:val="22"/>
          <w:szCs w:val="22"/>
        </w:rPr>
        <w:t>) v porovnaní so zdravými jedincami (n</w:t>
      </w:r>
      <w:r w:rsidR="000778E7" w:rsidRPr="00972868">
        <w:rPr>
          <w:sz w:val="22"/>
          <w:szCs w:val="22"/>
        </w:rPr>
        <w:t xml:space="preserve"> = </w:t>
      </w:r>
      <w:r w:rsidRPr="00972868">
        <w:rPr>
          <w:sz w:val="22"/>
          <w:szCs w:val="22"/>
        </w:rPr>
        <w:t>9). Tento výsledok nie je považovaný za klinicky významný. U pacientov s poruchou funkcie obličiek nie je potrebná úprava dávkovania.</w:t>
      </w:r>
    </w:p>
    <w:p w14:paraId="56468FCB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6C07549B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Ďalší pacient v t</w:t>
      </w:r>
      <w:r w:rsidR="00B967B5">
        <w:rPr>
          <w:sz w:val="22"/>
          <w:szCs w:val="22"/>
        </w:rPr>
        <w:t>omto</w:t>
      </w:r>
      <w:r w:rsidRPr="00972868">
        <w:rPr>
          <w:sz w:val="22"/>
          <w:szCs w:val="22"/>
        </w:rPr>
        <w:t xml:space="preserve"> </w:t>
      </w:r>
      <w:r w:rsidR="00B967B5">
        <w:rPr>
          <w:sz w:val="22"/>
          <w:szCs w:val="22"/>
        </w:rPr>
        <w:t>skúšaní</w:t>
      </w:r>
      <w:r w:rsidRPr="00972868">
        <w:rPr>
          <w:sz w:val="22"/>
          <w:szCs w:val="22"/>
        </w:rPr>
        <w:t xml:space="preserve"> (po transplantácii obličky, ktorý dostával mnohopočetnú liečbu</w:t>
      </w:r>
      <w:r w:rsidR="00EB42B3">
        <w:rPr>
          <w:sz w:val="22"/>
          <w:szCs w:val="22"/>
        </w:rPr>
        <w:t>,</w:t>
      </w:r>
      <w:r w:rsidRPr="00972868">
        <w:rPr>
          <w:sz w:val="22"/>
          <w:szCs w:val="22"/>
        </w:rPr>
        <w:t xml:space="preserve"> vrátane c</w:t>
      </w:r>
      <w:r w:rsidR="00EB42B3">
        <w:rPr>
          <w:sz w:val="22"/>
          <w:szCs w:val="22"/>
        </w:rPr>
        <w:t>yklosporínu) mal 12-násobne vä</w:t>
      </w:r>
      <w:r w:rsidRPr="00972868">
        <w:rPr>
          <w:sz w:val="22"/>
          <w:szCs w:val="22"/>
        </w:rPr>
        <w:t>čšiu expozíciu celkovému ezetimibu.</w:t>
      </w:r>
    </w:p>
    <w:p w14:paraId="7045B3CB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3D0F6BC1" w14:textId="77777777" w:rsidR="00220454" w:rsidRPr="00972868" w:rsidRDefault="00220454" w:rsidP="00220454">
      <w:pPr>
        <w:pStyle w:val="Nadpis4"/>
        <w:adjustRightInd w:val="0"/>
        <w:snapToGrid w:val="0"/>
        <w:spacing w:after="0"/>
        <w:rPr>
          <w:rFonts w:ascii="Times New Roman" w:hAnsi="Times New Roman"/>
          <w:b w:val="0"/>
          <w:sz w:val="22"/>
          <w:szCs w:val="22"/>
        </w:rPr>
      </w:pPr>
      <w:r w:rsidRPr="00972868">
        <w:rPr>
          <w:rFonts w:ascii="Times New Roman" w:hAnsi="Times New Roman"/>
          <w:b w:val="0"/>
          <w:sz w:val="22"/>
          <w:szCs w:val="22"/>
        </w:rPr>
        <w:t>Pohlavie</w:t>
      </w:r>
    </w:p>
    <w:p w14:paraId="13A5B271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Plazmatické koncentrácie celkového ezetimibu sú mierne vyššie (približne 20 %) u žien ako u mužov. Zníženie LDL-C a bezpečnostný profil sú u mužov a žien liečených </w:t>
      </w:r>
      <w:r w:rsidR="007B3770" w:rsidRPr="00972868">
        <w:rPr>
          <w:sz w:val="22"/>
          <w:szCs w:val="22"/>
        </w:rPr>
        <w:t>ezetimibom</w:t>
      </w:r>
      <w:r w:rsidRPr="00972868">
        <w:rPr>
          <w:sz w:val="22"/>
          <w:szCs w:val="22"/>
        </w:rPr>
        <w:t xml:space="preserve"> porovnateľné. Preto nie je vzhľadom na pohlavie nutná úprava dávkovania.</w:t>
      </w:r>
    </w:p>
    <w:p w14:paraId="56BB5F08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6D39A8C5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b/>
          <w:sz w:val="22"/>
          <w:szCs w:val="22"/>
        </w:rPr>
      </w:pPr>
      <w:r w:rsidRPr="00972868">
        <w:rPr>
          <w:b/>
          <w:sz w:val="22"/>
          <w:szCs w:val="22"/>
        </w:rPr>
        <w:t>5.3</w:t>
      </w:r>
      <w:r w:rsidRPr="00972868">
        <w:rPr>
          <w:b/>
          <w:sz w:val="22"/>
          <w:szCs w:val="22"/>
        </w:rPr>
        <w:tab/>
        <w:t>Predklinické údaje o bezpečnosti</w:t>
      </w:r>
    </w:p>
    <w:p w14:paraId="580C78DD" w14:textId="77777777" w:rsidR="00220454" w:rsidRPr="00972868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71859451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lastRenderedPageBreak/>
        <w:t>Štúdie chronickej toxicity ezetimibu na zvieratách neidentifikovali žiadne cieľové orgány pre toxické účinky. U psov liečených štyri týždne ezetimibom (≥</w:t>
      </w:r>
      <w:r w:rsidR="003F3474" w:rsidRPr="00972868">
        <w:rPr>
          <w:sz w:val="22"/>
          <w:szCs w:val="22"/>
        </w:rPr>
        <w:t xml:space="preserve"> </w:t>
      </w:r>
      <w:r w:rsidRPr="00972868">
        <w:rPr>
          <w:sz w:val="22"/>
          <w:szCs w:val="22"/>
        </w:rPr>
        <w:t>0,03 mg/kg/deň) sa koncentrácia cholesterolu v žlčníkovej žlči zvýšila 2,5</w:t>
      </w:r>
      <w:r w:rsidR="00435E0D">
        <w:rPr>
          <w:sz w:val="22"/>
          <w:szCs w:val="22"/>
        </w:rPr>
        <w:t>-</w:t>
      </w:r>
      <w:r w:rsidRPr="00972868">
        <w:rPr>
          <w:sz w:val="22"/>
          <w:szCs w:val="22"/>
        </w:rPr>
        <w:t xml:space="preserve"> až 3,5-násobne. V jednoročnej štúdii na psoch, ktorým sa podávali </w:t>
      </w:r>
      <w:r w:rsidR="00181FBC" w:rsidRPr="00972868">
        <w:rPr>
          <w:sz w:val="22"/>
          <w:szCs w:val="22"/>
        </w:rPr>
        <w:t xml:space="preserve">dávky </w:t>
      </w:r>
      <w:r w:rsidRPr="00972868">
        <w:rPr>
          <w:sz w:val="22"/>
          <w:szCs w:val="22"/>
        </w:rPr>
        <w:t xml:space="preserve">do 300 mg/kg/deň, sa však nepozorovalo zvýšenie incidencie cholelitiázy alebo iné hepatobiliárne účinky. Významnosť týchto údajov pre ľudí nie je známa. Riziko litogenity spojené s terapeutickým užívaním </w:t>
      </w:r>
      <w:r w:rsidR="007B3770" w:rsidRPr="00972868">
        <w:rPr>
          <w:sz w:val="22"/>
          <w:szCs w:val="22"/>
        </w:rPr>
        <w:t>ezetimibu</w:t>
      </w:r>
      <w:r w:rsidRPr="00972868">
        <w:rPr>
          <w:sz w:val="22"/>
          <w:szCs w:val="22"/>
        </w:rPr>
        <w:t xml:space="preserve"> nemožno vylúčiť.</w:t>
      </w:r>
    </w:p>
    <w:p w14:paraId="2C97E60E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5A61800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V štúdiách súbežného podávania ezetimibu a statínov boli pozorované toxické účinky v podstate tie isté, aké sú typicky spojené s užívaním statínov. Niektoré z toxických účinkov boli výraznejšie ako pozorované pri liečbe samostatnými statínmi. Toto sa pripisuje farmakokinetickým a farmakodynamickým interakciám súbežnej liečby. V klinických </w:t>
      </w:r>
      <w:r w:rsidR="00FC3519">
        <w:rPr>
          <w:sz w:val="22"/>
          <w:szCs w:val="22"/>
        </w:rPr>
        <w:t>skúšaniach</w:t>
      </w:r>
      <w:r w:rsidRPr="00972868">
        <w:rPr>
          <w:sz w:val="22"/>
          <w:szCs w:val="22"/>
        </w:rPr>
        <w:t xml:space="preserve"> sa neobjavili žiadne takéto interakcie. Myopatie sa objavili u potkanov až po vystavení dávkam, ktoré boli niekoľkonásobne vyššie ako ľudské terapeutické dávky (približne 20-násobok AUC pre statíny a</w:t>
      </w:r>
      <w:r w:rsidR="00D3363F">
        <w:rPr>
          <w:sz w:val="22"/>
          <w:szCs w:val="22"/>
        </w:rPr>
        <w:t> </w:t>
      </w:r>
      <w:r w:rsidRPr="00972868">
        <w:rPr>
          <w:sz w:val="22"/>
          <w:szCs w:val="22"/>
        </w:rPr>
        <w:t>500</w:t>
      </w:r>
      <w:r w:rsidR="00D3363F">
        <w:rPr>
          <w:sz w:val="22"/>
          <w:szCs w:val="22"/>
        </w:rPr>
        <w:t>-</w:t>
      </w:r>
      <w:r w:rsidRPr="00972868">
        <w:rPr>
          <w:sz w:val="22"/>
          <w:szCs w:val="22"/>
        </w:rPr>
        <w:t xml:space="preserve"> až 2 000-násobok AUC pre aktívne metabolity).</w:t>
      </w:r>
    </w:p>
    <w:p w14:paraId="69795752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6F17C94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 xml:space="preserve">V sérii </w:t>
      </w:r>
      <w:r w:rsidRPr="00972868">
        <w:rPr>
          <w:i/>
          <w:sz w:val="22"/>
          <w:szCs w:val="22"/>
        </w:rPr>
        <w:t>in vivo</w:t>
      </w:r>
      <w:r w:rsidRPr="00972868">
        <w:rPr>
          <w:sz w:val="22"/>
          <w:szCs w:val="22"/>
        </w:rPr>
        <w:t xml:space="preserve"> a </w:t>
      </w:r>
      <w:r w:rsidRPr="00972868">
        <w:rPr>
          <w:i/>
          <w:sz w:val="22"/>
          <w:szCs w:val="22"/>
        </w:rPr>
        <w:t xml:space="preserve">in vitro </w:t>
      </w:r>
      <w:r w:rsidRPr="00972868">
        <w:rPr>
          <w:sz w:val="22"/>
          <w:szCs w:val="22"/>
        </w:rPr>
        <w:t>hodnotení ezetimib podávaný samostatne alebo súbežne so statínmi neprejavil žiadny genotoxický potenciál. Dlhodobé testy karcinogenity ezetimibu boli negatívne.</w:t>
      </w:r>
    </w:p>
    <w:p w14:paraId="7E9125CB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163D2C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Ezetimib nemal žiadny vplyv na fertilitu samcov a samíc potkanov, ani sa nezistila jeho teratogeni</w:t>
      </w:r>
      <w:r w:rsidR="00D3363F">
        <w:rPr>
          <w:sz w:val="22"/>
          <w:szCs w:val="22"/>
        </w:rPr>
        <w:t>ta</w:t>
      </w:r>
      <w:r w:rsidRPr="00972868">
        <w:rPr>
          <w:sz w:val="22"/>
          <w:szCs w:val="22"/>
        </w:rPr>
        <w:t xml:space="preserve"> u potkanov alebo u králikov a nemal ani vplyv na prenatálny alebo postnatálny výv</w:t>
      </w:r>
      <w:r w:rsidR="00D3363F">
        <w:rPr>
          <w:sz w:val="22"/>
          <w:szCs w:val="22"/>
        </w:rPr>
        <w:t>in</w:t>
      </w:r>
      <w:r w:rsidRPr="00972868">
        <w:rPr>
          <w:sz w:val="22"/>
          <w:szCs w:val="22"/>
        </w:rPr>
        <w:t>. U gravidných potkanov a králikov, ktorí dostali opakované dávky ezetimibu 1 000 mg/kg/deň, prechádzal ezetimib cez placentárnu bariéru. Súbežné podávanie ezetimibu a statínov nebolo teratogénne u potkanov. U gravidných králikov sa pozoroval malý počet deformít skeletu (spojené hrudné a kaudálne stavce, znížený počet kaudálnych stavcov). Podávanie ezetimibu súbežne s lovastatínom malo za následok embryoletálne účinky.</w:t>
      </w:r>
    </w:p>
    <w:p w14:paraId="0D99399E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4A440D68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2FC332A9" w14:textId="77777777" w:rsidR="00220454" w:rsidRPr="00972868" w:rsidRDefault="00220454" w:rsidP="00220454">
      <w:pPr>
        <w:pStyle w:val="Predmetkomentra"/>
        <w:keepNext/>
        <w:adjustRightInd w:val="0"/>
        <w:snapToGrid w:val="0"/>
        <w:spacing w:after="0"/>
        <w:rPr>
          <w:caps/>
          <w:sz w:val="22"/>
          <w:szCs w:val="22"/>
        </w:rPr>
      </w:pPr>
      <w:r w:rsidRPr="00972868">
        <w:rPr>
          <w:caps/>
          <w:sz w:val="22"/>
          <w:szCs w:val="22"/>
        </w:rPr>
        <w:t>6.</w:t>
      </w:r>
      <w:r w:rsidRPr="00972868">
        <w:rPr>
          <w:caps/>
          <w:sz w:val="22"/>
          <w:szCs w:val="22"/>
        </w:rPr>
        <w:tab/>
        <w:t>Farmaceutické informácie</w:t>
      </w:r>
    </w:p>
    <w:p w14:paraId="6E7B5C1A" w14:textId="77777777" w:rsidR="00220454" w:rsidRPr="00972868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0D894211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b/>
          <w:sz w:val="22"/>
          <w:szCs w:val="22"/>
        </w:rPr>
      </w:pPr>
      <w:r w:rsidRPr="00972868">
        <w:rPr>
          <w:b/>
          <w:sz w:val="22"/>
          <w:szCs w:val="22"/>
        </w:rPr>
        <w:t>6.1</w:t>
      </w:r>
      <w:r w:rsidRPr="00972868">
        <w:rPr>
          <w:b/>
          <w:sz w:val="22"/>
          <w:szCs w:val="22"/>
        </w:rPr>
        <w:tab/>
        <w:t>Zoznam pomocných látok</w:t>
      </w:r>
    </w:p>
    <w:p w14:paraId="65B839F3" w14:textId="77777777" w:rsidR="00220454" w:rsidRPr="00972868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67940CD2" w14:textId="77777777" w:rsidR="00220454" w:rsidRPr="00972868" w:rsidRDefault="00643599" w:rsidP="00220454">
      <w:pPr>
        <w:pStyle w:val="knZulassung01"/>
        <w:tabs>
          <w:tab w:val="clear" w:pos="567"/>
        </w:tabs>
        <w:adjustRightInd w:val="0"/>
        <w:snapToGrid w:val="0"/>
        <w:ind w:left="0" w:right="0" w:firstLine="0"/>
        <w:rPr>
          <w:rFonts w:ascii="Times New Roman" w:hAnsi="Times New Roman"/>
          <w:sz w:val="22"/>
          <w:szCs w:val="22"/>
          <w:lang w:val="sk-SK"/>
        </w:rPr>
      </w:pPr>
      <w:r>
        <w:rPr>
          <w:rFonts w:ascii="Times New Roman" w:hAnsi="Times New Roman"/>
          <w:sz w:val="22"/>
          <w:szCs w:val="22"/>
          <w:lang w:val="sk-SK"/>
        </w:rPr>
        <w:t>laktóza, monohydrát</w:t>
      </w:r>
    </w:p>
    <w:p w14:paraId="35BCC38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mikrokryštalická celulóza</w:t>
      </w:r>
      <w:r w:rsidR="007B3770" w:rsidRPr="00972868">
        <w:rPr>
          <w:sz w:val="22"/>
          <w:szCs w:val="22"/>
        </w:rPr>
        <w:t xml:space="preserve"> (typ 102)</w:t>
      </w:r>
    </w:p>
    <w:p w14:paraId="25A714AD" w14:textId="77777777" w:rsidR="007B3770" w:rsidRPr="00972868" w:rsidRDefault="00D3363F" w:rsidP="007B3770">
      <w:pPr>
        <w:adjustRightInd w:val="0"/>
        <w:snapToGrid w:val="0"/>
        <w:spacing w:after="0"/>
        <w:rPr>
          <w:sz w:val="22"/>
          <w:szCs w:val="22"/>
        </w:rPr>
      </w:pPr>
      <w:r>
        <w:rPr>
          <w:sz w:val="22"/>
          <w:szCs w:val="22"/>
        </w:rPr>
        <w:t>stearan horečnatý</w:t>
      </w:r>
    </w:p>
    <w:p w14:paraId="15D0EE8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povidón (K29-32)</w:t>
      </w:r>
    </w:p>
    <w:p w14:paraId="0B5B043D" w14:textId="77777777" w:rsidR="00220454" w:rsidRPr="00972868" w:rsidRDefault="00220454" w:rsidP="00220454">
      <w:pPr>
        <w:pStyle w:val="knZulassung01"/>
        <w:tabs>
          <w:tab w:val="clear" w:pos="567"/>
        </w:tabs>
        <w:adjustRightInd w:val="0"/>
        <w:snapToGrid w:val="0"/>
        <w:ind w:left="0" w:right="0" w:firstLine="0"/>
        <w:rPr>
          <w:rFonts w:ascii="Times New Roman" w:hAnsi="Times New Roman"/>
          <w:sz w:val="22"/>
          <w:szCs w:val="22"/>
          <w:lang w:val="sk-SK"/>
        </w:rPr>
      </w:pPr>
      <w:r w:rsidRPr="00972868">
        <w:rPr>
          <w:rFonts w:ascii="Times New Roman" w:hAnsi="Times New Roman"/>
          <w:sz w:val="22"/>
          <w:szCs w:val="22"/>
          <w:lang w:val="sk-SK"/>
        </w:rPr>
        <w:t>laurylsíran sodný</w:t>
      </w:r>
    </w:p>
    <w:p w14:paraId="3DBE5A2C" w14:textId="77777777" w:rsidR="007B3770" w:rsidRPr="00972868" w:rsidRDefault="007B3770" w:rsidP="007B3770">
      <w:pPr>
        <w:pStyle w:val="knZulassung01"/>
        <w:tabs>
          <w:tab w:val="clear" w:pos="567"/>
        </w:tabs>
        <w:adjustRightInd w:val="0"/>
        <w:snapToGrid w:val="0"/>
        <w:ind w:left="0" w:right="0" w:firstLine="0"/>
        <w:rPr>
          <w:rFonts w:ascii="Times New Roman" w:hAnsi="Times New Roman"/>
          <w:sz w:val="22"/>
          <w:szCs w:val="22"/>
          <w:lang w:val="sk-SK"/>
        </w:rPr>
      </w:pPr>
      <w:r w:rsidRPr="00972868">
        <w:rPr>
          <w:rFonts w:ascii="Times New Roman" w:hAnsi="Times New Roman"/>
          <w:sz w:val="22"/>
          <w:szCs w:val="22"/>
          <w:lang w:val="sk-SK"/>
        </w:rPr>
        <w:t>kroskarmelóz</w:t>
      </w:r>
      <w:r w:rsidR="00D3363F">
        <w:rPr>
          <w:rFonts w:ascii="Times New Roman" w:hAnsi="Times New Roman"/>
          <w:sz w:val="22"/>
          <w:szCs w:val="22"/>
          <w:lang w:val="sk-SK"/>
        </w:rPr>
        <w:t>a, sodná soľ</w:t>
      </w:r>
    </w:p>
    <w:p w14:paraId="4A9624CC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D0E85A4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b/>
          <w:sz w:val="22"/>
          <w:szCs w:val="22"/>
        </w:rPr>
      </w:pPr>
      <w:r w:rsidRPr="00972868">
        <w:rPr>
          <w:b/>
          <w:sz w:val="22"/>
          <w:szCs w:val="22"/>
        </w:rPr>
        <w:t>6.2</w:t>
      </w:r>
      <w:r w:rsidRPr="00972868">
        <w:rPr>
          <w:b/>
          <w:sz w:val="22"/>
          <w:szCs w:val="22"/>
        </w:rPr>
        <w:tab/>
        <w:t>Inkompatibility</w:t>
      </w:r>
    </w:p>
    <w:p w14:paraId="3129D51F" w14:textId="77777777" w:rsidR="00220454" w:rsidRPr="00972868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2CE1D982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Neaplikovateľné.</w:t>
      </w:r>
    </w:p>
    <w:p w14:paraId="6F62227F" w14:textId="77777777" w:rsidR="00220454" w:rsidRPr="00972868" w:rsidRDefault="00220454" w:rsidP="00220454">
      <w:pPr>
        <w:adjustRightInd w:val="0"/>
        <w:snapToGrid w:val="0"/>
        <w:spacing w:after="0"/>
        <w:rPr>
          <w:b/>
          <w:sz w:val="22"/>
          <w:szCs w:val="22"/>
        </w:rPr>
      </w:pPr>
    </w:p>
    <w:p w14:paraId="22D24CE9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b/>
          <w:sz w:val="22"/>
          <w:szCs w:val="22"/>
        </w:rPr>
      </w:pPr>
      <w:r w:rsidRPr="00972868">
        <w:rPr>
          <w:b/>
          <w:sz w:val="22"/>
          <w:szCs w:val="22"/>
        </w:rPr>
        <w:t>6.3</w:t>
      </w:r>
      <w:r w:rsidRPr="00972868">
        <w:rPr>
          <w:b/>
          <w:sz w:val="22"/>
          <w:szCs w:val="22"/>
        </w:rPr>
        <w:tab/>
        <w:t>Čas použiteľnosti</w:t>
      </w:r>
    </w:p>
    <w:p w14:paraId="78DD5A56" w14:textId="77777777" w:rsidR="00220454" w:rsidRPr="00972868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5EDF9152" w14:textId="77777777" w:rsidR="00220454" w:rsidRPr="00972868" w:rsidRDefault="007B3770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4</w:t>
      </w:r>
      <w:r w:rsidR="00220454" w:rsidRPr="00972868">
        <w:rPr>
          <w:sz w:val="22"/>
          <w:szCs w:val="22"/>
        </w:rPr>
        <w:t xml:space="preserve"> roky</w:t>
      </w:r>
    </w:p>
    <w:p w14:paraId="41D6EF33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6DA34D65" w14:textId="77777777" w:rsidR="00220454" w:rsidRPr="00972868" w:rsidRDefault="00220454" w:rsidP="00220454">
      <w:pPr>
        <w:pStyle w:val="Predmetkomentra"/>
        <w:keepNext/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6.4</w:t>
      </w:r>
      <w:r w:rsidRPr="00972868">
        <w:rPr>
          <w:sz w:val="22"/>
          <w:szCs w:val="22"/>
        </w:rPr>
        <w:tab/>
        <w:t>Špeciálne upozornenia na uchovávanie</w:t>
      </w:r>
    </w:p>
    <w:p w14:paraId="2CDCFBAD" w14:textId="77777777" w:rsidR="00220454" w:rsidRPr="00972868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34AFE98D" w14:textId="77777777" w:rsidR="0086192A" w:rsidRPr="00972868" w:rsidRDefault="0086192A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Tento liek nevyžaduje žiadne osobitné opatrenia na uchovávanie.</w:t>
      </w:r>
    </w:p>
    <w:p w14:paraId="5B9F878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122061C7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b/>
          <w:sz w:val="22"/>
          <w:szCs w:val="22"/>
        </w:rPr>
      </w:pPr>
      <w:r w:rsidRPr="00972868">
        <w:rPr>
          <w:b/>
          <w:sz w:val="22"/>
          <w:szCs w:val="22"/>
        </w:rPr>
        <w:t>6.5</w:t>
      </w:r>
      <w:r w:rsidRPr="00972868">
        <w:rPr>
          <w:b/>
          <w:sz w:val="22"/>
          <w:szCs w:val="22"/>
        </w:rPr>
        <w:tab/>
        <w:t>Druh obalu a obsah balenia</w:t>
      </w:r>
    </w:p>
    <w:p w14:paraId="7F53C730" w14:textId="77777777" w:rsidR="00220454" w:rsidRPr="00972868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4C0D699C" w14:textId="77777777" w:rsidR="00220454" w:rsidRPr="00972868" w:rsidRDefault="00760720" w:rsidP="00220454">
      <w:pPr>
        <w:adjustRightInd w:val="0"/>
        <w:snapToGrid w:val="0"/>
        <w:spacing w:after="0"/>
        <w:rPr>
          <w:sz w:val="22"/>
          <w:szCs w:val="22"/>
          <w:lang w:eastAsia="en-US"/>
        </w:rPr>
      </w:pPr>
      <w:r w:rsidRPr="00972868">
        <w:rPr>
          <w:snapToGrid w:val="0"/>
          <w:sz w:val="22"/>
          <w:szCs w:val="22"/>
        </w:rPr>
        <w:t xml:space="preserve">Coltowan 10 mg tablety sú balené do bielych, nepriehľadných </w:t>
      </w:r>
      <w:r w:rsidRPr="00972868">
        <w:rPr>
          <w:sz w:val="22"/>
          <w:szCs w:val="22"/>
          <w:lang w:eastAsia="en-US"/>
        </w:rPr>
        <w:t>PVC/PE/PVDC/PE/PVC//hliníkových blistrov. Blistre sú balené do papierových skladačiek s písomnou informáciou pre používateľa v každej škatuli.</w:t>
      </w:r>
    </w:p>
    <w:p w14:paraId="3999522D" w14:textId="77777777" w:rsidR="00760720" w:rsidRPr="00972868" w:rsidRDefault="00760720" w:rsidP="00220454">
      <w:pPr>
        <w:adjustRightInd w:val="0"/>
        <w:snapToGrid w:val="0"/>
        <w:spacing w:after="0"/>
        <w:rPr>
          <w:snapToGrid w:val="0"/>
          <w:sz w:val="22"/>
          <w:szCs w:val="22"/>
        </w:rPr>
      </w:pPr>
    </w:p>
    <w:p w14:paraId="49F24D48" w14:textId="77777777" w:rsidR="00220454" w:rsidRPr="00972868" w:rsidRDefault="00760720" w:rsidP="00220454">
      <w:pPr>
        <w:pStyle w:val="Hlavika"/>
        <w:tabs>
          <w:tab w:val="clear" w:pos="4320"/>
          <w:tab w:val="clear" w:pos="8640"/>
        </w:tabs>
        <w:adjustRightInd w:val="0"/>
        <w:snapToGrid w:val="0"/>
        <w:spacing w:after="0"/>
        <w:rPr>
          <w:snapToGrid w:val="0"/>
          <w:sz w:val="22"/>
          <w:szCs w:val="22"/>
        </w:rPr>
      </w:pPr>
      <w:r w:rsidRPr="00972868">
        <w:rPr>
          <w:snapToGrid w:val="0"/>
          <w:sz w:val="22"/>
          <w:szCs w:val="22"/>
        </w:rPr>
        <w:t>Veľkosť balenia: 30 tabliet</w:t>
      </w:r>
    </w:p>
    <w:p w14:paraId="6F8BA130" w14:textId="77777777" w:rsidR="00760720" w:rsidRPr="00972868" w:rsidRDefault="00760720" w:rsidP="00220454">
      <w:pPr>
        <w:pStyle w:val="Hlavika"/>
        <w:tabs>
          <w:tab w:val="clear" w:pos="4320"/>
          <w:tab w:val="clear" w:pos="8640"/>
        </w:tabs>
        <w:adjustRightInd w:val="0"/>
        <w:snapToGrid w:val="0"/>
        <w:spacing w:after="0"/>
        <w:rPr>
          <w:snapToGrid w:val="0"/>
          <w:sz w:val="22"/>
          <w:szCs w:val="22"/>
        </w:rPr>
      </w:pPr>
    </w:p>
    <w:p w14:paraId="5AB3AD11" w14:textId="77777777" w:rsidR="00220454" w:rsidRPr="00972868" w:rsidRDefault="00220454" w:rsidP="00220454">
      <w:pPr>
        <w:pStyle w:val="Textkomentra"/>
        <w:keepNext/>
        <w:spacing w:after="0"/>
        <w:rPr>
          <w:b/>
          <w:sz w:val="22"/>
          <w:szCs w:val="22"/>
        </w:rPr>
      </w:pPr>
      <w:r w:rsidRPr="00972868">
        <w:rPr>
          <w:b/>
          <w:sz w:val="22"/>
          <w:szCs w:val="22"/>
        </w:rPr>
        <w:t>6.6</w:t>
      </w:r>
      <w:r w:rsidRPr="00972868">
        <w:rPr>
          <w:b/>
          <w:sz w:val="22"/>
          <w:szCs w:val="22"/>
        </w:rPr>
        <w:tab/>
        <w:t>Špeciálne opatrenia na likvidáciu</w:t>
      </w:r>
    </w:p>
    <w:p w14:paraId="3A033E1E" w14:textId="77777777" w:rsidR="00220454" w:rsidRPr="00972868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2972CFAE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Žiadne zvláštne požiadavky.</w:t>
      </w:r>
    </w:p>
    <w:p w14:paraId="34960454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A30D43E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3E4B4489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b/>
          <w:sz w:val="22"/>
          <w:szCs w:val="22"/>
        </w:rPr>
      </w:pPr>
      <w:r w:rsidRPr="00972868">
        <w:rPr>
          <w:b/>
          <w:sz w:val="22"/>
          <w:szCs w:val="22"/>
        </w:rPr>
        <w:t>7.</w:t>
      </w:r>
      <w:r w:rsidRPr="00972868">
        <w:rPr>
          <w:b/>
          <w:sz w:val="22"/>
          <w:szCs w:val="22"/>
        </w:rPr>
        <w:tab/>
        <w:t>DRŽITEĽ ROZHODNUTIA O REGISTRÁCII</w:t>
      </w:r>
    </w:p>
    <w:p w14:paraId="689118E7" w14:textId="77777777" w:rsidR="00220454" w:rsidRPr="00972868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21754DA8" w14:textId="77777777" w:rsidR="00760720" w:rsidRPr="00972868" w:rsidRDefault="00760720" w:rsidP="00760720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Gedeon Richter Plc.</w:t>
      </w:r>
    </w:p>
    <w:p w14:paraId="2C30E38D" w14:textId="77777777" w:rsidR="00760720" w:rsidRPr="00972868" w:rsidRDefault="00760720" w:rsidP="00760720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H-1103 Budapešť</w:t>
      </w:r>
    </w:p>
    <w:p w14:paraId="6A965091" w14:textId="77777777" w:rsidR="00760720" w:rsidRPr="00972868" w:rsidRDefault="00760720" w:rsidP="00760720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Gyömrői út 19-21.</w:t>
      </w:r>
    </w:p>
    <w:p w14:paraId="239DBB4C" w14:textId="77777777" w:rsidR="00760720" w:rsidRPr="00972868" w:rsidRDefault="00760720" w:rsidP="00760720">
      <w:pPr>
        <w:adjustRightInd w:val="0"/>
        <w:snapToGrid w:val="0"/>
        <w:spacing w:after="0"/>
        <w:rPr>
          <w:sz w:val="22"/>
          <w:szCs w:val="22"/>
        </w:rPr>
      </w:pPr>
      <w:r w:rsidRPr="00972868">
        <w:rPr>
          <w:sz w:val="22"/>
          <w:szCs w:val="22"/>
        </w:rPr>
        <w:t>Maďarsko</w:t>
      </w:r>
    </w:p>
    <w:p w14:paraId="7527064F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7529EB46" w14:textId="77777777" w:rsidR="00220454" w:rsidRPr="00972868" w:rsidRDefault="00220454" w:rsidP="00220454">
      <w:pPr>
        <w:adjustRightInd w:val="0"/>
        <w:snapToGrid w:val="0"/>
        <w:spacing w:after="0"/>
        <w:rPr>
          <w:sz w:val="22"/>
          <w:szCs w:val="22"/>
        </w:rPr>
      </w:pPr>
    </w:p>
    <w:p w14:paraId="6433CFE4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b/>
          <w:sz w:val="22"/>
          <w:szCs w:val="22"/>
        </w:rPr>
      </w:pPr>
      <w:r w:rsidRPr="00972868">
        <w:rPr>
          <w:b/>
          <w:sz w:val="22"/>
          <w:szCs w:val="22"/>
        </w:rPr>
        <w:t>8.</w:t>
      </w:r>
      <w:r w:rsidRPr="00972868">
        <w:rPr>
          <w:b/>
          <w:sz w:val="22"/>
          <w:szCs w:val="22"/>
        </w:rPr>
        <w:tab/>
        <w:t>REGISTRAČNÉ ČÍSLO</w:t>
      </w:r>
    </w:p>
    <w:p w14:paraId="32BB5A96" w14:textId="77777777" w:rsidR="00220454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588EF087" w14:textId="77777777" w:rsidR="006F782B" w:rsidRPr="00972868" w:rsidRDefault="006F782B" w:rsidP="000778E7">
      <w:pPr>
        <w:adjustRightInd w:val="0"/>
        <w:snapToGrid w:val="0"/>
        <w:spacing w:after="0"/>
        <w:rPr>
          <w:sz w:val="22"/>
          <w:szCs w:val="22"/>
        </w:rPr>
      </w:pPr>
      <w:r w:rsidRPr="006F782B">
        <w:rPr>
          <w:sz w:val="22"/>
          <w:szCs w:val="22"/>
        </w:rPr>
        <w:t>31/0001/16-S</w:t>
      </w:r>
    </w:p>
    <w:p w14:paraId="7EAE422E" w14:textId="77777777" w:rsidR="00220454" w:rsidRDefault="00220454" w:rsidP="00220454">
      <w:pPr>
        <w:adjustRightInd w:val="0"/>
        <w:snapToGrid w:val="0"/>
        <w:spacing w:after="0"/>
        <w:rPr>
          <w:b/>
          <w:sz w:val="22"/>
          <w:szCs w:val="22"/>
        </w:rPr>
      </w:pPr>
    </w:p>
    <w:p w14:paraId="7E2DE86D" w14:textId="77777777" w:rsidR="003E00EB" w:rsidRPr="00972868" w:rsidRDefault="003E00EB" w:rsidP="00220454">
      <w:pPr>
        <w:adjustRightInd w:val="0"/>
        <w:snapToGrid w:val="0"/>
        <w:spacing w:after="0"/>
        <w:rPr>
          <w:b/>
          <w:sz w:val="22"/>
          <w:szCs w:val="22"/>
        </w:rPr>
      </w:pPr>
    </w:p>
    <w:p w14:paraId="423A9868" w14:textId="77777777" w:rsidR="00220454" w:rsidRPr="00972868" w:rsidRDefault="00220454" w:rsidP="00220454">
      <w:pPr>
        <w:keepNext/>
        <w:adjustRightInd w:val="0"/>
        <w:snapToGrid w:val="0"/>
        <w:spacing w:after="0"/>
        <w:rPr>
          <w:b/>
          <w:sz w:val="22"/>
          <w:szCs w:val="22"/>
        </w:rPr>
      </w:pPr>
      <w:r w:rsidRPr="00972868">
        <w:rPr>
          <w:b/>
          <w:sz w:val="22"/>
          <w:szCs w:val="22"/>
        </w:rPr>
        <w:t>9.</w:t>
      </w:r>
      <w:r w:rsidRPr="00972868">
        <w:rPr>
          <w:b/>
          <w:sz w:val="22"/>
          <w:szCs w:val="22"/>
        </w:rPr>
        <w:tab/>
        <w:t xml:space="preserve">DÁTUM PRVEJ </w:t>
      </w:r>
      <w:r w:rsidR="00760720" w:rsidRPr="00972868">
        <w:rPr>
          <w:b/>
          <w:sz w:val="22"/>
          <w:szCs w:val="22"/>
        </w:rPr>
        <w:t>REGISTRÁCIE/</w:t>
      </w:r>
      <w:r w:rsidRPr="00972868">
        <w:rPr>
          <w:b/>
          <w:sz w:val="22"/>
          <w:szCs w:val="22"/>
        </w:rPr>
        <w:t>PREDĹŽENIA REGISTRÁCIE</w:t>
      </w:r>
    </w:p>
    <w:p w14:paraId="5CF59C88" w14:textId="77777777" w:rsidR="00220454" w:rsidRDefault="00220454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5582E393" w14:textId="77777777" w:rsidR="00AC64FB" w:rsidRPr="00972868" w:rsidRDefault="00AC64FB" w:rsidP="000778E7">
      <w:pPr>
        <w:adjustRightInd w:val="0"/>
        <w:snapToGrid w:val="0"/>
        <w:spacing w:after="0"/>
        <w:rPr>
          <w:sz w:val="22"/>
          <w:szCs w:val="22"/>
        </w:rPr>
      </w:pPr>
    </w:p>
    <w:p w14:paraId="196153E6" w14:textId="77777777" w:rsidR="00220454" w:rsidRPr="00972868" w:rsidRDefault="00220454" w:rsidP="00220454">
      <w:pPr>
        <w:adjustRightInd w:val="0"/>
        <w:snapToGrid w:val="0"/>
        <w:spacing w:after="0"/>
        <w:rPr>
          <w:b/>
          <w:sz w:val="22"/>
          <w:szCs w:val="22"/>
        </w:rPr>
      </w:pPr>
    </w:p>
    <w:p w14:paraId="45DC5BB2" w14:textId="77777777" w:rsidR="00220454" w:rsidRDefault="00220454" w:rsidP="00220454">
      <w:pPr>
        <w:keepNext/>
        <w:adjustRightInd w:val="0"/>
        <w:snapToGrid w:val="0"/>
        <w:spacing w:after="0"/>
        <w:rPr>
          <w:b/>
          <w:sz w:val="22"/>
          <w:szCs w:val="22"/>
        </w:rPr>
      </w:pPr>
      <w:r w:rsidRPr="00972868">
        <w:rPr>
          <w:b/>
          <w:sz w:val="22"/>
          <w:szCs w:val="22"/>
        </w:rPr>
        <w:t>10.</w:t>
      </w:r>
      <w:r w:rsidRPr="00972868">
        <w:rPr>
          <w:b/>
          <w:sz w:val="22"/>
          <w:szCs w:val="22"/>
        </w:rPr>
        <w:tab/>
      </w:r>
      <w:r w:rsidR="00760720" w:rsidRPr="00972868">
        <w:rPr>
          <w:b/>
          <w:sz w:val="22"/>
          <w:szCs w:val="22"/>
        </w:rPr>
        <w:t>DÁTUM REVÍZIE TEXTU</w:t>
      </w:r>
    </w:p>
    <w:p w14:paraId="31B69DE5" w14:textId="77777777" w:rsidR="00D3363F" w:rsidRDefault="00D3363F" w:rsidP="00220454">
      <w:pPr>
        <w:keepNext/>
        <w:adjustRightInd w:val="0"/>
        <w:snapToGrid w:val="0"/>
        <w:spacing w:after="0"/>
        <w:rPr>
          <w:b/>
          <w:sz w:val="22"/>
          <w:szCs w:val="22"/>
        </w:rPr>
      </w:pPr>
    </w:p>
    <w:p w14:paraId="45D4390D" w14:textId="77777777" w:rsidR="00D3363F" w:rsidRPr="0069082A" w:rsidRDefault="006F782B" w:rsidP="00220454">
      <w:pPr>
        <w:keepNext/>
        <w:adjustRightInd w:val="0"/>
        <w:snapToGrid w:val="0"/>
        <w:spacing w:after="0"/>
        <w:rPr>
          <w:sz w:val="22"/>
          <w:szCs w:val="22"/>
        </w:rPr>
      </w:pPr>
      <w:r w:rsidRPr="0069082A">
        <w:rPr>
          <w:sz w:val="22"/>
          <w:szCs w:val="22"/>
        </w:rPr>
        <w:t>0</w:t>
      </w:r>
      <w:r w:rsidR="002B69F9" w:rsidRPr="0069082A">
        <w:rPr>
          <w:sz w:val="22"/>
          <w:szCs w:val="22"/>
        </w:rPr>
        <w:t>2</w:t>
      </w:r>
      <w:r w:rsidR="00D3363F" w:rsidRPr="0069082A">
        <w:rPr>
          <w:sz w:val="22"/>
          <w:szCs w:val="22"/>
        </w:rPr>
        <w:t>/201</w:t>
      </w:r>
      <w:r w:rsidRPr="0069082A">
        <w:rPr>
          <w:sz w:val="22"/>
          <w:szCs w:val="22"/>
        </w:rPr>
        <w:t>6</w:t>
      </w:r>
    </w:p>
    <w:sectPr w:rsidR="00D3363F" w:rsidRPr="0069082A" w:rsidSect="00EE408A">
      <w:footerReference w:type="even" r:id="rId9"/>
      <w:footerReference w:type="default" r:id="rId10"/>
      <w:pgSz w:w="11906" w:h="16838" w:code="9"/>
      <w:pgMar w:top="1134" w:right="1418" w:bottom="1134" w:left="1418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5586C" w14:textId="77777777" w:rsidR="00B12D54" w:rsidRDefault="00B12D54" w:rsidP="00846DFB">
      <w:pPr>
        <w:spacing w:after="0"/>
      </w:pPr>
      <w:r>
        <w:separator/>
      </w:r>
    </w:p>
  </w:endnote>
  <w:endnote w:type="continuationSeparator" w:id="0">
    <w:p w14:paraId="0BC51D7E" w14:textId="77777777" w:rsidR="00B12D54" w:rsidRDefault="00B12D54" w:rsidP="00846D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5582F" w14:textId="77777777" w:rsidR="00567C3C" w:rsidRDefault="004970DC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567C3C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1454BA13" w14:textId="77777777" w:rsidR="00567C3C" w:rsidRDefault="00567C3C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E6B72" w14:textId="77777777" w:rsidR="00567C3C" w:rsidRPr="00E97E77" w:rsidRDefault="004970DC">
    <w:pPr>
      <w:pStyle w:val="Pta"/>
      <w:framePr w:wrap="around" w:vAnchor="text" w:hAnchor="margin" w:xAlign="center" w:y="1"/>
      <w:rPr>
        <w:rStyle w:val="slostrany"/>
        <w:sz w:val="18"/>
        <w:szCs w:val="18"/>
      </w:rPr>
    </w:pPr>
    <w:r w:rsidRPr="00E97E77">
      <w:rPr>
        <w:rStyle w:val="slostrany"/>
        <w:sz w:val="18"/>
        <w:szCs w:val="18"/>
      </w:rPr>
      <w:fldChar w:fldCharType="begin"/>
    </w:r>
    <w:r w:rsidR="00567C3C" w:rsidRPr="00E97E77">
      <w:rPr>
        <w:rStyle w:val="slostrany"/>
        <w:sz w:val="18"/>
        <w:szCs w:val="18"/>
      </w:rPr>
      <w:instrText xml:space="preserve">PAGE  </w:instrText>
    </w:r>
    <w:r w:rsidRPr="00E97E77">
      <w:rPr>
        <w:rStyle w:val="slostrany"/>
        <w:sz w:val="18"/>
        <w:szCs w:val="18"/>
      </w:rPr>
      <w:fldChar w:fldCharType="separate"/>
    </w:r>
    <w:r w:rsidR="009A5BC5">
      <w:rPr>
        <w:rStyle w:val="slostrany"/>
        <w:noProof/>
        <w:sz w:val="18"/>
        <w:szCs w:val="18"/>
      </w:rPr>
      <w:t>14</w:t>
    </w:r>
    <w:r w:rsidRPr="00E97E77">
      <w:rPr>
        <w:rStyle w:val="slostrany"/>
        <w:sz w:val="18"/>
        <w:szCs w:val="18"/>
      </w:rPr>
      <w:fldChar w:fldCharType="end"/>
    </w:r>
  </w:p>
  <w:p w14:paraId="17ACADE3" w14:textId="77777777" w:rsidR="00567C3C" w:rsidRDefault="00567C3C">
    <w:pPr>
      <w:pStyle w:val="Pta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0A77B" w14:textId="77777777" w:rsidR="00B12D54" w:rsidRDefault="00B12D54" w:rsidP="00846DFB">
      <w:pPr>
        <w:spacing w:after="0"/>
      </w:pPr>
      <w:r>
        <w:separator/>
      </w:r>
    </w:p>
  </w:footnote>
  <w:footnote w:type="continuationSeparator" w:id="0">
    <w:p w14:paraId="05FA1054" w14:textId="77777777" w:rsidR="00B12D54" w:rsidRDefault="00B12D54" w:rsidP="00846D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437822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D0F0903"/>
    <w:multiLevelType w:val="hybridMultilevel"/>
    <w:tmpl w:val="A4C0027E"/>
    <w:lvl w:ilvl="0" w:tplc="8FD8CE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25827"/>
    <w:multiLevelType w:val="hybridMultilevel"/>
    <w:tmpl w:val="F7565BD6"/>
    <w:lvl w:ilvl="0" w:tplc="04090001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66"/>
        </w:tabs>
        <w:ind w:left="2866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794"/>
        </w:tabs>
        <w:ind w:left="2794" w:hanging="360"/>
      </w:pPr>
    </w:lvl>
    <w:lvl w:ilvl="3" w:tplc="04090001">
      <w:start w:val="1"/>
      <w:numFmt w:val="decimal"/>
      <w:lvlText w:val="%4."/>
      <w:lvlJc w:val="left"/>
      <w:pPr>
        <w:tabs>
          <w:tab w:val="num" w:pos="3514"/>
        </w:tabs>
        <w:ind w:left="3514" w:hanging="360"/>
      </w:pPr>
    </w:lvl>
    <w:lvl w:ilvl="4" w:tplc="04090003">
      <w:start w:val="1"/>
      <w:numFmt w:val="decimal"/>
      <w:lvlText w:val="%5."/>
      <w:lvlJc w:val="left"/>
      <w:pPr>
        <w:tabs>
          <w:tab w:val="num" w:pos="4234"/>
        </w:tabs>
        <w:ind w:left="4234" w:hanging="360"/>
      </w:pPr>
    </w:lvl>
    <w:lvl w:ilvl="5" w:tplc="04090005">
      <w:start w:val="1"/>
      <w:numFmt w:val="decimal"/>
      <w:lvlText w:val="%6."/>
      <w:lvlJc w:val="left"/>
      <w:pPr>
        <w:tabs>
          <w:tab w:val="num" w:pos="4954"/>
        </w:tabs>
        <w:ind w:left="4954" w:hanging="360"/>
      </w:pPr>
    </w:lvl>
    <w:lvl w:ilvl="6" w:tplc="04090001">
      <w:start w:val="1"/>
      <w:numFmt w:val="decimal"/>
      <w:lvlText w:val="%7."/>
      <w:lvlJc w:val="left"/>
      <w:pPr>
        <w:tabs>
          <w:tab w:val="num" w:pos="5674"/>
        </w:tabs>
        <w:ind w:left="5674" w:hanging="360"/>
      </w:pPr>
    </w:lvl>
    <w:lvl w:ilvl="7" w:tplc="04090003">
      <w:start w:val="1"/>
      <w:numFmt w:val="decimal"/>
      <w:lvlText w:val="%8."/>
      <w:lvlJc w:val="left"/>
      <w:pPr>
        <w:tabs>
          <w:tab w:val="num" w:pos="6394"/>
        </w:tabs>
        <w:ind w:left="6394" w:hanging="360"/>
      </w:pPr>
    </w:lvl>
    <w:lvl w:ilvl="8" w:tplc="04090005">
      <w:start w:val="1"/>
      <w:numFmt w:val="decimal"/>
      <w:lvlText w:val="%9."/>
      <w:lvlJc w:val="left"/>
      <w:pPr>
        <w:tabs>
          <w:tab w:val="num" w:pos="7114"/>
        </w:tabs>
        <w:ind w:left="7114" w:hanging="360"/>
      </w:pPr>
    </w:lvl>
  </w:abstractNum>
  <w:abstractNum w:abstractNumId="4" w15:restartNumberingAfterBreak="0">
    <w:nsid w:val="23D97265"/>
    <w:multiLevelType w:val="hybridMultilevel"/>
    <w:tmpl w:val="1652A0C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66DD7"/>
    <w:multiLevelType w:val="multilevel"/>
    <w:tmpl w:val="DF0EB77A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298E6BEF"/>
    <w:multiLevelType w:val="multilevel"/>
    <w:tmpl w:val="058AFA3E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F7F6812"/>
    <w:multiLevelType w:val="singleLevel"/>
    <w:tmpl w:val="9B3233D0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</w:lvl>
  </w:abstractNum>
  <w:abstractNum w:abstractNumId="8" w15:restartNumberingAfterBreak="0">
    <w:nsid w:val="313D3BFC"/>
    <w:multiLevelType w:val="hybridMultilevel"/>
    <w:tmpl w:val="04A815DE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E1217B"/>
    <w:multiLevelType w:val="hybridMultilevel"/>
    <w:tmpl w:val="2C9E2126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02851"/>
    <w:multiLevelType w:val="hybridMultilevel"/>
    <w:tmpl w:val="B4244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37A24"/>
    <w:multiLevelType w:val="hybridMultilevel"/>
    <w:tmpl w:val="F2C63BD8"/>
    <w:lvl w:ilvl="0" w:tplc="8856CEE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649F7"/>
    <w:multiLevelType w:val="hybridMultilevel"/>
    <w:tmpl w:val="2DF68F9A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C4544"/>
    <w:multiLevelType w:val="hybridMultilevel"/>
    <w:tmpl w:val="F93C1EA0"/>
    <w:lvl w:ilvl="0" w:tplc="6EF41E40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D1B37"/>
    <w:multiLevelType w:val="multilevel"/>
    <w:tmpl w:val="6D4C6AF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56217FF7"/>
    <w:multiLevelType w:val="multilevel"/>
    <w:tmpl w:val="D8245C0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8322C1C"/>
    <w:multiLevelType w:val="multilevel"/>
    <w:tmpl w:val="CA22241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AF81C1A"/>
    <w:multiLevelType w:val="multilevel"/>
    <w:tmpl w:val="8DD8132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965FB6"/>
    <w:multiLevelType w:val="multilevel"/>
    <w:tmpl w:val="4C048A6C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5E55388"/>
    <w:multiLevelType w:val="multilevel"/>
    <w:tmpl w:val="1E4460C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C4D08B9"/>
    <w:multiLevelType w:val="multilevel"/>
    <w:tmpl w:val="BFC09FB6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6736D9C"/>
    <w:multiLevelType w:val="multilevel"/>
    <w:tmpl w:val="62DE74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21"/>
  </w:num>
  <w:num w:numId="2">
    <w:abstractNumId w:val="5"/>
  </w:num>
  <w:num w:numId="3">
    <w:abstractNumId w:val="5"/>
    <w:lvlOverride w:ilvl="0">
      <w:startOverride w:val="4"/>
    </w:lvlOverride>
  </w:num>
  <w:num w:numId="4">
    <w:abstractNumId w:val="17"/>
  </w:num>
  <w:num w:numId="5">
    <w:abstractNumId w:val="14"/>
  </w:num>
  <w:num w:numId="6">
    <w:abstractNumId w:val="16"/>
  </w:num>
  <w:num w:numId="7">
    <w:abstractNumId w:val="20"/>
  </w:num>
  <w:num w:numId="8">
    <w:abstractNumId w:val="18"/>
  </w:num>
  <w:num w:numId="9">
    <w:abstractNumId w:val="19"/>
  </w:num>
  <w:num w:numId="10">
    <w:abstractNumId w:val="6"/>
  </w:num>
  <w:num w:numId="11">
    <w:abstractNumId w:val="15"/>
  </w:num>
  <w:num w:numId="12">
    <w:abstractNumId w:val="1"/>
  </w:num>
  <w:num w:numId="13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927" w:hanging="360"/>
        </w:pPr>
      </w:lvl>
    </w:lvlOverride>
  </w:num>
  <w:num w:numId="14">
    <w:abstractNumId w:val="7"/>
    <w:lvlOverride w:ilvl="0">
      <w:startOverride w:val="1"/>
    </w:lvlOverride>
  </w:num>
  <w:num w:numId="15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0454"/>
    <w:rsid w:val="000373DE"/>
    <w:rsid w:val="000778E7"/>
    <w:rsid w:val="000B58F3"/>
    <w:rsid w:val="000E4B24"/>
    <w:rsid w:val="001058E7"/>
    <w:rsid w:val="00181FBC"/>
    <w:rsid w:val="00187F9C"/>
    <w:rsid w:val="001A2956"/>
    <w:rsid w:val="001A358E"/>
    <w:rsid w:val="001A6C12"/>
    <w:rsid w:val="001D1BA8"/>
    <w:rsid w:val="001E66FC"/>
    <w:rsid w:val="00220454"/>
    <w:rsid w:val="00227A81"/>
    <w:rsid w:val="002370FD"/>
    <w:rsid w:val="00244719"/>
    <w:rsid w:val="002B69F9"/>
    <w:rsid w:val="00325F56"/>
    <w:rsid w:val="00345C50"/>
    <w:rsid w:val="00354F0B"/>
    <w:rsid w:val="00382413"/>
    <w:rsid w:val="003C7570"/>
    <w:rsid w:val="003E00EB"/>
    <w:rsid w:val="003F3474"/>
    <w:rsid w:val="00421BFC"/>
    <w:rsid w:val="00435E0D"/>
    <w:rsid w:val="004970DC"/>
    <w:rsid w:val="004F3505"/>
    <w:rsid w:val="005004F1"/>
    <w:rsid w:val="005415D3"/>
    <w:rsid w:val="00545684"/>
    <w:rsid w:val="00567C3C"/>
    <w:rsid w:val="005A3236"/>
    <w:rsid w:val="0061538F"/>
    <w:rsid w:val="00643599"/>
    <w:rsid w:val="0069082A"/>
    <w:rsid w:val="0069318C"/>
    <w:rsid w:val="006B3FE8"/>
    <w:rsid w:val="006B7DE4"/>
    <w:rsid w:val="006F782B"/>
    <w:rsid w:val="00724EBD"/>
    <w:rsid w:val="00760720"/>
    <w:rsid w:val="00762E87"/>
    <w:rsid w:val="00790DB9"/>
    <w:rsid w:val="007B3770"/>
    <w:rsid w:val="007C75EA"/>
    <w:rsid w:val="007E01DB"/>
    <w:rsid w:val="007E52BE"/>
    <w:rsid w:val="007E6C03"/>
    <w:rsid w:val="0081685C"/>
    <w:rsid w:val="0082110C"/>
    <w:rsid w:val="00846DFB"/>
    <w:rsid w:val="0086192A"/>
    <w:rsid w:val="00873FF4"/>
    <w:rsid w:val="00875C86"/>
    <w:rsid w:val="00884694"/>
    <w:rsid w:val="00972868"/>
    <w:rsid w:val="009A5BC5"/>
    <w:rsid w:val="009D0028"/>
    <w:rsid w:val="00A244A5"/>
    <w:rsid w:val="00AA3193"/>
    <w:rsid w:val="00AC0C32"/>
    <w:rsid w:val="00AC64FB"/>
    <w:rsid w:val="00AD65D9"/>
    <w:rsid w:val="00B12D54"/>
    <w:rsid w:val="00B179A8"/>
    <w:rsid w:val="00B967B5"/>
    <w:rsid w:val="00BC2774"/>
    <w:rsid w:val="00BC2D68"/>
    <w:rsid w:val="00BD5896"/>
    <w:rsid w:val="00BE1313"/>
    <w:rsid w:val="00C27AC2"/>
    <w:rsid w:val="00C34936"/>
    <w:rsid w:val="00C937D8"/>
    <w:rsid w:val="00CB2136"/>
    <w:rsid w:val="00CB39F3"/>
    <w:rsid w:val="00D3363F"/>
    <w:rsid w:val="00D42117"/>
    <w:rsid w:val="00D80D69"/>
    <w:rsid w:val="00DB0AD0"/>
    <w:rsid w:val="00E30F7F"/>
    <w:rsid w:val="00E3334A"/>
    <w:rsid w:val="00E738C4"/>
    <w:rsid w:val="00EB42B3"/>
    <w:rsid w:val="00EE1693"/>
    <w:rsid w:val="00EE408A"/>
    <w:rsid w:val="00FA20EB"/>
    <w:rsid w:val="00FC144C"/>
    <w:rsid w:val="00FC3519"/>
    <w:rsid w:val="00FC6382"/>
    <w:rsid w:val="00F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58F4"/>
  <w15:docId w15:val="{2F2D75DB-5E45-4C34-900C-1C11712B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2045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220454"/>
    <w:pPr>
      <w:keepNext/>
      <w:numPr>
        <w:numId w:val="2"/>
      </w:numPr>
      <w:spacing w:before="240"/>
      <w:ind w:left="357" w:hanging="357"/>
      <w:outlineLvl w:val="0"/>
    </w:pPr>
    <w:rPr>
      <w:rFonts w:cs="Arial"/>
      <w:b/>
      <w:bCs/>
      <w:caps/>
      <w:kern w:val="32"/>
      <w:sz w:val="28"/>
      <w:szCs w:val="28"/>
    </w:rPr>
  </w:style>
  <w:style w:type="paragraph" w:styleId="Nadpis2">
    <w:name w:val="heading 2"/>
    <w:basedOn w:val="Normlny"/>
    <w:next w:val="Normlny"/>
    <w:link w:val="Nadpis2Char"/>
    <w:qFormat/>
    <w:rsid w:val="0022045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y"/>
    <w:next w:val="Normlny"/>
    <w:link w:val="Nadpis3Char"/>
    <w:qFormat/>
    <w:rsid w:val="00220454"/>
    <w:pPr>
      <w:keepNext/>
      <w:spacing w:before="240" w:after="60"/>
      <w:outlineLvl w:val="2"/>
    </w:pPr>
    <w:rPr>
      <w:rFonts w:cs="Arial"/>
      <w:b/>
      <w:bCs/>
      <w:i/>
      <w:szCs w:val="26"/>
    </w:rPr>
  </w:style>
  <w:style w:type="paragraph" w:styleId="Nadpis4">
    <w:name w:val="heading 4"/>
    <w:basedOn w:val="Normlny"/>
    <w:next w:val="Normlny"/>
    <w:link w:val="Nadpis4Char"/>
    <w:qFormat/>
    <w:rsid w:val="00220454"/>
    <w:pPr>
      <w:keepNext/>
      <w:outlineLvl w:val="3"/>
    </w:pPr>
    <w:rPr>
      <w:rFonts w:ascii="Arial" w:hAnsi="Arial"/>
      <w:b/>
      <w:i/>
      <w:sz w:val="20"/>
    </w:rPr>
  </w:style>
  <w:style w:type="paragraph" w:styleId="Nadpis5">
    <w:name w:val="heading 5"/>
    <w:basedOn w:val="Normlny"/>
    <w:next w:val="Normlny"/>
    <w:link w:val="Nadpis5Char"/>
    <w:qFormat/>
    <w:rsid w:val="00220454"/>
    <w:pPr>
      <w:keepNext/>
      <w:spacing w:after="0"/>
      <w:jc w:val="both"/>
      <w:outlineLvl w:val="4"/>
    </w:pPr>
    <w:rPr>
      <w:rFonts w:ascii="Arial" w:hAnsi="Arial"/>
      <w:b/>
      <w:i/>
      <w:sz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20454"/>
    <w:rPr>
      <w:rFonts w:ascii="Times New Roman" w:eastAsia="Times New Roman" w:hAnsi="Times New Roman" w:cs="Arial"/>
      <w:b/>
      <w:bCs/>
      <w:caps/>
      <w:kern w:val="32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rsid w:val="00220454"/>
    <w:rPr>
      <w:rFonts w:ascii="Times New Roman" w:eastAsia="Times New Roman" w:hAnsi="Times New Roman" w:cs="Arial"/>
      <w:b/>
      <w:bCs/>
      <w:iCs/>
      <w:sz w:val="24"/>
      <w:szCs w:val="28"/>
      <w:lang w:eastAsia="sk-SK"/>
    </w:rPr>
  </w:style>
  <w:style w:type="character" w:customStyle="1" w:styleId="Nadpis3Char">
    <w:name w:val="Nadpis 3 Char"/>
    <w:basedOn w:val="Predvolenpsmoodseku"/>
    <w:link w:val="Nadpis3"/>
    <w:rsid w:val="00220454"/>
    <w:rPr>
      <w:rFonts w:ascii="Times New Roman" w:eastAsia="Times New Roman" w:hAnsi="Times New Roman" w:cs="Arial"/>
      <w:b/>
      <w:bCs/>
      <w:i/>
      <w:sz w:val="24"/>
      <w:szCs w:val="26"/>
      <w:lang w:eastAsia="sk-SK"/>
    </w:rPr>
  </w:style>
  <w:style w:type="character" w:customStyle="1" w:styleId="Nadpis4Char">
    <w:name w:val="Nadpis 4 Char"/>
    <w:basedOn w:val="Predvolenpsmoodseku"/>
    <w:link w:val="Nadpis4"/>
    <w:rsid w:val="00220454"/>
    <w:rPr>
      <w:rFonts w:ascii="Arial" w:eastAsia="Times New Roman" w:hAnsi="Arial" w:cs="Times New Roman"/>
      <w:b/>
      <w:i/>
      <w:sz w:val="20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rsid w:val="00220454"/>
    <w:rPr>
      <w:rFonts w:ascii="Arial" w:eastAsia="Times New Roman" w:hAnsi="Arial" w:cs="Times New Roman"/>
      <w:b/>
      <w:i/>
      <w:sz w:val="20"/>
      <w:szCs w:val="24"/>
      <w:lang w:eastAsia="sk-SK"/>
    </w:rPr>
  </w:style>
  <w:style w:type="character" w:styleId="Odkaznakomentr">
    <w:name w:val="annotation reference"/>
    <w:semiHidden/>
    <w:rsid w:val="00220454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rsid w:val="00220454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semiHidden/>
    <w:rsid w:val="00220454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semiHidden/>
    <w:rsid w:val="0022045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20454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semiHidden/>
    <w:rsid w:val="0022045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220454"/>
    <w:rPr>
      <w:rFonts w:ascii="Tahoma" w:eastAsia="Times New Roman" w:hAnsi="Tahoma" w:cs="Tahoma"/>
      <w:sz w:val="16"/>
      <w:szCs w:val="16"/>
      <w:lang w:eastAsia="sk-SK"/>
    </w:rPr>
  </w:style>
  <w:style w:type="paragraph" w:customStyle="1" w:styleId="cellleft9">
    <w:name w:val="cell:left9"/>
    <w:basedOn w:val="Normlny"/>
    <w:next w:val="Normlny"/>
    <w:rsid w:val="00220454"/>
    <w:pPr>
      <w:spacing w:before="30" w:after="30"/>
    </w:pPr>
    <w:rPr>
      <w:rFonts w:ascii="Arial" w:hAnsi="Arial"/>
      <w:sz w:val="18"/>
      <w:szCs w:val="20"/>
      <w:lang w:val="en-US" w:eastAsia="en-US"/>
    </w:rPr>
  </w:style>
  <w:style w:type="paragraph" w:customStyle="1" w:styleId="cellleft">
    <w:name w:val="cell:left"/>
    <w:basedOn w:val="Normlny"/>
    <w:next w:val="Normlny"/>
    <w:rsid w:val="00220454"/>
    <w:pPr>
      <w:tabs>
        <w:tab w:val="left" w:pos="360"/>
      </w:tabs>
      <w:spacing w:after="43"/>
    </w:pPr>
    <w:rPr>
      <w:rFonts w:ascii="Arial" w:hAnsi="Arial"/>
      <w:szCs w:val="20"/>
      <w:lang w:val="en-US" w:eastAsia="en-US"/>
    </w:rPr>
  </w:style>
  <w:style w:type="paragraph" w:styleId="Zkladntext">
    <w:name w:val="Body Text"/>
    <w:basedOn w:val="Normlny"/>
    <w:link w:val="ZkladntextChar"/>
    <w:rsid w:val="00220454"/>
    <w:rPr>
      <w:rFonts w:ascii="Arial" w:hAnsi="Arial"/>
      <w:sz w:val="20"/>
    </w:rPr>
  </w:style>
  <w:style w:type="character" w:customStyle="1" w:styleId="ZkladntextChar">
    <w:name w:val="Základný text Char"/>
    <w:basedOn w:val="Predvolenpsmoodseku"/>
    <w:link w:val="Zkladntext"/>
    <w:rsid w:val="00220454"/>
    <w:rPr>
      <w:rFonts w:ascii="Arial" w:eastAsia="Times New Roman" w:hAnsi="Arial" w:cs="Times New Roman"/>
      <w:sz w:val="20"/>
      <w:szCs w:val="24"/>
      <w:lang w:eastAsia="sk-SK"/>
    </w:rPr>
  </w:style>
  <w:style w:type="paragraph" w:styleId="Pta">
    <w:name w:val="footer"/>
    <w:basedOn w:val="Normlny"/>
    <w:link w:val="PtaChar"/>
    <w:rsid w:val="00220454"/>
    <w:pPr>
      <w:tabs>
        <w:tab w:val="center" w:pos="4320"/>
        <w:tab w:val="right" w:pos="8640"/>
      </w:tabs>
    </w:pPr>
  </w:style>
  <w:style w:type="character" w:customStyle="1" w:styleId="PtaChar">
    <w:name w:val="Päta Char"/>
    <w:basedOn w:val="Predvolenpsmoodseku"/>
    <w:link w:val="Pta"/>
    <w:rsid w:val="00220454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rsid w:val="00220454"/>
  </w:style>
  <w:style w:type="paragraph" w:styleId="Hlavika">
    <w:name w:val="header"/>
    <w:basedOn w:val="Normlny"/>
    <w:link w:val="HlavikaChar"/>
    <w:rsid w:val="00220454"/>
    <w:pPr>
      <w:tabs>
        <w:tab w:val="center" w:pos="4320"/>
        <w:tab w:val="right" w:pos="8640"/>
      </w:tabs>
    </w:pPr>
  </w:style>
  <w:style w:type="character" w:customStyle="1" w:styleId="HlavikaChar">
    <w:name w:val="Hlavička Char"/>
    <w:basedOn w:val="Predvolenpsmoodseku"/>
    <w:link w:val="Hlavika"/>
    <w:rsid w:val="00220454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kladntext2">
    <w:name w:val="Body Text 2"/>
    <w:basedOn w:val="Normlny"/>
    <w:link w:val="Zkladntext2Char"/>
    <w:rsid w:val="00220454"/>
    <w:pPr>
      <w:spacing w:after="0"/>
      <w:jc w:val="both"/>
    </w:pPr>
    <w:rPr>
      <w:rFonts w:ascii="Arial" w:hAnsi="Arial"/>
      <w:sz w:val="20"/>
    </w:rPr>
  </w:style>
  <w:style w:type="character" w:customStyle="1" w:styleId="Zkladntext2Char">
    <w:name w:val="Základný text 2 Char"/>
    <w:basedOn w:val="Predvolenpsmoodseku"/>
    <w:link w:val="Zkladntext2"/>
    <w:rsid w:val="00220454"/>
    <w:rPr>
      <w:rFonts w:ascii="Arial" w:eastAsia="Times New Roman" w:hAnsi="Arial" w:cs="Times New Roman"/>
      <w:sz w:val="20"/>
      <w:szCs w:val="24"/>
      <w:lang w:eastAsia="sk-SK"/>
    </w:rPr>
  </w:style>
  <w:style w:type="paragraph" w:customStyle="1" w:styleId="knZulassung01">
    <w:name w:val="knZulassung01"/>
    <w:basedOn w:val="Normlny"/>
    <w:rsid w:val="00220454"/>
    <w:pPr>
      <w:tabs>
        <w:tab w:val="left" w:pos="567"/>
      </w:tabs>
      <w:spacing w:after="0"/>
      <w:ind w:left="1843" w:right="284" w:hanging="1843"/>
    </w:pPr>
    <w:rPr>
      <w:rFonts w:ascii="Courier" w:hAnsi="Courier"/>
      <w:szCs w:val="20"/>
      <w:lang w:val="de-DE" w:eastAsia="en-US"/>
    </w:rPr>
  </w:style>
  <w:style w:type="paragraph" w:styleId="Textpoznmkypodiarou">
    <w:name w:val="footnote text"/>
    <w:basedOn w:val="Normlny"/>
    <w:link w:val="TextpoznmkypodiarouChar"/>
    <w:semiHidden/>
    <w:rsid w:val="00220454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220454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Odkaznapoznmkupodiarou">
    <w:name w:val="footnote reference"/>
    <w:semiHidden/>
    <w:rsid w:val="00220454"/>
    <w:rPr>
      <w:vertAlign w:val="superscript"/>
    </w:rPr>
  </w:style>
  <w:style w:type="paragraph" w:styleId="Textvysvetlivky">
    <w:name w:val="endnote text"/>
    <w:basedOn w:val="Normlny"/>
    <w:link w:val="TextvysvetlivkyChar"/>
    <w:semiHidden/>
    <w:rsid w:val="00220454"/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semiHidden/>
    <w:rsid w:val="00220454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Odkaznavysvetlivku">
    <w:name w:val="endnote reference"/>
    <w:semiHidden/>
    <w:rsid w:val="00220454"/>
    <w:rPr>
      <w:vertAlign w:val="superscript"/>
    </w:rPr>
  </w:style>
  <w:style w:type="paragraph" w:styleId="Zarkazkladnhotextu">
    <w:name w:val="Body Text Indent"/>
    <w:basedOn w:val="Normlny"/>
    <w:link w:val="ZarkazkladnhotextuChar"/>
    <w:rsid w:val="00220454"/>
    <w:pPr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rsid w:val="00220454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Body">
    <w:name w:val="Body"/>
    <w:basedOn w:val="Normlny"/>
    <w:link w:val="BodyChar"/>
    <w:rsid w:val="00220454"/>
    <w:pPr>
      <w:spacing w:after="0"/>
      <w:ind w:firstLine="288"/>
      <w:jc w:val="both"/>
    </w:pPr>
    <w:rPr>
      <w:rFonts w:ascii="Arial" w:hAnsi="Arial"/>
      <w:sz w:val="20"/>
      <w:szCs w:val="20"/>
      <w:lang w:eastAsia="en-US"/>
    </w:rPr>
  </w:style>
  <w:style w:type="paragraph" w:customStyle="1" w:styleId="knZulassung02">
    <w:name w:val="knZulassung02"/>
    <w:basedOn w:val="Normlny"/>
    <w:rsid w:val="00220454"/>
    <w:pPr>
      <w:spacing w:after="0"/>
      <w:ind w:left="1843" w:right="284"/>
    </w:pPr>
    <w:rPr>
      <w:rFonts w:ascii="Courier" w:hAnsi="Courier"/>
      <w:szCs w:val="20"/>
      <w:lang w:val="de-DE" w:eastAsia="en-US"/>
    </w:rPr>
  </w:style>
  <w:style w:type="table" w:styleId="Mriekatabuky">
    <w:name w:val="Table Grid"/>
    <w:basedOn w:val="Normlnatabuka"/>
    <w:rsid w:val="002204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">
    <w:name w:val="Footnote"/>
    <w:basedOn w:val="Normlny"/>
    <w:next w:val="Body"/>
    <w:rsid w:val="00220454"/>
    <w:pPr>
      <w:keepLines/>
      <w:tabs>
        <w:tab w:val="right" w:pos="317"/>
        <w:tab w:val="left" w:pos="346"/>
      </w:tabs>
      <w:spacing w:after="0"/>
      <w:ind w:left="346" w:hanging="346"/>
    </w:pPr>
    <w:rPr>
      <w:rFonts w:ascii="Arial" w:hAnsi="Arial"/>
      <w:sz w:val="14"/>
      <w:szCs w:val="20"/>
      <w:lang w:val="en-US" w:eastAsia="en-US"/>
    </w:rPr>
  </w:style>
  <w:style w:type="paragraph" w:customStyle="1" w:styleId="Tablenormal">
    <w:name w:val="Table: normal"/>
    <w:basedOn w:val="Normlny"/>
    <w:rsid w:val="00220454"/>
    <w:pPr>
      <w:keepNext/>
      <w:keepLines/>
      <w:spacing w:after="0"/>
    </w:pPr>
    <w:rPr>
      <w:rFonts w:ascii="Arial" w:hAnsi="Arial"/>
      <w:sz w:val="14"/>
      <w:szCs w:val="20"/>
      <w:lang w:val="en-US" w:eastAsia="en-US"/>
    </w:rPr>
  </w:style>
  <w:style w:type="character" w:customStyle="1" w:styleId="BodyChar">
    <w:name w:val="Body Char"/>
    <w:link w:val="Body"/>
    <w:rsid w:val="00220454"/>
    <w:rPr>
      <w:rFonts w:ascii="Arial" w:eastAsia="Times New Roman" w:hAnsi="Arial" w:cs="Times New Roman"/>
      <w:sz w:val="20"/>
      <w:szCs w:val="20"/>
    </w:rPr>
  </w:style>
  <w:style w:type="paragraph" w:styleId="Revzia">
    <w:name w:val="Revision"/>
    <w:hidden/>
    <w:uiPriority w:val="99"/>
    <w:semiHidden/>
    <w:rsid w:val="002204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rsid w:val="00220454"/>
    <w:rPr>
      <w:color w:val="0000FF"/>
      <w:u w:val="single"/>
    </w:rPr>
  </w:style>
  <w:style w:type="character" w:styleId="PouitHypertextovPrepojenie">
    <w:name w:val="FollowedHyperlink"/>
    <w:rsid w:val="00220454"/>
    <w:rPr>
      <w:color w:val="800080"/>
      <w:u w:val="single"/>
    </w:rPr>
  </w:style>
  <w:style w:type="paragraph" w:styleId="Odsekzoznamu">
    <w:name w:val="List Paragraph"/>
    <w:basedOn w:val="Normlny"/>
    <w:uiPriority w:val="34"/>
    <w:qFormat/>
    <w:rsid w:val="0018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a.europa.eu/docs/en_GB/document_library/Template_or_form/2013/03/WC500139752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3BCEF2-5062-47E5-A2C8-54A2C3EDC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6794</Words>
  <Characters>38726</Characters>
  <Application>Microsoft Office Word</Application>
  <DocSecurity>0</DocSecurity>
  <Lines>322</Lines>
  <Paragraphs>90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Ľubica</dc:creator>
  <cp:lastModifiedBy>Petriková, Miroslava</cp:lastModifiedBy>
  <cp:revision>11</cp:revision>
  <cp:lastPrinted>2015-11-06T12:25:00Z</cp:lastPrinted>
  <dcterms:created xsi:type="dcterms:W3CDTF">2016-01-28T13:10:00Z</dcterms:created>
  <dcterms:modified xsi:type="dcterms:W3CDTF">2016-01-28T14:04:00Z</dcterms:modified>
</cp:coreProperties>
</file>