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97" w:rsidRPr="00B120EC" w:rsidRDefault="00761D97" w:rsidP="008B5C58">
      <w:pPr>
        <w:pStyle w:val="Nzov"/>
        <w:rPr>
          <w:rFonts w:ascii="Times New Roman" w:hAnsi="Times New Roman"/>
          <w:sz w:val="22"/>
          <w:szCs w:val="22"/>
        </w:rPr>
      </w:pPr>
      <w:r w:rsidRPr="00B120EC">
        <w:rPr>
          <w:rFonts w:ascii="Times New Roman" w:hAnsi="Times New Roman"/>
          <w:sz w:val="22"/>
          <w:szCs w:val="22"/>
        </w:rPr>
        <w:t>SÚHRN CHARAKTERISTICKÝCH VLASTNOSTÍ LIEKU</w:t>
      </w:r>
    </w:p>
    <w:p w:rsidR="00CB304C" w:rsidRPr="00B120EC" w:rsidRDefault="00CB304C" w:rsidP="00761D97">
      <w:pPr>
        <w:jc w:val="center"/>
        <w:rPr>
          <w:b/>
          <w:szCs w:val="22"/>
        </w:rPr>
      </w:pPr>
    </w:p>
    <w:p w:rsidR="00CB304C" w:rsidRPr="00971CD6" w:rsidRDefault="00CB304C" w:rsidP="00761D97">
      <w:pPr>
        <w:jc w:val="center"/>
        <w:rPr>
          <w:b/>
          <w:szCs w:val="22"/>
        </w:rPr>
      </w:pPr>
    </w:p>
    <w:p w:rsidR="00761D97" w:rsidRPr="00971CD6" w:rsidRDefault="00761D97" w:rsidP="00761D97">
      <w:pPr>
        <w:rPr>
          <w:b/>
          <w:szCs w:val="22"/>
        </w:rPr>
      </w:pPr>
    </w:p>
    <w:p w:rsidR="00761D97" w:rsidRPr="00971CD6" w:rsidRDefault="00761D97" w:rsidP="00871BF8">
      <w:pPr>
        <w:jc w:val="both"/>
        <w:rPr>
          <w:szCs w:val="22"/>
        </w:rPr>
      </w:pPr>
      <w:r w:rsidRPr="00971CD6">
        <w:rPr>
          <w:b/>
          <w:szCs w:val="22"/>
        </w:rPr>
        <w:t>1.</w:t>
      </w:r>
      <w:r w:rsidRPr="00971CD6">
        <w:rPr>
          <w:b/>
          <w:szCs w:val="22"/>
        </w:rPr>
        <w:tab/>
        <w:t>NÁZOV LIEKU</w:t>
      </w:r>
    </w:p>
    <w:p w:rsidR="00761D97" w:rsidRPr="00971CD6" w:rsidRDefault="00761D97" w:rsidP="00871BF8">
      <w:pPr>
        <w:jc w:val="both"/>
        <w:rPr>
          <w:szCs w:val="22"/>
        </w:rPr>
      </w:pPr>
    </w:p>
    <w:p w:rsidR="00761D97" w:rsidRDefault="00CC3CFD" w:rsidP="00871BF8">
      <w:pPr>
        <w:jc w:val="both"/>
        <w:rPr>
          <w:szCs w:val="22"/>
        </w:rPr>
      </w:pPr>
      <w:proofErr w:type="spellStart"/>
      <w:r>
        <w:rPr>
          <w:szCs w:val="22"/>
        </w:rPr>
        <w:t>Budenofalk</w:t>
      </w:r>
      <w:proofErr w:type="spellEnd"/>
      <w:r>
        <w:rPr>
          <w:szCs w:val="22"/>
        </w:rPr>
        <w:t xml:space="preserve"> </w:t>
      </w:r>
      <w:proofErr w:type="spellStart"/>
      <w:r w:rsidR="006747CD" w:rsidRPr="00971CD6">
        <w:rPr>
          <w:szCs w:val="22"/>
        </w:rPr>
        <w:t>rektálna</w:t>
      </w:r>
      <w:proofErr w:type="spellEnd"/>
      <w:r w:rsidR="006747CD" w:rsidRPr="00971CD6">
        <w:rPr>
          <w:szCs w:val="22"/>
        </w:rPr>
        <w:t xml:space="preserve"> pena</w:t>
      </w:r>
      <w:bookmarkStart w:id="0" w:name="_GoBack"/>
      <w:bookmarkEnd w:id="0"/>
    </w:p>
    <w:p w:rsidR="00DB2435" w:rsidRDefault="00DB2435" w:rsidP="00871BF8">
      <w:pPr>
        <w:jc w:val="both"/>
        <w:rPr>
          <w:szCs w:val="22"/>
        </w:rPr>
      </w:pPr>
    </w:p>
    <w:p w:rsidR="00DB2435" w:rsidRPr="00971CD6" w:rsidRDefault="00DB2435" w:rsidP="00871BF8">
      <w:pPr>
        <w:jc w:val="both"/>
        <w:rPr>
          <w:szCs w:val="22"/>
        </w:rPr>
      </w:pPr>
      <w:r>
        <w:rPr>
          <w:szCs w:val="22"/>
        </w:rPr>
        <w:t>2 mg/dávka</w:t>
      </w:r>
    </w:p>
    <w:p w:rsidR="00CB304C" w:rsidRPr="00971CD6" w:rsidRDefault="00CB304C" w:rsidP="00871BF8">
      <w:pPr>
        <w:jc w:val="both"/>
        <w:rPr>
          <w:szCs w:val="22"/>
        </w:rPr>
      </w:pPr>
    </w:p>
    <w:p w:rsidR="00761D97" w:rsidRPr="00971CD6" w:rsidRDefault="00761D97" w:rsidP="00871BF8">
      <w:pPr>
        <w:jc w:val="both"/>
        <w:rPr>
          <w:szCs w:val="22"/>
        </w:rPr>
      </w:pPr>
    </w:p>
    <w:p w:rsidR="00761D97" w:rsidRPr="00971CD6" w:rsidRDefault="00761D97" w:rsidP="00871BF8">
      <w:pPr>
        <w:jc w:val="both"/>
        <w:rPr>
          <w:szCs w:val="22"/>
        </w:rPr>
      </w:pPr>
      <w:r w:rsidRPr="00971CD6">
        <w:rPr>
          <w:b/>
          <w:szCs w:val="22"/>
        </w:rPr>
        <w:t>2.</w:t>
      </w:r>
      <w:r w:rsidRPr="00971CD6">
        <w:rPr>
          <w:b/>
          <w:szCs w:val="22"/>
        </w:rPr>
        <w:tab/>
        <w:t>KVALITATÍVNE A KVANTITATÍVNE ZLOŽENIE</w:t>
      </w:r>
    </w:p>
    <w:p w:rsidR="00761D97" w:rsidRPr="00971CD6" w:rsidRDefault="00761D97" w:rsidP="00871BF8">
      <w:pPr>
        <w:ind w:left="0" w:firstLine="0"/>
        <w:jc w:val="both"/>
      </w:pPr>
    </w:p>
    <w:p w:rsidR="006747CD" w:rsidRPr="00971CD6" w:rsidRDefault="00C53107" w:rsidP="00871BF8">
      <w:pPr>
        <w:ind w:left="0" w:firstLine="0"/>
        <w:jc w:val="both"/>
      </w:pPr>
      <w:r w:rsidRPr="00971CD6">
        <w:t xml:space="preserve">1 dávka </w:t>
      </w:r>
      <w:r w:rsidR="00FB0EE6">
        <w:t>(</w:t>
      </w:r>
      <w:smartTag w:uri="urn:schemas-microsoft-com:office:smarttags" w:element="metricconverter">
        <w:smartTagPr>
          <w:attr w:name="ProductID" w:val="1,2 g"/>
        </w:smartTagPr>
        <w:r w:rsidR="00CB304C" w:rsidRPr="00971CD6">
          <w:t>1,2 g</w:t>
        </w:r>
      </w:smartTag>
      <w:r w:rsidR="00FB0EE6">
        <w:t>)</w:t>
      </w:r>
      <w:r w:rsidR="00CB304C" w:rsidRPr="00971CD6">
        <w:t xml:space="preserve"> </w:t>
      </w:r>
      <w:proofErr w:type="spellStart"/>
      <w:r w:rsidR="00CB304C" w:rsidRPr="00971CD6">
        <w:t>rektálnej</w:t>
      </w:r>
      <w:proofErr w:type="spellEnd"/>
      <w:r w:rsidR="00CB304C" w:rsidRPr="00971CD6">
        <w:t xml:space="preserve"> peny </w:t>
      </w:r>
      <w:r w:rsidRPr="00971CD6">
        <w:t xml:space="preserve">obsahuje </w:t>
      </w:r>
      <w:proofErr w:type="spellStart"/>
      <w:r w:rsidRPr="00971CD6">
        <w:t>budez</w:t>
      </w:r>
      <w:r w:rsidR="006747CD" w:rsidRPr="00971CD6">
        <w:t>onid</w:t>
      </w:r>
      <w:proofErr w:type="spellEnd"/>
      <w:r w:rsidR="00CB304C" w:rsidRPr="00971CD6">
        <w:t xml:space="preserve"> v množstve 2 mg.</w:t>
      </w:r>
    </w:p>
    <w:p w:rsidR="006747CD" w:rsidRPr="00971CD6" w:rsidRDefault="006747CD" w:rsidP="00871BF8">
      <w:pPr>
        <w:ind w:left="0" w:firstLine="0"/>
        <w:jc w:val="both"/>
      </w:pPr>
    </w:p>
    <w:p w:rsidR="00793DAC" w:rsidRDefault="00E62D06" w:rsidP="00B120EC">
      <w:pPr>
        <w:tabs>
          <w:tab w:val="left" w:pos="3402"/>
          <w:tab w:val="left" w:pos="5387"/>
        </w:tabs>
        <w:ind w:left="0" w:firstLine="0"/>
        <w:jc w:val="both"/>
      </w:pPr>
      <w:r w:rsidRPr="00B120EC">
        <w:rPr>
          <w:u w:val="single"/>
        </w:rPr>
        <w:t>Pomocné látky so známym účinkom:</w:t>
      </w:r>
      <w:r w:rsidR="006747CD" w:rsidRPr="00971CD6">
        <w:t xml:space="preserve"> </w:t>
      </w:r>
      <w:r w:rsidR="0000549A">
        <w:tab/>
      </w:r>
      <w:proofErr w:type="spellStart"/>
      <w:r w:rsidR="00E25E72" w:rsidRPr="00971CD6">
        <w:t>cetylalkohol</w:t>
      </w:r>
      <w:proofErr w:type="spellEnd"/>
      <w:r w:rsidR="0000549A">
        <w:tab/>
        <w:t>8,40 mg/dávka</w:t>
      </w:r>
    </w:p>
    <w:p w:rsidR="00793DAC" w:rsidRDefault="0000549A" w:rsidP="00B120EC">
      <w:pPr>
        <w:tabs>
          <w:tab w:val="left" w:pos="3402"/>
          <w:tab w:val="left" w:pos="5387"/>
        </w:tabs>
        <w:ind w:left="0" w:firstLine="0"/>
        <w:jc w:val="both"/>
      </w:pPr>
      <w:r>
        <w:tab/>
      </w:r>
      <w:proofErr w:type="spellStart"/>
      <w:r w:rsidR="00E25E72" w:rsidRPr="00971CD6">
        <w:t>propylénglykol</w:t>
      </w:r>
      <w:proofErr w:type="spellEnd"/>
      <w:r>
        <w:tab/>
        <w:t>600,30 mg/dávka</w:t>
      </w:r>
    </w:p>
    <w:p w:rsidR="006747CD" w:rsidRPr="00971CD6" w:rsidRDefault="006747CD" w:rsidP="00871BF8">
      <w:pPr>
        <w:ind w:left="0" w:firstLine="0"/>
        <w:jc w:val="both"/>
      </w:pPr>
    </w:p>
    <w:p w:rsidR="006747CD" w:rsidRPr="00971CD6" w:rsidRDefault="006747CD" w:rsidP="00871BF8">
      <w:pPr>
        <w:tabs>
          <w:tab w:val="left" w:pos="567"/>
        </w:tabs>
        <w:ind w:left="0" w:firstLine="0"/>
        <w:jc w:val="both"/>
        <w:rPr>
          <w:szCs w:val="20"/>
          <w:lang w:eastAsia="en-US"/>
        </w:rPr>
      </w:pPr>
      <w:r w:rsidRPr="00971CD6">
        <w:rPr>
          <w:szCs w:val="20"/>
          <w:lang w:eastAsia="en-US"/>
        </w:rPr>
        <w:t>Úplný zoznam pomocných látok, pozri časť 6.1.</w:t>
      </w:r>
    </w:p>
    <w:p w:rsidR="006747CD" w:rsidRPr="00971CD6" w:rsidRDefault="006747CD" w:rsidP="00871BF8">
      <w:pPr>
        <w:ind w:left="0" w:firstLine="0"/>
        <w:jc w:val="both"/>
      </w:pPr>
    </w:p>
    <w:p w:rsidR="00761D97" w:rsidRPr="00971CD6" w:rsidRDefault="00761D97" w:rsidP="00871BF8">
      <w:pPr>
        <w:jc w:val="both"/>
        <w:rPr>
          <w:szCs w:val="22"/>
        </w:rPr>
      </w:pPr>
    </w:p>
    <w:p w:rsidR="00761D97" w:rsidRPr="00971CD6" w:rsidRDefault="00761D97" w:rsidP="00871BF8">
      <w:pPr>
        <w:jc w:val="both"/>
        <w:rPr>
          <w:caps/>
          <w:szCs w:val="22"/>
        </w:rPr>
      </w:pPr>
      <w:r w:rsidRPr="00971CD6">
        <w:rPr>
          <w:b/>
          <w:szCs w:val="22"/>
        </w:rPr>
        <w:t>3.</w:t>
      </w:r>
      <w:r w:rsidRPr="00971CD6">
        <w:rPr>
          <w:b/>
          <w:szCs w:val="22"/>
        </w:rPr>
        <w:tab/>
        <w:t>LIEKOVÁ FORMA</w:t>
      </w:r>
    </w:p>
    <w:p w:rsidR="00A06450" w:rsidRPr="00971CD6" w:rsidRDefault="00A06450" w:rsidP="00A06450">
      <w:pPr>
        <w:ind w:left="0" w:firstLine="0"/>
        <w:jc w:val="both"/>
      </w:pPr>
    </w:p>
    <w:p w:rsidR="00761D97" w:rsidRPr="00971CD6" w:rsidRDefault="008B4253" w:rsidP="00871BF8">
      <w:pPr>
        <w:jc w:val="both"/>
      </w:pPr>
      <w:proofErr w:type="spellStart"/>
      <w:r w:rsidRPr="00971CD6">
        <w:t>Rektálna</w:t>
      </w:r>
      <w:proofErr w:type="spellEnd"/>
      <w:r w:rsidRPr="00971CD6">
        <w:t xml:space="preserve"> pena</w:t>
      </w:r>
    </w:p>
    <w:p w:rsidR="008B4253" w:rsidRPr="00971CD6" w:rsidRDefault="008B4253" w:rsidP="00A06450">
      <w:pPr>
        <w:ind w:left="0" w:firstLine="0"/>
        <w:jc w:val="both"/>
      </w:pPr>
    </w:p>
    <w:p w:rsidR="00761D97" w:rsidRPr="00971CD6" w:rsidRDefault="008B4253" w:rsidP="00871BF8">
      <w:pPr>
        <w:jc w:val="both"/>
      </w:pPr>
      <w:r w:rsidRPr="00971CD6">
        <w:t xml:space="preserve">Vzhľad: biela až </w:t>
      </w:r>
      <w:proofErr w:type="spellStart"/>
      <w:r w:rsidRPr="00971CD6">
        <w:t>bielosivastá</w:t>
      </w:r>
      <w:proofErr w:type="spellEnd"/>
      <w:r w:rsidRPr="00971CD6">
        <w:t xml:space="preserve"> krémová pena.</w:t>
      </w:r>
    </w:p>
    <w:p w:rsidR="00761D97" w:rsidRPr="00971CD6" w:rsidRDefault="00761D97" w:rsidP="00871BF8">
      <w:pPr>
        <w:jc w:val="both"/>
        <w:rPr>
          <w:szCs w:val="22"/>
        </w:rPr>
      </w:pPr>
    </w:p>
    <w:p w:rsidR="00761D97" w:rsidRPr="00971CD6" w:rsidRDefault="00761D97" w:rsidP="00871BF8">
      <w:pPr>
        <w:jc w:val="both"/>
        <w:rPr>
          <w:szCs w:val="22"/>
        </w:rPr>
      </w:pPr>
    </w:p>
    <w:p w:rsidR="00761D97" w:rsidRPr="00971CD6" w:rsidRDefault="00761D97" w:rsidP="00871BF8">
      <w:pPr>
        <w:jc w:val="both"/>
        <w:rPr>
          <w:caps/>
          <w:szCs w:val="22"/>
        </w:rPr>
      </w:pPr>
      <w:r w:rsidRPr="00971CD6">
        <w:rPr>
          <w:b/>
          <w:caps/>
          <w:szCs w:val="22"/>
        </w:rPr>
        <w:t>4.</w:t>
      </w:r>
      <w:r w:rsidRPr="00971CD6">
        <w:rPr>
          <w:b/>
          <w:caps/>
          <w:szCs w:val="22"/>
        </w:rPr>
        <w:tab/>
        <w:t>KLINICKÉ ÚDAJE</w:t>
      </w:r>
    </w:p>
    <w:p w:rsidR="00A06450" w:rsidRPr="00971CD6" w:rsidRDefault="00A06450" w:rsidP="00871BF8">
      <w:pPr>
        <w:jc w:val="both"/>
        <w:rPr>
          <w:szCs w:val="22"/>
        </w:rPr>
      </w:pPr>
    </w:p>
    <w:p w:rsidR="00761D97" w:rsidRPr="00971CD6" w:rsidRDefault="00761D97" w:rsidP="00871BF8">
      <w:pPr>
        <w:jc w:val="both"/>
        <w:rPr>
          <w:szCs w:val="22"/>
        </w:rPr>
      </w:pPr>
      <w:r w:rsidRPr="00971CD6">
        <w:rPr>
          <w:b/>
          <w:szCs w:val="22"/>
        </w:rPr>
        <w:t>4.1</w:t>
      </w:r>
      <w:r w:rsidRPr="00971CD6">
        <w:rPr>
          <w:b/>
          <w:szCs w:val="22"/>
        </w:rPr>
        <w:tab/>
        <w:t>Terapeutické indikácie</w:t>
      </w:r>
    </w:p>
    <w:p w:rsidR="00BB2499" w:rsidRPr="00971CD6" w:rsidRDefault="00BB2499" w:rsidP="00871BF8">
      <w:pPr>
        <w:ind w:left="0" w:firstLine="0"/>
        <w:jc w:val="both"/>
        <w:rPr>
          <w:szCs w:val="22"/>
        </w:rPr>
      </w:pPr>
    </w:p>
    <w:p w:rsidR="008B4253" w:rsidRPr="00971CD6" w:rsidRDefault="008B4253" w:rsidP="00871BF8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Liečba akútneho štádia </w:t>
      </w:r>
      <w:proofErr w:type="spellStart"/>
      <w:r w:rsidRPr="00971CD6">
        <w:rPr>
          <w:szCs w:val="22"/>
        </w:rPr>
        <w:t>ulc</w:t>
      </w:r>
      <w:r w:rsidR="00853A8F" w:rsidRPr="00971CD6">
        <w:rPr>
          <w:szCs w:val="22"/>
        </w:rPr>
        <w:t>eróznej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kolitídy</w:t>
      </w:r>
      <w:proofErr w:type="spellEnd"/>
      <w:r w:rsidRPr="00971CD6">
        <w:rPr>
          <w:szCs w:val="22"/>
        </w:rPr>
        <w:t xml:space="preserve"> postihujúcej rektum a </w:t>
      </w:r>
      <w:proofErr w:type="spellStart"/>
      <w:r w:rsidRPr="00971CD6">
        <w:rPr>
          <w:szCs w:val="22"/>
        </w:rPr>
        <w:t>sigmoid</w:t>
      </w:r>
      <w:r w:rsidR="003E7C3F" w:rsidRPr="00971CD6">
        <w:rPr>
          <w:szCs w:val="22"/>
        </w:rPr>
        <w:t>álnu</w:t>
      </w:r>
      <w:proofErr w:type="spellEnd"/>
      <w:r w:rsidRPr="00971CD6">
        <w:rPr>
          <w:szCs w:val="22"/>
        </w:rPr>
        <w:t xml:space="preserve"> časť hrubého čreva.</w:t>
      </w:r>
    </w:p>
    <w:p w:rsidR="00761D97" w:rsidRPr="00971CD6" w:rsidRDefault="00761D97" w:rsidP="00871BF8">
      <w:pPr>
        <w:jc w:val="both"/>
        <w:rPr>
          <w:szCs w:val="22"/>
        </w:rPr>
      </w:pPr>
    </w:p>
    <w:p w:rsidR="00761D97" w:rsidRPr="00971CD6" w:rsidRDefault="00761D97" w:rsidP="00871BF8">
      <w:pPr>
        <w:jc w:val="both"/>
        <w:rPr>
          <w:b/>
          <w:szCs w:val="22"/>
        </w:rPr>
      </w:pPr>
      <w:r w:rsidRPr="00971CD6">
        <w:rPr>
          <w:b/>
          <w:szCs w:val="22"/>
        </w:rPr>
        <w:t>4.2</w:t>
      </w:r>
      <w:r w:rsidRPr="00971CD6">
        <w:rPr>
          <w:b/>
          <w:szCs w:val="22"/>
        </w:rPr>
        <w:tab/>
        <w:t>Dávkovanie a spôsob podávania</w:t>
      </w:r>
    </w:p>
    <w:p w:rsidR="00761D97" w:rsidRPr="00971CD6" w:rsidRDefault="00761D97" w:rsidP="00871BF8">
      <w:pPr>
        <w:jc w:val="both"/>
        <w:rPr>
          <w:szCs w:val="22"/>
        </w:rPr>
      </w:pPr>
    </w:p>
    <w:p w:rsidR="008B4253" w:rsidRPr="00B120EC" w:rsidRDefault="00E62D06" w:rsidP="00871BF8">
      <w:pPr>
        <w:jc w:val="both"/>
        <w:rPr>
          <w:szCs w:val="22"/>
          <w:u w:val="single"/>
        </w:rPr>
      </w:pPr>
      <w:r w:rsidRPr="00B120EC">
        <w:rPr>
          <w:szCs w:val="22"/>
          <w:u w:val="single"/>
        </w:rPr>
        <w:t>Dávkovanie:</w:t>
      </w:r>
    </w:p>
    <w:p w:rsidR="008B4253" w:rsidRPr="00971CD6" w:rsidRDefault="008B4253" w:rsidP="00871BF8">
      <w:pPr>
        <w:jc w:val="both"/>
        <w:rPr>
          <w:i/>
          <w:szCs w:val="22"/>
        </w:rPr>
      </w:pPr>
      <w:r w:rsidRPr="00971CD6">
        <w:rPr>
          <w:i/>
          <w:szCs w:val="22"/>
        </w:rPr>
        <w:t>Dospelí:</w:t>
      </w:r>
    </w:p>
    <w:p w:rsidR="008B4253" w:rsidRPr="00971CD6" w:rsidRDefault="008B4253" w:rsidP="00871BF8">
      <w:pPr>
        <w:jc w:val="both"/>
        <w:rPr>
          <w:szCs w:val="22"/>
        </w:rPr>
      </w:pPr>
      <w:r w:rsidRPr="00971CD6">
        <w:rPr>
          <w:szCs w:val="22"/>
        </w:rPr>
        <w:t xml:space="preserve">1 dávka s obsahom 2 mg </w:t>
      </w:r>
      <w:proofErr w:type="spellStart"/>
      <w:r w:rsidRPr="00971CD6">
        <w:rPr>
          <w:szCs w:val="22"/>
        </w:rPr>
        <w:t>bude</w:t>
      </w:r>
      <w:r w:rsidR="00C53107" w:rsidRPr="00971CD6">
        <w:rPr>
          <w:szCs w:val="22"/>
        </w:rPr>
        <w:t>z</w:t>
      </w:r>
      <w:r w:rsidRPr="00971CD6">
        <w:rPr>
          <w:szCs w:val="22"/>
        </w:rPr>
        <w:t>onidu</w:t>
      </w:r>
      <w:proofErr w:type="spellEnd"/>
      <w:r w:rsidRPr="00971CD6">
        <w:rPr>
          <w:szCs w:val="22"/>
        </w:rPr>
        <w:t xml:space="preserve"> </w:t>
      </w:r>
      <w:r w:rsidR="003E7C3F" w:rsidRPr="00971CD6">
        <w:rPr>
          <w:szCs w:val="22"/>
        </w:rPr>
        <w:t>jedenkrát</w:t>
      </w:r>
      <w:r w:rsidR="00663CFF" w:rsidRPr="00971CD6">
        <w:rPr>
          <w:szCs w:val="22"/>
        </w:rPr>
        <w:t xml:space="preserve"> </w:t>
      </w:r>
      <w:r w:rsidRPr="00971CD6">
        <w:rPr>
          <w:szCs w:val="22"/>
        </w:rPr>
        <w:t>den</w:t>
      </w:r>
      <w:r w:rsidR="00C53107" w:rsidRPr="00971CD6">
        <w:rPr>
          <w:szCs w:val="22"/>
        </w:rPr>
        <w:t>n</w:t>
      </w:r>
      <w:r w:rsidRPr="00971CD6">
        <w:rPr>
          <w:szCs w:val="22"/>
        </w:rPr>
        <w:t>e.</w:t>
      </w:r>
    </w:p>
    <w:p w:rsidR="00664F24" w:rsidRPr="00971CD6" w:rsidRDefault="00664F24" w:rsidP="00871BF8">
      <w:pPr>
        <w:jc w:val="both"/>
        <w:rPr>
          <w:szCs w:val="22"/>
        </w:rPr>
      </w:pPr>
    </w:p>
    <w:p w:rsidR="008B4253" w:rsidRPr="00971CD6" w:rsidRDefault="00945200" w:rsidP="00871BF8">
      <w:pPr>
        <w:jc w:val="both"/>
        <w:rPr>
          <w:i/>
          <w:szCs w:val="22"/>
        </w:rPr>
      </w:pPr>
      <w:r>
        <w:rPr>
          <w:i/>
          <w:szCs w:val="22"/>
        </w:rPr>
        <w:t>Pediatrick</w:t>
      </w:r>
      <w:r w:rsidR="00DB2435">
        <w:rPr>
          <w:i/>
          <w:szCs w:val="22"/>
        </w:rPr>
        <w:t>á</w:t>
      </w:r>
      <w:r>
        <w:rPr>
          <w:i/>
          <w:szCs w:val="22"/>
        </w:rPr>
        <w:t xml:space="preserve"> p</w:t>
      </w:r>
      <w:r w:rsidR="00DB2435">
        <w:rPr>
          <w:i/>
          <w:szCs w:val="22"/>
        </w:rPr>
        <w:t>opulácia</w:t>
      </w:r>
    </w:p>
    <w:p w:rsidR="003E7C3F" w:rsidRPr="00971CD6" w:rsidRDefault="003E7C3F" w:rsidP="003E7C3F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t xml:space="preserve">          </w:t>
      </w:r>
      <w:proofErr w:type="spellStart"/>
      <w:r w:rsidR="00CC3CFD">
        <w:rPr>
          <w:szCs w:val="22"/>
        </w:rPr>
        <w:t>Budenofalk</w:t>
      </w:r>
      <w:proofErr w:type="spellEnd"/>
      <w:r w:rsidR="00CC3CFD">
        <w:rPr>
          <w:szCs w:val="22"/>
        </w:rPr>
        <w:t xml:space="preserve"> </w:t>
      </w:r>
      <w:proofErr w:type="spellStart"/>
      <w:r w:rsidR="00664F24" w:rsidRPr="00971CD6">
        <w:rPr>
          <w:szCs w:val="22"/>
        </w:rPr>
        <w:t>rektálna</w:t>
      </w:r>
      <w:proofErr w:type="spellEnd"/>
      <w:r w:rsidR="00664F24" w:rsidRPr="00971CD6">
        <w:rPr>
          <w:szCs w:val="22"/>
        </w:rPr>
        <w:t xml:space="preserve"> pena</w:t>
      </w:r>
      <w:r w:rsidR="00664F24" w:rsidRPr="00971CD6">
        <w:t xml:space="preserve"> </w:t>
      </w:r>
      <w:r w:rsidR="00761D97" w:rsidRPr="00971CD6">
        <w:t xml:space="preserve">sa </w:t>
      </w:r>
      <w:r w:rsidRPr="00971CD6">
        <w:t xml:space="preserve"> nemá podávať deťom </w:t>
      </w:r>
      <w:r w:rsidRPr="00971CD6">
        <w:rPr>
          <w:szCs w:val="22"/>
        </w:rPr>
        <w:t>a adolescentom, pretože nie sú dostatočné skúsenosti s užívaním lieku v tejto vekovej skupine.</w:t>
      </w:r>
    </w:p>
    <w:p w:rsidR="00664F24" w:rsidRPr="00971CD6" w:rsidRDefault="00664F24" w:rsidP="00871BF8">
      <w:pPr>
        <w:ind w:left="0" w:firstLine="0"/>
        <w:jc w:val="both"/>
      </w:pPr>
    </w:p>
    <w:p w:rsidR="006C50E9" w:rsidRPr="00B120EC" w:rsidRDefault="00E62D06" w:rsidP="00871BF8">
      <w:pPr>
        <w:ind w:left="0" w:firstLine="0"/>
        <w:jc w:val="both"/>
        <w:rPr>
          <w:u w:val="single"/>
        </w:rPr>
      </w:pPr>
      <w:r w:rsidRPr="00B120EC">
        <w:rPr>
          <w:u w:val="single"/>
        </w:rPr>
        <w:t>Spôsob podávania:</w:t>
      </w:r>
    </w:p>
    <w:p w:rsidR="00664F24" w:rsidRPr="00971CD6" w:rsidRDefault="00664F24" w:rsidP="00871BF8">
      <w:pPr>
        <w:ind w:left="0" w:firstLine="0"/>
        <w:jc w:val="both"/>
      </w:pPr>
      <w:proofErr w:type="spellStart"/>
      <w:r w:rsidRPr="00971CD6">
        <w:t>Rektálne</w:t>
      </w:r>
      <w:proofErr w:type="spellEnd"/>
      <w:r w:rsidRPr="00971CD6">
        <w:t xml:space="preserve"> </w:t>
      </w:r>
      <w:r w:rsidR="006C50E9" w:rsidRPr="00971CD6">
        <w:t>použitie</w:t>
      </w:r>
      <w:r w:rsidRPr="00971CD6">
        <w:t>.</w:t>
      </w:r>
    </w:p>
    <w:p w:rsidR="00664F24" w:rsidRPr="00971CD6" w:rsidRDefault="00664F24" w:rsidP="00871BF8">
      <w:pPr>
        <w:ind w:left="0" w:firstLine="0"/>
        <w:jc w:val="both"/>
      </w:pPr>
    </w:p>
    <w:p w:rsidR="00664F24" w:rsidRPr="00971CD6" w:rsidRDefault="00CC3CFD" w:rsidP="00871BF8">
      <w:pPr>
        <w:ind w:left="0" w:firstLine="0"/>
        <w:jc w:val="both"/>
        <w:rPr>
          <w:szCs w:val="22"/>
        </w:rPr>
      </w:pPr>
      <w:proofErr w:type="spellStart"/>
      <w:r>
        <w:rPr>
          <w:szCs w:val="22"/>
        </w:rPr>
        <w:t>Budenofalk</w:t>
      </w:r>
      <w:proofErr w:type="spellEnd"/>
      <w:r>
        <w:rPr>
          <w:szCs w:val="22"/>
        </w:rPr>
        <w:t xml:space="preserve"> </w:t>
      </w:r>
      <w:proofErr w:type="spellStart"/>
      <w:r w:rsidR="00664F24" w:rsidRPr="00971CD6">
        <w:rPr>
          <w:szCs w:val="22"/>
        </w:rPr>
        <w:t>rektálna</w:t>
      </w:r>
      <w:proofErr w:type="spellEnd"/>
      <w:r w:rsidR="00664F24" w:rsidRPr="00971CD6">
        <w:rPr>
          <w:szCs w:val="22"/>
        </w:rPr>
        <w:t xml:space="preserve"> pena sa môže aplikovať ráno alebo večer.</w:t>
      </w:r>
    </w:p>
    <w:p w:rsidR="00F2276D" w:rsidRPr="00971CD6" w:rsidRDefault="00A446AA" w:rsidP="00871BF8">
      <w:pPr>
        <w:ind w:left="0" w:firstLine="0"/>
        <w:jc w:val="both"/>
        <w:rPr>
          <w:szCs w:val="22"/>
        </w:rPr>
      </w:pPr>
      <w:r w:rsidRPr="00971CD6">
        <w:rPr>
          <w:szCs w:val="22"/>
        </w:rPr>
        <w:t>Na nádobku sa najprv nasadí aplikátor a potom sa 15 sekúnd potriasa pred vložením aplikátora do konečníka</w:t>
      </w:r>
      <w:r w:rsidR="00971CD6">
        <w:rPr>
          <w:szCs w:val="22"/>
        </w:rPr>
        <w:t>, kde sa má zaviesť</w:t>
      </w:r>
      <w:r w:rsidRPr="00971CD6">
        <w:rPr>
          <w:szCs w:val="22"/>
        </w:rPr>
        <w:t xml:space="preserve"> </w:t>
      </w:r>
      <w:r w:rsidR="0031597F" w:rsidRPr="00971CD6">
        <w:rPr>
          <w:szCs w:val="22"/>
        </w:rPr>
        <w:t>čo najhlbšie.</w:t>
      </w:r>
    </w:p>
    <w:p w:rsidR="00A446AA" w:rsidRPr="00971CD6" w:rsidRDefault="00F2276D" w:rsidP="00871BF8">
      <w:pPr>
        <w:ind w:left="0" w:firstLine="0"/>
        <w:jc w:val="both"/>
        <w:rPr>
          <w:szCs w:val="22"/>
        </w:rPr>
      </w:pPr>
      <w:r w:rsidRPr="00971CD6">
        <w:rPr>
          <w:szCs w:val="22"/>
        </w:rPr>
        <w:lastRenderedPageBreak/>
        <w:t>Upozornenie: Dávka bude podaná v správnom množstve</w:t>
      </w:r>
      <w:r w:rsidR="008D4189" w:rsidRPr="00971CD6">
        <w:rPr>
          <w:szCs w:val="22"/>
        </w:rPr>
        <w:t>,</w:t>
      </w:r>
      <w:r w:rsidRPr="00971CD6">
        <w:rPr>
          <w:szCs w:val="22"/>
        </w:rPr>
        <w:t xml:space="preserve"> len ak bude kupola pumpy držaná zvisle nadol.</w:t>
      </w:r>
    </w:p>
    <w:p w:rsidR="00A446AA" w:rsidRPr="00971CD6" w:rsidRDefault="00A446AA" w:rsidP="00871BF8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Na podanie dávky lieku </w:t>
      </w:r>
      <w:proofErr w:type="spellStart"/>
      <w:r w:rsidR="00CC3CFD">
        <w:rPr>
          <w:szCs w:val="22"/>
        </w:rPr>
        <w:t>Budenofalk</w:t>
      </w:r>
      <w:proofErr w:type="spellEnd"/>
      <w:r w:rsidR="00CC3CFD">
        <w:rPr>
          <w:szCs w:val="22"/>
        </w:rPr>
        <w:t xml:space="preserve"> </w:t>
      </w:r>
      <w:proofErr w:type="spellStart"/>
      <w:r w:rsidRPr="00971CD6">
        <w:rPr>
          <w:szCs w:val="22"/>
        </w:rPr>
        <w:t>rektálna</w:t>
      </w:r>
      <w:proofErr w:type="spellEnd"/>
      <w:r w:rsidRPr="00971CD6">
        <w:rPr>
          <w:szCs w:val="22"/>
        </w:rPr>
        <w:t xml:space="preserve"> pena treba úplne zatlačiť </w:t>
      </w:r>
      <w:r w:rsidR="00F2276D" w:rsidRPr="00971CD6">
        <w:rPr>
          <w:szCs w:val="22"/>
        </w:rPr>
        <w:t xml:space="preserve">kupolu pumpy </w:t>
      </w:r>
      <w:r w:rsidRPr="00971CD6">
        <w:rPr>
          <w:szCs w:val="22"/>
        </w:rPr>
        <w:t>a následne ju veľmi pomaly uvoľniť.</w:t>
      </w:r>
    </w:p>
    <w:p w:rsidR="00663CFF" w:rsidRPr="00971CD6" w:rsidRDefault="00A446AA" w:rsidP="00871BF8">
      <w:pPr>
        <w:ind w:left="0" w:firstLine="0"/>
        <w:jc w:val="both"/>
        <w:rPr>
          <w:szCs w:val="22"/>
        </w:rPr>
      </w:pPr>
      <w:r w:rsidRPr="00971CD6">
        <w:rPr>
          <w:szCs w:val="22"/>
        </w:rPr>
        <w:t>Následne po aplikácii sa má aplikátor podržať v polohe aplikácie ešte po dobu 10-15 sekúnd predtým, ako sa vytiahne z konečníka.</w:t>
      </w:r>
    </w:p>
    <w:p w:rsidR="00663CFF" w:rsidRPr="00971CD6" w:rsidRDefault="00663CFF" w:rsidP="00871BF8">
      <w:pPr>
        <w:ind w:left="0" w:firstLine="0"/>
        <w:jc w:val="both"/>
        <w:rPr>
          <w:szCs w:val="22"/>
        </w:rPr>
      </w:pPr>
    </w:p>
    <w:p w:rsidR="000E05E1" w:rsidRPr="00971CD6" w:rsidRDefault="000E05E1" w:rsidP="000E05E1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Najlepšie výsledky sa dosiahnu, ak sa črevo pred podaním lieku </w:t>
      </w:r>
      <w:proofErr w:type="spellStart"/>
      <w:r w:rsidR="00CC3CFD">
        <w:rPr>
          <w:szCs w:val="22"/>
        </w:rPr>
        <w:t>Budenofalk</w:t>
      </w:r>
      <w:proofErr w:type="spellEnd"/>
      <w:r w:rsidR="00CC3CFD">
        <w:rPr>
          <w:szCs w:val="22"/>
        </w:rPr>
        <w:t xml:space="preserve"> </w:t>
      </w:r>
      <w:proofErr w:type="spellStart"/>
      <w:r w:rsidRPr="00971CD6">
        <w:rPr>
          <w:szCs w:val="22"/>
        </w:rPr>
        <w:t>rektálna</w:t>
      </w:r>
      <w:proofErr w:type="spellEnd"/>
      <w:r w:rsidRPr="00971CD6">
        <w:rPr>
          <w:szCs w:val="22"/>
        </w:rPr>
        <w:t xml:space="preserve"> pena vyprázdni.</w:t>
      </w:r>
    </w:p>
    <w:p w:rsidR="000E05E1" w:rsidRPr="00971CD6" w:rsidRDefault="000E05E1" w:rsidP="000E05E1">
      <w:pPr>
        <w:ind w:left="0" w:firstLine="0"/>
        <w:jc w:val="both"/>
      </w:pPr>
    </w:p>
    <w:p w:rsidR="000E05E1" w:rsidRPr="00971CD6" w:rsidRDefault="000E05E1" w:rsidP="000E05E1">
      <w:pPr>
        <w:ind w:left="0" w:firstLine="0"/>
        <w:jc w:val="both"/>
      </w:pPr>
      <w:r w:rsidRPr="00971CD6">
        <w:rPr>
          <w:szCs w:val="22"/>
        </w:rPr>
        <w:t xml:space="preserve">Ošetrujúci lekár určí trvanie liečby. Vo všeobecnosti akútne štádium </w:t>
      </w:r>
      <w:proofErr w:type="spellStart"/>
      <w:r w:rsidRPr="00971CD6">
        <w:rPr>
          <w:szCs w:val="22"/>
        </w:rPr>
        <w:t>ulceróznej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kolitídy</w:t>
      </w:r>
      <w:proofErr w:type="spellEnd"/>
      <w:r w:rsidRPr="00971CD6">
        <w:rPr>
          <w:szCs w:val="22"/>
        </w:rPr>
        <w:t xml:space="preserve"> ustúpi po 6-8 týždňoch. Po uplynutí tejto doby sa </w:t>
      </w:r>
      <w:proofErr w:type="spellStart"/>
      <w:r w:rsidR="00CC3CFD">
        <w:rPr>
          <w:szCs w:val="22"/>
        </w:rPr>
        <w:t>Budenofalk</w:t>
      </w:r>
      <w:proofErr w:type="spellEnd"/>
      <w:r w:rsidR="00CC3CFD">
        <w:rPr>
          <w:szCs w:val="22"/>
        </w:rPr>
        <w:t xml:space="preserve"> </w:t>
      </w:r>
      <w:proofErr w:type="spellStart"/>
      <w:r w:rsidRPr="00971CD6">
        <w:rPr>
          <w:szCs w:val="22"/>
        </w:rPr>
        <w:t>rektálna</w:t>
      </w:r>
      <w:proofErr w:type="spellEnd"/>
      <w:r w:rsidRPr="00971CD6">
        <w:rPr>
          <w:szCs w:val="22"/>
        </w:rPr>
        <w:t xml:space="preserve"> pena nemá používať.</w:t>
      </w:r>
    </w:p>
    <w:p w:rsidR="000E05E1" w:rsidRPr="00971CD6" w:rsidRDefault="000E05E1" w:rsidP="00871BF8">
      <w:pPr>
        <w:ind w:left="0" w:firstLine="0"/>
        <w:jc w:val="both"/>
        <w:rPr>
          <w:szCs w:val="22"/>
        </w:rPr>
      </w:pPr>
    </w:p>
    <w:p w:rsidR="000E05E1" w:rsidRPr="00971CD6" w:rsidRDefault="000E05E1" w:rsidP="000E05E1">
      <w:pPr>
        <w:ind w:left="0" w:firstLine="0"/>
        <w:jc w:val="both"/>
        <w:rPr>
          <w:szCs w:val="22"/>
        </w:rPr>
      </w:pPr>
      <w:r w:rsidRPr="00971CD6">
        <w:rPr>
          <w:b/>
          <w:szCs w:val="22"/>
        </w:rPr>
        <w:t>4.3</w:t>
      </w:r>
      <w:r w:rsidRPr="00971CD6">
        <w:rPr>
          <w:b/>
          <w:szCs w:val="22"/>
        </w:rPr>
        <w:tab/>
        <w:t xml:space="preserve">Kontraindikácie </w:t>
      </w:r>
    </w:p>
    <w:p w:rsidR="000E05E1" w:rsidRPr="00971CD6" w:rsidRDefault="000E05E1" w:rsidP="000E05E1">
      <w:pPr>
        <w:jc w:val="both"/>
        <w:rPr>
          <w:szCs w:val="22"/>
        </w:rPr>
      </w:pPr>
    </w:p>
    <w:p w:rsidR="000E05E1" w:rsidRPr="00971CD6" w:rsidRDefault="00CC3CFD" w:rsidP="000E05E1">
      <w:pPr>
        <w:jc w:val="both"/>
        <w:rPr>
          <w:szCs w:val="22"/>
        </w:rPr>
      </w:pPr>
      <w:proofErr w:type="spellStart"/>
      <w:r>
        <w:rPr>
          <w:szCs w:val="22"/>
        </w:rPr>
        <w:t>Budenofalk</w:t>
      </w:r>
      <w:proofErr w:type="spellEnd"/>
      <w:r>
        <w:rPr>
          <w:szCs w:val="22"/>
        </w:rPr>
        <w:t xml:space="preserve"> </w:t>
      </w:r>
      <w:proofErr w:type="spellStart"/>
      <w:r w:rsidR="000E05E1" w:rsidRPr="00971CD6">
        <w:rPr>
          <w:szCs w:val="22"/>
        </w:rPr>
        <w:t>rektálna</w:t>
      </w:r>
      <w:proofErr w:type="spellEnd"/>
      <w:r w:rsidR="000E05E1" w:rsidRPr="00971CD6">
        <w:rPr>
          <w:szCs w:val="22"/>
        </w:rPr>
        <w:t xml:space="preserve"> pena sa nesmie používať u pacientov:</w:t>
      </w:r>
    </w:p>
    <w:p w:rsidR="000E05E1" w:rsidRPr="00971CD6" w:rsidRDefault="000E05E1" w:rsidP="000E05E1">
      <w:pPr>
        <w:numPr>
          <w:ilvl w:val="0"/>
          <w:numId w:val="1"/>
        </w:numPr>
        <w:ind w:right="-1"/>
        <w:jc w:val="both"/>
        <w:rPr>
          <w:szCs w:val="22"/>
        </w:rPr>
      </w:pPr>
      <w:r w:rsidRPr="00971CD6">
        <w:rPr>
          <w:szCs w:val="22"/>
        </w:rPr>
        <w:t xml:space="preserve">s precitlivenosťou na </w:t>
      </w:r>
      <w:proofErr w:type="spellStart"/>
      <w:r w:rsidRPr="00971CD6">
        <w:rPr>
          <w:szCs w:val="22"/>
        </w:rPr>
        <w:t>budezonid</w:t>
      </w:r>
      <w:proofErr w:type="spellEnd"/>
      <w:r w:rsidRPr="00971CD6">
        <w:rPr>
          <w:szCs w:val="22"/>
        </w:rPr>
        <w:t xml:space="preserve"> alebo na ktorúkoľvek z pomocných látok</w:t>
      </w:r>
      <w:r w:rsidR="00DB2435">
        <w:rPr>
          <w:szCs w:val="22"/>
        </w:rPr>
        <w:t xml:space="preserve"> uvedených v časti 6.1</w:t>
      </w:r>
      <w:r w:rsidRPr="00971CD6">
        <w:rPr>
          <w:szCs w:val="22"/>
        </w:rPr>
        <w:t>;</w:t>
      </w:r>
    </w:p>
    <w:p w:rsidR="000E05E1" w:rsidRPr="00971CD6" w:rsidRDefault="000E05E1" w:rsidP="000E05E1">
      <w:pPr>
        <w:numPr>
          <w:ilvl w:val="0"/>
          <w:numId w:val="1"/>
        </w:numPr>
        <w:ind w:right="-1"/>
        <w:jc w:val="both"/>
        <w:rPr>
          <w:szCs w:val="22"/>
        </w:rPr>
      </w:pPr>
      <w:r w:rsidRPr="00971CD6">
        <w:rPr>
          <w:szCs w:val="22"/>
        </w:rPr>
        <w:t xml:space="preserve">s cirhózou pečene a príznakmi </w:t>
      </w:r>
      <w:proofErr w:type="spellStart"/>
      <w:r w:rsidRPr="00971CD6">
        <w:rPr>
          <w:szCs w:val="22"/>
        </w:rPr>
        <w:t>portálnej</w:t>
      </w:r>
      <w:proofErr w:type="spellEnd"/>
      <w:r w:rsidRPr="00971CD6">
        <w:rPr>
          <w:szCs w:val="22"/>
        </w:rPr>
        <w:t xml:space="preserve"> hypertenzie, napr. v poslednom štádiu primárnej biliárnej cirhózy.</w:t>
      </w:r>
    </w:p>
    <w:p w:rsidR="000E05E1" w:rsidRPr="00971CD6" w:rsidRDefault="000E05E1" w:rsidP="000E05E1">
      <w:pPr>
        <w:jc w:val="both"/>
        <w:rPr>
          <w:szCs w:val="22"/>
        </w:rPr>
      </w:pPr>
    </w:p>
    <w:p w:rsidR="000E05E1" w:rsidRPr="00971CD6" w:rsidRDefault="000E05E1" w:rsidP="000E05E1">
      <w:pPr>
        <w:jc w:val="both"/>
        <w:rPr>
          <w:szCs w:val="22"/>
        </w:rPr>
      </w:pPr>
      <w:r w:rsidRPr="00971CD6">
        <w:rPr>
          <w:b/>
          <w:szCs w:val="22"/>
        </w:rPr>
        <w:t>4.4</w:t>
      </w:r>
      <w:r w:rsidRPr="00971CD6">
        <w:rPr>
          <w:b/>
          <w:szCs w:val="22"/>
        </w:rPr>
        <w:tab/>
        <w:t>Osobitné upozornenia a opatrenia pri používaní</w:t>
      </w:r>
    </w:p>
    <w:p w:rsidR="000E05E1" w:rsidRPr="00971CD6" w:rsidRDefault="000E05E1" w:rsidP="000E05E1">
      <w:pPr>
        <w:ind w:left="0" w:firstLine="0"/>
        <w:jc w:val="both"/>
        <w:rPr>
          <w:szCs w:val="22"/>
        </w:rPr>
      </w:pPr>
    </w:p>
    <w:p w:rsidR="000E05E1" w:rsidRPr="00971CD6" w:rsidRDefault="000E05E1" w:rsidP="000E05E1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Pri liečbe  </w:t>
      </w:r>
      <w:proofErr w:type="spellStart"/>
      <w:r w:rsidR="00CC3CFD">
        <w:rPr>
          <w:szCs w:val="22"/>
        </w:rPr>
        <w:t>Budenofalk</w:t>
      </w:r>
      <w:r w:rsidR="00945200">
        <w:rPr>
          <w:szCs w:val="22"/>
        </w:rPr>
        <w:t>om</w:t>
      </w:r>
      <w:proofErr w:type="spellEnd"/>
      <w:r w:rsidR="00CC3CFD">
        <w:rPr>
          <w:szCs w:val="22"/>
        </w:rPr>
        <w:t xml:space="preserve"> </w:t>
      </w:r>
      <w:proofErr w:type="spellStart"/>
      <w:r w:rsidRPr="00971CD6">
        <w:rPr>
          <w:szCs w:val="22"/>
        </w:rPr>
        <w:t>rektáln</w:t>
      </w:r>
      <w:r w:rsidR="00945200">
        <w:rPr>
          <w:szCs w:val="22"/>
        </w:rPr>
        <w:t>ou</w:t>
      </w:r>
      <w:proofErr w:type="spellEnd"/>
      <w:r w:rsidRPr="00971CD6">
        <w:rPr>
          <w:szCs w:val="22"/>
        </w:rPr>
        <w:t xml:space="preserve"> pen</w:t>
      </w:r>
      <w:r w:rsidR="00945200">
        <w:rPr>
          <w:szCs w:val="22"/>
        </w:rPr>
        <w:t>ou</w:t>
      </w:r>
      <w:r w:rsidRPr="00971CD6">
        <w:rPr>
          <w:szCs w:val="22"/>
        </w:rPr>
        <w:t xml:space="preserve"> sú systémové hladiny </w:t>
      </w:r>
      <w:proofErr w:type="spellStart"/>
      <w:r w:rsidRPr="00971CD6">
        <w:rPr>
          <w:szCs w:val="22"/>
        </w:rPr>
        <w:t>steroidov</w:t>
      </w:r>
      <w:proofErr w:type="spellEnd"/>
      <w:r w:rsidRPr="00971CD6">
        <w:rPr>
          <w:szCs w:val="22"/>
        </w:rPr>
        <w:t xml:space="preserve"> nižšie v porovnaní so systémovými </w:t>
      </w:r>
      <w:proofErr w:type="spellStart"/>
      <w:r w:rsidRPr="00971CD6">
        <w:rPr>
          <w:szCs w:val="22"/>
        </w:rPr>
        <w:t>steroidmi</w:t>
      </w:r>
      <w:proofErr w:type="spellEnd"/>
      <w:r w:rsidRPr="00971CD6">
        <w:rPr>
          <w:szCs w:val="22"/>
        </w:rPr>
        <w:t xml:space="preserve"> podávanými perorálne. Zmena terapie z perorálnych </w:t>
      </w:r>
      <w:proofErr w:type="spellStart"/>
      <w:r w:rsidRPr="00971CD6">
        <w:rPr>
          <w:szCs w:val="22"/>
        </w:rPr>
        <w:t>steroidov</w:t>
      </w:r>
      <w:proofErr w:type="spellEnd"/>
      <w:r w:rsidRPr="00971CD6">
        <w:rPr>
          <w:szCs w:val="22"/>
        </w:rPr>
        <w:t xml:space="preserve"> sa môže prejaviť symptómami súvisiacimi so zmenou hladiny systémových </w:t>
      </w:r>
      <w:proofErr w:type="spellStart"/>
      <w:r w:rsidRPr="00971CD6">
        <w:rPr>
          <w:szCs w:val="22"/>
        </w:rPr>
        <w:t>steroidov</w:t>
      </w:r>
      <w:proofErr w:type="spellEnd"/>
      <w:r w:rsidRPr="00971CD6">
        <w:rPr>
          <w:szCs w:val="22"/>
        </w:rPr>
        <w:t>.</w:t>
      </w:r>
    </w:p>
    <w:p w:rsidR="000E05E1" w:rsidRPr="00971CD6" w:rsidRDefault="000E05E1" w:rsidP="000E05E1">
      <w:pPr>
        <w:tabs>
          <w:tab w:val="left" w:pos="426"/>
        </w:tabs>
        <w:ind w:left="0" w:firstLine="0"/>
        <w:jc w:val="both"/>
        <w:rPr>
          <w:szCs w:val="22"/>
        </w:rPr>
      </w:pPr>
    </w:p>
    <w:p w:rsidR="000E05E1" w:rsidRPr="00971CD6" w:rsidRDefault="000E05E1" w:rsidP="000E05E1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t xml:space="preserve">          Osobitnú lekársku starostlivosť vyžadujú pacienti s nasledovnými ochoreniami: tuberkulóza, hypertenzia, diabetes </w:t>
      </w:r>
      <w:proofErr w:type="spellStart"/>
      <w:r w:rsidRPr="00971CD6">
        <w:rPr>
          <w:szCs w:val="22"/>
        </w:rPr>
        <w:t>mellitus</w:t>
      </w:r>
      <w:proofErr w:type="spellEnd"/>
      <w:r w:rsidRPr="00971CD6">
        <w:rPr>
          <w:szCs w:val="22"/>
        </w:rPr>
        <w:t xml:space="preserve">, </w:t>
      </w:r>
      <w:proofErr w:type="spellStart"/>
      <w:r w:rsidRPr="00971CD6">
        <w:rPr>
          <w:szCs w:val="22"/>
        </w:rPr>
        <w:t>osteoporóza</w:t>
      </w:r>
      <w:proofErr w:type="spellEnd"/>
      <w:r w:rsidRPr="00971CD6">
        <w:rPr>
          <w:szCs w:val="22"/>
        </w:rPr>
        <w:t xml:space="preserve">, </w:t>
      </w:r>
      <w:proofErr w:type="spellStart"/>
      <w:r w:rsidRPr="00971CD6">
        <w:rPr>
          <w:szCs w:val="22"/>
        </w:rPr>
        <w:t>peptický</w:t>
      </w:r>
      <w:proofErr w:type="spellEnd"/>
      <w:r w:rsidRPr="00971CD6">
        <w:rPr>
          <w:szCs w:val="22"/>
        </w:rPr>
        <w:t xml:space="preserve"> vred, </w:t>
      </w:r>
      <w:proofErr w:type="spellStart"/>
      <w:r w:rsidRPr="00971CD6">
        <w:rPr>
          <w:szCs w:val="22"/>
        </w:rPr>
        <w:t>glaukóm</w:t>
      </w:r>
      <w:proofErr w:type="spellEnd"/>
      <w:r w:rsidRPr="00971CD6">
        <w:rPr>
          <w:szCs w:val="22"/>
        </w:rPr>
        <w:t xml:space="preserve">, katarakta, </w:t>
      </w:r>
      <w:r w:rsidR="00971CD6">
        <w:rPr>
          <w:szCs w:val="22"/>
        </w:rPr>
        <w:t>diabetes v rodinnej anamnéze</w:t>
      </w:r>
      <w:r w:rsidRPr="00971CD6">
        <w:rPr>
          <w:szCs w:val="22"/>
        </w:rPr>
        <w:t xml:space="preserve">, </w:t>
      </w:r>
      <w:proofErr w:type="spellStart"/>
      <w:r w:rsidR="00971CD6">
        <w:rPr>
          <w:szCs w:val="22"/>
        </w:rPr>
        <w:t>glaukóm</w:t>
      </w:r>
      <w:proofErr w:type="spellEnd"/>
      <w:r w:rsidR="00971CD6">
        <w:rPr>
          <w:szCs w:val="22"/>
        </w:rPr>
        <w:t xml:space="preserve"> v rodinnej anamnéze</w:t>
      </w:r>
      <w:r w:rsidRPr="00971CD6">
        <w:rPr>
          <w:szCs w:val="22"/>
        </w:rPr>
        <w:t xml:space="preserve"> alebo iné podmienky, za ktorých môžu mať </w:t>
      </w:r>
      <w:proofErr w:type="spellStart"/>
      <w:r w:rsidRPr="00971CD6">
        <w:rPr>
          <w:szCs w:val="22"/>
        </w:rPr>
        <w:t>glukokortikoidy</w:t>
      </w:r>
      <w:proofErr w:type="spellEnd"/>
      <w:r w:rsidRPr="00971CD6">
        <w:rPr>
          <w:szCs w:val="22"/>
        </w:rPr>
        <w:t xml:space="preserve"> nežiaduce účinky. </w:t>
      </w:r>
    </w:p>
    <w:p w:rsidR="000E05E1" w:rsidRPr="00971CD6" w:rsidRDefault="000E05E1" w:rsidP="000E05E1">
      <w:pPr>
        <w:ind w:left="0" w:firstLine="0"/>
        <w:jc w:val="both"/>
        <w:rPr>
          <w:szCs w:val="22"/>
        </w:rPr>
      </w:pPr>
    </w:p>
    <w:p w:rsidR="000E05E1" w:rsidRPr="00971CD6" w:rsidRDefault="000E05E1" w:rsidP="000E05E1">
      <w:pPr>
        <w:ind w:left="0" w:firstLine="0"/>
        <w:jc w:val="both"/>
        <w:rPr>
          <w:i/>
          <w:szCs w:val="22"/>
          <w:u w:val="single"/>
        </w:rPr>
      </w:pPr>
      <w:r w:rsidRPr="00971CD6">
        <w:rPr>
          <w:i/>
          <w:szCs w:val="22"/>
          <w:u w:val="single"/>
        </w:rPr>
        <w:t>Infekcie:</w:t>
      </w:r>
    </w:p>
    <w:p w:rsidR="000E05E1" w:rsidRPr="00971CD6" w:rsidRDefault="000E05E1" w:rsidP="000E05E1">
      <w:pPr>
        <w:tabs>
          <w:tab w:val="left" w:pos="426"/>
        </w:tabs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Potlačenie zápalových reakcií a imunitného systému zvyšuje citlivosť na infekcie a závažnosť takýchto infekcií. Treba zobrať do úvahy riziko </w:t>
      </w:r>
      <w:r w:rsidR="00971CD6">
        <w:rPr>
          <w:szCs w:val="22"/>
        </w:rPr>
        <w:t>nákazy</w:t>
      </w:r>
      <w:r w:rsidR="00971CD6" w:rsidRPr="00971CD6">
        <w:rPr>
          <w:szCs w:val="22"/>
        </w:rPr>
        <w:t xml:space="preserve"> </w:t>
      </w:r>
      <w:r w:rsidRPr="00971CD6">
        <w:rPr>
          <w:szCs w:val="22"/>
        </w:rPr>
        <w:t xml:space="preserve">bakteriálnymi, plesňovými, </w:t>
      </w:r>
      <w:proofErr w:type="spellStart"/>
      <w:r w:rsidRPr="00971CD6">
        <w:rPr>
          <w:szCs w:val="22"/>
        </w:rPr>
        <w:t>amébovými</w:t>
      </w:r>
      <w:proofErr w:type="spellEnd"/>
      <w:r w:rsidRPr="00971CD6">
        <w:rPr>
          <w:szCs w:val="22"/>
        </w:rPr>
        <w:t xml:space="preserve"> a vírusovými infekciami počas liečby </w:t>
      </w:r>
      <w:proofErr w:type="spellStart"/>
      <w:r w:rsidRPr="00971CD6">
        <w:rPr>
          <w:szCs w:val="22"/>
        </w:rPr>
        <w:t>glukokortikoidmi</w:t>
      </w:r>
      <w:proofErr w:type="spellEnd"/>
      <w:r w:rsidRPr="00971CD6">
        <w:rPr>
          <w:szCs w:val="22"/>
        </w:rPr>
        <w:t>. Klinické manifestácie takýchto infekcií môžu byť atypické a ťažké infekcie ako napr. sepsa a tuberkulóza môžu byť maskované a môžu sa dostať do pokročilého štádia skôr, ako sú diagnostikované.</w:t>
      </w:r>
    </w:p>
    <w:p w:rsidR="000E05E1" w:rsidRPr="00971CD6" w:rsidRDefault="000E05E1" w:rsidP="000E05E1">
      <w:pPr>
        <w:ind w:left="0" w:right="-1" w:firstLine="0"/>
        <w:jc w:val="both"/>
        <w:rPr>
          <w:szCs w:val="22"/>
        </w:rPr>
      </w:pPr>
    </w:p>
    <w:p w:rsidR="000E05E1" w:rsidRPr="00971CD6" w:rsidRDefault="000E05E1" w:rsidP="000E05E1">
      <w:pPr>
        <w:tabs>
          <w:tab w:val="left" w:pos="426"/>
        </w:tabs>
        <w:ind w:left="0"/>
        <w:jc w:val="both"/>
        <w:rPr>
          <w:szCs w:val="22"/>
          <w:u w:val="single"/>
        </w:rPr>
      </w:pPr>
      <w:r w:rsidRPr="00971CD6">
        <w:rPr>
          <w:i/>
          <w:iCs/>
          <w:szCs w:val="22"/>
        </w:rPr>
        <w:t xml:space="preserve">          </w:t>
      </w:r>
      <w:r w:rsidRPr="00971CD6">
        <w:rPr>
          <w:i/>
          <w:iCs/>
          <w:szCs w:val="22"/>
          <w:u w:val="single"/>
        </w:rPr>
        <w:t>Ovčie kiahne:</w:t>
      </w:r>
      <w:r w:rsidRPr="00971CD6">
        <w:rPr>
          <w:szCs w:val="22"/>
          <w:u w:val="single"/>
        </w:rPr>
        <w:t xml:space="preserve"> </w:t>
      </w:r>
    </w:p>
    <w:p w:rsidR="000E05E1" w:rsidRPr="00971CD6" w:rsidRDefault="000E05E1" w:rsidP="000E05E1">
      <w:pPr>
        <w:tabs>
          <w:tab w:val="left" w:pos="426"/>
        </w:tabs>
        <w:ind w:left="0"/>
        <w:jc w:val="both"/>
        <w:rPr>
          <w:b/>
          <w:bCs/>
          <w:i/>
          <w:iCs/>
          <w:szCs w:val="22"/>
        </w:rPr>
      </w:pPr>
      <w:r w:rsidRPr="00971CD6">
        <w:rPr>
          <w:szCs w:val="22"/>
        </w:rPr>
        <w:t xml:space="preserve">          Špeciálnu pozornosť treba venovať pacientom v prípade infekcie ovčích kiahní, pretože toto ochorenie môže mať u </w:t>
      </w:r>
      <w:proofErr w:type="spellStart"/>
      <w:r w:rsidRPr="00971CD6">
        <w:rPr>
          <w:szCs w:val="22"/>
        </w:rPr>
        <w:t>imunodeficientných</w:t>
      </w:r>
      <w:proofErr w:type="spellEnd"/>
      <w:r w:rsidRPr="00971CD6">
        <w:rPr>
          <w:szCs w:val="22"/>
        </w:rPr>
        <w:t xml:space="preserve"> pacientov ťažký až život ohrozujúci priebeh. Pacienti, ktorí ešte neprekonali toto ochorenie majú byť upozornení, aby sa vyhýbali blízkemu kontaktu s ľuďmi, ktorí majú ovčie kiahne alebo pásový opar (herpes </w:t>
      </w:r>
      <w:proofErr w:type="spellStart"/>
      <w:r w:rsidRPr="00971CD6">
        <w:rPr>
          <w:szCs w:val="22"/>
        </w:rPr>
        <w:t>zoster</w:t>
      </w:r>
      <w:proofErr w:type="spellEnd"/>
      <w:r w:rsidRPr="00971CD6">
        <w:rPr>
          <w:szCs w:val="22"/>
        </w:rPr>
        <w:t>). Ak už boli infikovaní, musia ihneď vyhľadať lekársku pomoc.</w:t>
      </w:r>
      <w:r w:rsidRPr="00971CD6">
        <w:rPr>
          <w:b/>
          <w:bCs/>
          <w:i/>
          <w:iCs/>
          <w:szCs w:val="22"/>
        </w:rPr>
        <w:t xml:space="preserve"> </w:t>
      </w:r>
    </w:p>
    <w:p w:rsidR="000E05E1" w:rsidRPr="00971CD6" w:rsidRDefault="000E05E1" w:rsidP="00871BF8">
      <w:pPr>
        <w:ind w:left="0" w:firstLine="0"/>
        <w:jc w:val="both"/>
        <w:rPr>
          <w:szCs w:val="22"/>
        </w:rPr>
      </w:pPr>
    </w:p>
    <w:p w:rsidR="000E05E1" w:rsidRPr="00971CD6" w:rsidRDefault="000E05E1" w:rsidP="000E05E1">
      <w:pPr>
        <w:tabs>
          <w:tab w:val="left" w:pos="426"/>
        </w:tabs>
        <w:ind w:left="0" w:firstLine="0"/>
        <w:jc w:val="both"/>
        <w:rPr>
          <w:szCs w:val="22"/>
        </w:rPr>
      </w:pPr>
      <w:r w:rsidRPr="00971CD6">
        <w:rPr>
          <w:szCs w:val="22"/>
        </w:rPr>
        <w:t>Ak je pacient</w:t>
      </w:r>
      <w:r w:rsidR="00971CD6">
        <w:rPr>
          <w:szCs w:val="22"/>
        </w:rPr>
        <w:t>om</w:t>
      </w:r>
      <w:r w:rsidRPr="00971CD6">
        <w:rPr>
          <w:szCs w:val="22"/>
        </w:rPr>
        <w:t xml:space="preserve"> dieťa, rodičia musia dostať vyššie uvedenú radu. </w:t>
      </w:r>
      <w:proofErr w:type="spellStart"/>
      <w:r w:rsidRPr="00971CD6">
        <w:rPr>
          <w:szCs w:val="22"/>
        </w:rPr>
        <w:t>Neimunizovaných</w:t>
      </w:r>
      <w:proofErr w:type="spellEnd"/>
      <w:r w:rsidRPr="00971CD6">
        <w:rPr>
          <w:szCs w:val="22"/>
        </w:rPr>
        <w:t xml:space="preserve"> pacientov, ktorí užívajú (alebo počas predchádzajúcich troch mesiacov užívali) systémové </w:t>
      </w:r>
      <w:proofErr w:type="spellStart"/>
      <w:r w:rsidRPr="00971CD6">
        <w:rPr>
          <w:szCs w:val="22"/>
        </w:rPr>
        <w:t>kortikosteroidy</w:t>
      </w:r>
      <w:proofErr w:type="spellEnd"/>
      <w:r w:rsidRPr="00971CD6">
        <w:rPr>
          <w:szCs w:val="22"/>
        </w:rPr>
        <w:t xml:space="preserve">, treba pasívne imunizovať špecifickým </w:t>
      </w:r>
      <w:proofErr w:type="spellStart"/>
      <w:r w:rsidRPr="00971CD6">
        <w:rPr>
          <w:szCs w:val="22"/>
        </w:rPr>
        <w:t>imunoglobulínom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varicella-zoster</w:t>
      </w:r>
      <w:proofErr w:type="spellEnd"/>
      <w:r w:rsidRPr="00971CD6">
        <w:rPr>
          <w:szCs w:val="22"/>
        </w:rPr>
        <w:t xml:space="preserve"> do 10 dní, v prípade, že potenciálne môžu byť infikovaní ovčími kiahňami. Ak sa potvrdí diagnóza ovčích kiahní, </w:t>
      </w:r>
      <w:r w:rsidRPr="00971CD6">
        <w:rPr>
          <w:szCs w:val="22"/>
        </w:rPr>
        <w:lastRenderedPageBreak/>
        <w:t xml:space="preserve">vyžaduje ochorenie okamžitú špeciálnu liečbu. Liečba </w:t>
      </w:r>
      <w:proofErr w:type="spellStart"/>
      <w:r w:rsidRPr="00971CD6">
        <w:rPr>
          <w:szCs w:val="22"/>
        </w:rPr>
        <w:t>kortikosteroidmi</w:t>
      </w:r>
      <w:proofErr w:type="spellEnd"/>
      <w:r w:rsidRPr="00971CD6">
        <w:rPr>
          <w:szCs w:val="22"/>
        </w:rPr>
        <w:t xml:space="preserve"> sa nemá ukončiť a môže byť potrebné zvýšenie dávok. </w:t>
      </w:r>
    </w:p>
    <w:p w:rsidR="00664F24" w:rsidRPr="00971CD6" w:rsidRDefault="00664F24" w:rsidP="00871BF8">
      <w:pPr>
        <w:ind w:left="0" w:firstLine="0"/>
        <w:jc w:val="both"/>
      </w:pPr>
    </w:p>
    <w:p w:rsidR="000E05E1" w:rsidRPr="00971CD6" w:rsidRDefault="000E05E1" w:rsidP="000E05E1">
      <w:pPr>
        <w:shd w:val="clear" w:color="auto" w:fill="FFFFFF"/>
        <w:ind w:left="6" w:right="238" w:hanging="6"/>
        <w:rPr>
          <w:b/>
          <w:bCs/>
          <w:i/>
          <w:iCs/>
          <w:color w:val="000000"/>
          <w:spacing w:val="-4"/>
          <w:szCs w:val="22"/>
          <w:u w:val="single"/>
        </w:rPr>
      </w:pPr>
      <w:r w:rsidRPr="00971CD6">
        <w:rPr>
          <w:i/>
          <w:iCs/>
          <w:color w:val="000000"/>
          <w:spacing w:val="-4"/>
          <w:szCs w:val="22"/>
          <w:u w:val="single"/>
        </w:rPr>
        <w:t>Osýpky:</w:t>
      </w:r>
      <w:r w:rsidRPr="00971CD6">
        <w:rPr>
          <w:b/>
          <w:bCs/>
          <w:i/>
          <w:iCs/>
          <w:color w:val="000000"/>
          <w:spacing w:val="-4"/>
          <w:szCs w:val="22"/>
          <w:u w:val="single"/>
        </w:rPr>
        <w:t xml:space="preserve"> </w:t>
      </w:r>
    </w:p>
    <w:p w:rsidR="000E05E1" w:rsidRPr="00971CD6" w:rsidRDefault="000E05E1" w:rsidP="000E05E1">
      <w:pPr>
        <w:shd w:val="clear" w:color="auto" w:fill="FFFFFF"/>
        <w:ind w:left="6" w:right="238" w:hanging="6"/>
        <w:rPr>
          <w:i/>
          <w:iCs/>
          <w:color w:val="000000"/>
          <w:spacing w:val="1"/>
          <w:szCs w:val="22"/>
        </w:rPr>
      </w:pPr>
      <w:r w:rsidRPr="00971CD6">
        <w:rPr>
          <w:color w:val="000000"/>
          <w:spacing w:val="1"/>
          <w:szCs w:val="22"/>
        </w:rPr>
        <w:t xml:space="preserve">Pacienti s oslabenou imunitou, ktorí sa dostali do kontaktu s osýpkami, majú dostať, </w:t>
      </w:r>
      <w:r w:rsidR="00971CD6">
        <w:rPr>
          <w:color w:val="000000"/>
          <w:spacing w:val="1"/>
          <w:szCs w:val="22"/>
        </w:rPr>
        <w:t>ak</w:t>
      </w:r>
      <w:r w:rsidR="00971CD6" w:rsidRPr="00971CD6">
        <w:rPr>
          <w:color w:val="000000"/>
          <w:spacing w:val="1"/>
          <w:szCs w:val="22"/>
        </w:rPr>
        <w:t xml:space="preserve"> </w:t>
      </w:r>
      <w:r w:rsidRPr="00971CD6">
        <w:rPr>
          <w:color w:val="000000"/>
          <w:spacing w:val="1"/>
          <w:szCs w:val="22"/>
        </w:rPr>
        <w:t xml:space="preserve">je to možné, normálny ľudský </w:t>
      </w:r>
      <w:proofErr w:type="spellStart"/>
      <w:r w:rsidRPr="00971CD6">
        <w:rPr>
          <w:color w:val="000000"/>
          <w:spacing w:val="1"/>
          <w:szCs w:val="22"/>
        </w:rPr>
        <w:t>imunoglobín</w:t>
      </w:r>
      <w:proofErr w:type="spellEnd"/>
      <w:r w:rsidRPr="00971CD6">
        <w:rPr>
          <w:color w:val="000000"/>
          <w:spacing w:val="1"/>
          <w:szCs w:val="22"/>
        </w:rPr>
        <w:t xml:space="preserve"> čo najskôr po vystavení infekcii.</w:t>
      </w:r>
    </w:p>
    <w:p w:rsidR="000E05E1" w:rsidRPr="00971CD6" w:rsidRDefault="000E05E1" w:rsidP="000E05E1">
      <w:pPr>
        <w:ind w:left="0" w:firstLine="0"/>
        <w:jc w:val="both"/>
        <w:rPr>
          <w:szCs w:val="22"/>
        </w:rPr>
      </w:pPr>
    </w:p>
    <w:p w:rsidR="000E05E1" w:rsidRPr="00971CD6" w:rsidRDefault="000E05E1" w:rsidP="000E05E1">
      <w:pPr>
        <w:tabs>
          <w:tab w:val="left" w:pos="426"/>
        </w:tabs>
        <w:ind w:left="0"/>
        <w:jc w:val="both"/>
        <w:rPr>
          <w:i/>
          <w:iCs/>
          <w:szCs w:val="22"/>
          <w:u w:val="single"/>
        </w:rPr>
      </w:pPr>
      <w:r w:rsidRPr="00971CD6">
        <w:rPr>
          <w:i/>
          <w:iCs/>
          <w:szCs w:val="22"/>
        </w:rPr>
        <w:t xml:space="preserve">          </w:t>
      </w:r>
      <w:r w:rsidRPr="00971CD6">
        <w:rPr>
          <w:i/>
          <w:iCs/>
          <w:szCs w:val="22"/>
          <w:u w:val="single"/>
        </w:rPr>
        <w:t>Živé vakcíny:</w:t>
      </w:r>
    </w:p>
    <w:p w:rsidR="000E05E1" w:rsidRPr="00971CD6" w:rsidRDefault="000E05E1" w:rsidP="000E05E1">
      <w:pPr>
        <w:ind w:left="0" w:right="-1" w:firstLine="0"/>
        <w:jc w:val="both"/>
        <w:rPr>
          <w:szCs w:val="22"/>
        </w:rPr>
      </w:pPr>
      <w:r w:rsidRPr="00971CD6">
        <w:rPr>
          <w:szCs w:val="22"/>
        </w:rPr>
        <w:t>Pacientom s poruchou imunitnej odpovede sa nesmú podávať živé vakcíny. Protilátková odpoveď na ostatné vakcíny (</w:t>
      </w:r>
      <w:proofErr w:type="spellStart"/>
      <w:r w:rsidRPr="00971CD6">
        <w:rPr>
          <w:szCs w:val="22"/>
        </w:rPr>
        <w:t>inaktivované</w:t>
      </w:r>
      <w:proofErr w:type="spellEnd"/>
      <w:r w:rsidRPr="00971CD6">
        <w:rPr>
          <w:szCs w:val="22"/>
        </w:rPr>
        <w:t>) môže byť znížená.</w:t>
      </w:r>
    </w:p>
    <w:p w:rsidR="000E05E1" w:rsidRPr="00971CD6" w:rsidRDefault="000E05E1" w:rsidP="000E05E1">
      <w:pPr>
        <w:ind w:right="-1"/>
        <w:jc w:val="both"/>
        <w:rPr>
          <w:rFonts w:ascii="Arial" w:hAnsi="Arial" w:cs="Arial"/>
          <w:sz w:val="20"/>
        </w:rPr>
      </w:pPr>
    </w:p>
    <w:p w:rsidR="000E05E1" w:rsidRPr="00971CD6" w:rsidRDefault="000E05E1" w:rsidP="000E05E1">
      <w:pPr>
        <w:ind w:left="0"/>
        <w:jc w:val="both"/>
        <w:rPr>
          <w:i/>
          <w:iCs/>
          <w:szCs w:val="22"/>
          <w:u w:val="single"/>
        </w:rPr>
      </w:pPr>
      <w:r w:rsidRPr="00971CD6">
        <w:rPr>
          <w:i/>
          <w:iCs/>
          <w:szCs w:val="22"/>
        </w:rPr>
        <w:t xml:space="preserve">          </w:t>
      </w:r>
      <w:r w:rsidRPr="00971CD6">
        <w:rPr>
          <w:i/>
          <w:iCs/>
          <w:szCs w:val="22"/>
          <w:u w:val="single"/>
        </w:rPr>
        <w:t xml:space="preserve">Pacienti s poruchami funkcie pečene: </w:t>
      </w:r>
    </w:p>
    <w:p w:rsidR="000E05E1" w:rsidRPr="00971CD6" w:rsidRDefault="000E05E1" w:rsidP="000E05E1">
      <w:r w:rsidRPr="00971CD6">
        <w:t xml:space="preserve">Liečba liekom </w:t>
      </w:r>
      <w:proofErr w:type="spellStart"/>
      <w:r w:rsidR="00CC3CFD">
        <w:t>Budenofalk</w:t>
      </w:r>
      <w:proofErr w:type="spellEnd"/>
      <w:r w:rsidR="00CC3CFD">
        <w:t xml:space="preserve"> </w:t>
      </w:r>
      <w:proofErr w:type="spellStart"/>
      <w:r w:rsidRPr="00971CD6">
        <w:t>rektálna</w:t>
      </w:r>
      <w:proofErr w:type="spellEnd"/>
      <w:r w:rsidRPr="00971CD6">
        <w:t xml:space="preserve"> pena ako aj inými </w:t>
      </w:r>
      <w:proofErr w:type="spellStart"/>
      <w:r w:rsidRPr="00971CD6">
        <w:t>glukokortikoidmi</w:t>
      </w:r>
      <w:proofErr w:type="spellEnd"/>
      <w:r w:rsidRPr="00971CD6">
        <w:t xml:space="preserve">, vedie pri ťažkom </w:t>
      </w:r>
    </w:p>
    <w:p w:rsidR="000E05E1" w:rsidRPr="00971CD6" w:rsidRDefault="000E05E1" w:rsidP="000E05E1">
      <w:pPr>
        <w:tabs>
          <w:tab w:val="left" w:pos="426"/>
        </w:tabs>
        <w:jc w:val="both"/>
        <w:rPr>
          <w:szCs w:val="22"/>
        </w:rPr>
      </w:pPr>
      <w:r w:rsidRPr="00971CD6">
        <w:t xml:space="preserve">poškodení funkcie pečene k zníženej eliminácii a zvýšenej systémovej dostupnosti. </w:t>
      </w:r>
      <w:r w:rsidRPr="00971CD6">
        <w:rPr>
          <w:szCs w:val="22"/>
        </w:rPr>
        <w:t xml:space="preserve">Takíto </w:t>
      </w:r>
    </w:p>
    <w:p w:rsidR="000E05E1" w:rsidRPr="00971CD6" w:rsidRDefault="000E05E1" w:rsidP="000E05E1">
      <w:pPr>
        <w:tabs>
          <w:tab w:val="left" w:pos="426"/>
        </w:tabs>
        <w:jc w:val="both"/>
        <w:rPr>
          <w:szCs w:val="22"/>
        </w:rPr>
      </w:pPr>
      <w:r w:rsidRPr="00971CD6">
        <w:rPr>
          <w:szCs w:val="22"/>
        </w:rPr>
        <w:t xml:space="preserve">pacienti majú byť preto vylúčení z liečby </w:t>
      </w:r>
      <w:proofErr w:type="spellStart"/>
      <w:r w:rsidRPr="00971CD6">
        <w:rPr>
          <w:szCs w:val="22"/>
        </w:rPr>
        <w:t>budezonidom</w:t>
      </w:r>
      <w:proofErr w:type="spellEnd"/>
      <w:r w:rsidRPr="00971CD6">
        <w:rPr>
          <w:szCs w:val="22"/>
        </w:rPr>
        <w:t>.</w:t>
      </w:r>
    </w:p>
    <w:p w:rsidR="000E05E1" w:rsidRPr="00971CD6" w:rsidRDefault="000E05E1" w:rsidP="000E05E1">
      <w:pPr>
        <w:tabs>
          <w:tab w:val="left" w:pos="426"/>
        </w:tabs>
        <w:jc w:val="both"/>
        <w:rPr>
          <w:szCs w:val="22"/>
        </w:rPr>
      </w:pPr>
    </w:p>
    <w:p w:rsidR="000E05E1" w:rsidRPr="00971CD6" w:rsidRDefault="000E05E1" w:rsidP="000E05E1">
      <w:pPr>
        <w:tabs>
          <w:tab w:val="left" w:pos="426"/>
        </w:tabs>
        <w:ind w:left="0"/>
        <w:jc w:val="both"/>
        <w:rPr>
          <w:i/>
          <w:iCs/>
          <w:szCs w:val="22"/>
          <w:u w:val="single"/>
        </w:rPr>
      </w:pPr>
      <w:r w:rsidRPr="00971CD6">
        <w:rPr>
          <w:i/>
          <w:iCs/>
          <w:szCs w:val="22"/>
        </w:rPr>
        <w:t xml:space="preserve">          </w:t>
      </w:r>
      <w:r w:rsidRPr="00971CD6">
        <w:rPr>
          <w:i/>
          <w:iCs/>
          <w:szCs w:val="22"/>
          <w:u w:val="single"/>
        </w:rPr>
        <w:t>Iné:</w:t>
      </w:r>
    </w:p>
    <w:p w:rsidR="000E05E1" w:rsidRPr="00971CD6" w:rsidRDefault="000E05E1" w:rsidP="000E05E1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t xml:space="preserve">          </w:t>
      </w:r>
      <w:proofErr w:type="spellStart"/>
      <w:r w:rsidRPr="00971CD6">
        <w:rPr>
          <w:szCs w:val="22"/>
        </w:rPr>
        <w:t>Kortikosteroidy</w:t>
      </w:r>
      <w:proofErr w:type="spellEnd"/>
      <w:r w:rsidRPr="00971CD6">
        <w:rPr>
          <w:szCs w:val="22"/>
        </w:rPr>
        <w:t xml:space="preserve"> môžu spôsobiť </w:t>
      </w:r>
      <w:proofErr w:type="spellStart"/>
      <w:r w:rsidRPr="00971CD6">
        <w:rPr>
          <w:szCs w:val="22"/>
        </w:rPr>
        <w:t>supresiu</w:t>
      </w:r>
      <w:proofErr w:type="spellEnd"/>
      <w:r w:rsidRPr="00971CD6">
        <w:rPr>
          <w:szCs w:val="22"/>
        </w:rPr>
        <w:t xml:space="preserve"> osi </w:t>
      </w:r>
      <w:proofErr w:type="spellStart"/>
      <w:r w:rsidRPr="00971CD6">
        <w:rPr>
          <w:szCs w:val="22"/>
        </w:rPr>
        <w:t>hypotalamus-hypofýza-nadoblička</w:t>
      </w:r>
      <w:proofErr w:type="spellEnd"/>
      <w:r w:rsidRPr="00971CD6">
        <w:rPr>
          <w:szCs w:val="22"/>
        </w:rPr>
        <w:t xml:space="preserve"> (HPA) a znížiť reakciu na stres. U pacientov, ktorí sa majú podrobiť chirurgickému zákroku, alebo sú vystavení iným stresom, sa odporúča dodatočné podávanie systémových </w:t>
      </w:r>
      <w:proofErr w:type="spellStart"/>
      <w:r w:rsidRPr="00971CD6">
        <w:rPr>
          <w:szCs w:val="22"/>
        </w:rPr>
        <w:t>glukokortikoidov</w:t>
      </w:r>
      <w:proofErr w:type="spellEnd"/>
      <w:r w:rsidRPr="00971CD6">
        <w:rPr>
          <w:szCs w:val="22"/>
        </w:rPr>
        <w:t>.</w:t>
      </w:r>
    </w:p>
    <w:p w:rsidR="000E05E1" w:rsidRPr="00971CD6" w:rsidRDefault="000E05E1" w:rsidP="000E05E1">
      <w:pPr>
        <w:ind w:left="0" w:right="-1" w:firstLine="0"/>
        <w:jc w:val="both"/>
        <w:rPr>
          <w:szCs w:val="22"/>
        </w:rPr>
      </w:pPr>
    </w:p>
    <w:p w:rsidR="000E05E1" w:rsidRPr="00971CD6" w:rsidRDefault="000E05E1" w:rsidP="000E05E1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t xml:space="preserve">         Súbežnej liečbe </w:t>
      </w:r>
      <w:proofErr w:type="spellStart"/>
      <w:r w:rsidRPr="00971CD6">
        <w:rPr>
          <w:szCs w:val="22"/>
        </w:rPr>
        <w:t>ketokonazolom</w:t>
      </w:r>
      <w:proofErr w:type="spellEnd"/>
      <w:r w:rsidRPr="00971CD6">
        <w:rPr>
          <w:szCs w:val="22"/>
        </w:rPr>
        <w:t xml:space="preserve"> alebo inými inhibítormi CYP 3A4 sa má vyhnúť</w:t>
      </w:r>
      <w:r w:rsidR="00C015FB">
        <w:rPr>
          <w:szCs w:val="22"/>
        </w:rPr>
        <w:t xml:space="preserve"> </w:t>
      </w:r>
      <w:r w:rsidRPr="00971CD6">
        <w:rPr>
          <w:szCs w:val="22"/>
        </w:rPr>
        <w:t>(pozri časť 4.5).</w:t>
      </w:r>
    </w:p>
    <w:p w:rsidR="000E05E1" w:rsidRPr="00971CD6" w:rsidRDefault="000E05E1" w:rsidP="000E05E1">
      <w:pPr>
        <w:ind w:left="0" w:right="-1" w:firstLine="0"/>
        <w:jc w:val="both"/>
        <w:rPr>
          <w:szCs w:val="22"/>
        </w:rPr>
      </w:pPr>
    </w:p>
    <w:p w:rsidR="000E05E1" w:rsidRPr="00971CD6" w:rsidRDefault="00CC3CFD" w:rsidP="000E05E1">
      <w:pPr>
        <w:ind w:left="0" w:right="-1" w:firstLine="0"/>
        <w:jc w:val="both"/>
        <w:rPr>
          <w:szCs w:val="22"/>
        </w:rPr>
      </w:pPr>
      <w:proofErr w:type="spellStart"/>
      <w:r>
        <w:rPr>
          <w:szCs w:val="22"/>
        </w:rPr>
        <w:t>Budenofalk</w:t>
      </w:r>
      <w:proofErr w:type="spellEnd"/>
      <w:r>
        <w:rPr>
          <w:szCs w:val="22"/>
        </w:rPr>
        <w:t xml:space="preserve"> </w:t>
      </w:r>
      <w:proofErr w:type="spellStart"/>
      <w:r w:rsidR="000E05E1" w:rsidRPr="00971CD6">
        <w:rPr>
          <w:szCs w:val="22"/>
        </w:rPr>
        <w:t>rektálna</w:t>
      </w:r>
      <w:proofErr w:type="spellEnd"/>
      <w:r w:rsidR="000E05E1" w:rsidRPr="00971CD6">
        <w:rPr>
          <w:szCs w:val="22"/>
        </w:rPr>
        <w:t xml:space="preserve"> pena obsahuje </w:t>
      </w:r>
      <w:proofErr w:type="spellStart"/>
      <w:r w:rsidR="000E05E1" w:rsidRPr="00971CD6">
        <w:rPr>
          <w:szCs w:val="22"/>
        </w:rPr>
        <w:t>cetylalkohol</w:t>
      </w:r>
      <w:proofErr w:type="spellEnd"/>
      <w:r w:rsidR="000E05E1" w:rsidRPr="00971CD6">
        <w:rPr>
          <w:szCs w:val="22"/>
        </w:rPr>
        <w:t xml:space="preserve"> a </w:t>
      </w:r>
      <w:proofErr w:type="spellStart"/>
      <w:r w:rsidR="000E05E1" w:rsidRPr="00971CD6">
        <w:rPr>
          <w:szCs w:val="22"/>
        </w:rPr>
        <w:t>propylénglykol</w:t>
      </w:r>
      <w:proofErr w:type="spellEnd"/>
      <w:r w:rsidR="000E05E1" w:rsidRPr="00971CD6">
        <w:rPr>
          <w:szCs w:val="22"/>
        </w:rPr>
        <w:t xml:space="preserve">. </w:t>
      </w:r>
      <w:proofErr w:type="spellStart"/>
      <w:r w:rsidR="000E05E1" w:rsidRPr="00971CD6">
        <w:rPr>
          <w:szCs w:val="22"/>
        </w:rPr>
        <w:t>Cetylalkohol</w:t>
      </w:r>
      <w:proofErr w:type="spellEnd"/>
      <w:r w:rsidR="000E05E1" w:rsidRPr="00971CD6">
        <w:rPr>
          <w:szCs w:val="22"/>
        </w:rPr>
        <w:t xml:space="preserve"> môže spôsobiť lokálne podráždenie kože (napr. kontaktnú dermatitídu).</w:t>
      </w:r>
    </w:p>
    <w:p w:rsidR="000E05E1" w:rsidRPr="00971CD6" w:rsidRDefault="000E05E1" w:rsidP="000E05E1">
      <w:pPr>
        <w:ind w:left="0" w:right="-1" w:firstLine="0"/>
        <w:jc w:val="both"/>
        <w:rPr>
          <w:szCs w:val="22"/>
        </w:rPr>
      </w:pPr>
      <w:proofErr w:type="spellStart"/>
      <w:r w:rsidRPr="00971CD6">
        <w:rPr>
          <w:szCs w:val="22"/>
        </w:rPr>
        <w:t>Propylénglykol</w:t>
      </w:r>
      <w:proofErr w:type="spellEnd"/>
      <w:r w:rsidRPr="00971CD6">
        <w:rPr>
          <w:szCs w:val="22"/>
        </w:rPr>
        <w:t xml:space="preserve"> môže spôsobiť lokálne podráždenie kože.</w:t>
      </w:r>
    </w:p>
    <w:p w:rsidR="000E05E1" w:rsidRPr="00971CD6" w:rsidRDefault="000E05E1" w:rsidP="000E05E1">
      <w:pPr>
        <w:tabs>
          <w:tab w:val="left" w:pos="426"/>
        </w:tabs>
        <w:jc w:val="both"/>
        <w:rPr>
          <w:szCs w:val="22"/>
        </w:rPr>
      </w:pPr>
    </w:p>
    <w:p w:rsidR="00A60E21" w:rsidRPr="00971CD6" w:rsidRDefault="00A60E21" w:rsidP="00A60E21">
      <w:pPr>
        <w:ind w:left="0" w:right="-1" w:firstLine="0"/>
        <w:jc w:val="both"/>
        <w:rPr>
          <w:b/>
          <w:szCs w:val="22"/>
        </w:rPr>
      </w:pPr>
      <w:r w:rsidRPr="00971CD6">
        <w:rPr>
          <w:b/>
          <w:szCs w:val="22"/>
        </w:rPr>
        <w:t>4.5. Liekové a iné interakcie</w:t>
      </w:r>
    </w:p>
    <w:p w:rsidR="00A60E21" w:rsidRPr="00971CD6" w:rsidRDefault="00A60E21" w:rsidP="00A60E21">
      <w:pPr>
        <w:ind w:left="0" w:right="-1" w:firstLine="0"/>
        <w:jc w:val="both"/>
        <w:rPr>
          <w:szCs w:val="22"/>
        </w:rPr>
      </w:pPr>
    </w:p>
    <w:p w:rsidR="00A60E21" w:rsidRPr="00971CD6" w:rsidRDefault="00A60E21" w:rsidP="00A60E21">
      <w:pPr>
        <w:ind w:left="0" w:right="-1" w:firstLine="0"/>
        <w:jc w:val="both"/>
        <w:rPr>
          <w:i/>
          <w:szCs w:val="22"/>
        </w:rPr>
      </w:pPr>
      <w:proofErr w:type="spellStart"/>
      <w:r w:rsidRPr="00971CD6">
        <w:rPr>
          <w:i/>
          <w:szCs w:val="22"/>
        </w:rPr>
        <w:t>Farmakodynamické</w:t>
      </w:r>
      <w:proofErr w:type="spellEnd"/>
      <w:r w:rsidRPr="00971CD6">
        <w:rPr>
          <w:i/>
          <w:szCs w:val="22"/>
        </w:rPr>
        <w:t xml:space="preserve"> interakcie:</w:t>
      </w:r>
    </w:p>
    <w:p w:rsidR="00A60E21" w:rsidRPr="00971CD6" w:rsidRDefault="00A60E21" w:rsidP="00A60E21">
      <w:pPr>
        <w:ind w:left="0" w:right="-1" w:firstLine="0"/>
        <w:jc w:val="both"/>
        <w:rPr>
          <w:i/>
          <w:szCs w:val="22"/>
        </w:rPr>
      </w:pPr>
      <w:proofErr w:type="spellStart"/>
      <w:r w:rsidRPr="00971CD6">
        <w:rPr>
          <w:i/>
          <w:szCs w:val="22"/>
        </w:rPr>
        <w:t>Kardioglykozidy</w:t>
      </w:r>
      <w:proofErr w:type="spellEnd"/>
      <w:r w:rsidRPr="00971CD6">
        <w:rPr>
          <w:i/>
          <w:szCs w:val="22"/>
        </w:rPr>
        <w:t>:</w:t>
      </w:r>
    </w:p>
    <w:p w:rsidR="00A60E21" w:rsidRPr="00971CD6" w:rsidRDefault="00A60E21" w:rsidP="00A60E21">
      <w:pPr>
        <w:ind w:left="0" w:right="-1" w:firstLine="0"/>
        <w:jc w:val="both"/>
        <w:rPr>
          <w:szCs w:val="22"/>
        </w:rPr>
      </w:pPr>
      <w:r w:rsidRPr="00971CD6">
        <w:rPr>
          <w:szCs w:val="22"/>
        </w:rPr>
        <w:t xml:space="preserve">Účinnosť </w:t>
      </w:r>
      <w:proofErr w:type="spellStart"/>
      <w:r w:rsidRPr="00971CD6">
        <w:rPr>
          <w:szCs w:val="22"/>
        </w:rPr>
        <w:t>glykozidu</w:t>
      </w:r>
      <w:proofErr w:type="spellEnd"/>
      <w:r w:rsidRPr="00971CD6">
        <w:rPr>
          <w:szCs w:val="22"/>
        </w:rPr>
        <w:t xml:space="preserve"> môže byť </w:t>
      </w:r>
      <w:proofErr w:type="spellStart"/>
      <w:r w:rsidRPr="00971CD6">
        <w:rPr>
          <w:szCs w:val="22"/>
        </w:rPr>
        <w:t>potencovaná</w:t>
      </w:r>
      <w:proofErr w:type="spellEnd"/>
      <w:r w:rsidRPr="00971CD6">
        <w:rPr>
          <w:szCs w:val="22"/>
        </w:rPr>
        <w:t xml:space="preserve"> deficitom draslíka.</w:t>
      </w:r>
    </w:p>
    <w:p w:rsidR="00A60E21" w:rsidRPr="00971CD6" w:rsidRDefault="00A60E21" w:rsidP="00A60E21">
      <w:pPr>
        <w:ind w:left="0" w:right="-1" w:firstLine="0"/>
        <w:jc w:val="both"/>
        <w:rPr>
          <w:szCs w:val="22"/>
        </w:rPr>
      </w:pPr>
    </w:p>
    <w:p w:rsidR="00A60E21" w:rsidRPr="00971CD6" w:rsidRDefault="00A60E21" w:rsidP="00A60E21">
      <w:pPr>
        <w:ind w:left="0" w:right="-1" w:firstLine="0"/>
        <w:jc w:val="both"/>
        <w:rPr>
          <w:szCs w:val="22"/>
        </w:rPr>
      </w:pPr>
      <w:proofErr w:type="spellStart"/>
      <w:r w:rsidRPr="00971CD6">
        <w:rPr>
          <w:i/>
          <w:szCs w:val="22"/>
        </w:rPr>
        <w:t>Saluretiká</w:t>
      </w:r>
      <w:proofErr w:type="spellEnd"/>
      <w:r w:rsidRPr="00971CD6">
        <w:rPr>
          <w:i/>
          <w:szCs w:val="22"/>
        </w:rPr>
        <w:t>:</w:t>
      </w:r>
    </w:p>
    <w:p w:rsidR="00A60E21" w:rsidRPr="00971CD6" w:rsidRDefault="00A60E21" w:rsidP="00A60E21">
      <w:pPr>
        <w:ind w:left="0" w:right="-1" w:firstLine="0"/>
        <w:jc w:val="both"/>
        <w:rPr>
          <w:szCs w:val="22"/>
        </w:rPr>
      </w:pPr>
      <w:r w:rsidRPr="00971CD6">
        <w:rPr>
          <w:szCs w:val="22"/>
        </w:rPr>
        <w:t>Exkrécia draslíka sa môže zvýšiť.</w:t>
      </w:r>
    </w:p>
    <w:p w:rsidR="00A60E21" w:rsidRPr="00971CD6" w:rsidRDefault="00A60E21" w:rsidP="00A60E21">
      <w:pPr>
        <w:ind w:left="0" w:right="-1" w:firstLine="0"/>
        <w:jc w:val="both"/>
        <w:rPr>
          <w:rFonts w:ascii="Arial" w:hAnsi="Arial" w:cs="Arial"/>
          <w:sz w:val="20"/>
        </w:rPr>
      </w:pPr>
    </w:p>
    <w:p w:rsidR="00A60E21" w:rsidRPr="00971CD6" w:rsidRDefault="00A60E21" w:rsidP="00A60E21">
      <w:pPr>
        <w:ind w:left="0" w:right="-1" w:firstLine="0"/>
        <w:jc w:val="both"/>
        <w:rPr>
          <w:i/>
          <w:szCs w:val="22"/>
        </w:rPr>
      </w:pPr>
      <w:proofErr w:type="spellStart"/>
      <w:r w:rsidRPr="00971CD6">
        <w:rPr>
          <w:i/>
          <w:szCs w:val="22"/>
        </w:rPr>
        <w:t>Farmakokinetické</w:t>
      </w:r>
      <w:proofErr w:type="spellEnd"/>
      <w:r w:rsidRPr="00971CD6">
        <w:rPr>
          <w:i/>
          <w:szCs w:val="22"/>
        </w:rPr>
        <w:t xml:space="preserve"> interakcie:</w:t>
      </w:r>
    </w:p>
    <w:p w:rsidR="00A60E21" w:rsidRPr="00971CD6" w:rsidRDefault="00A60E21" w:rsidP="00A60E21">
      <w:pPr>
        <w:ind w:left="0" w:right="-1" w:firstLine="0"/>
        <w:jc w:val="both"/>
        <w:rPr>
          <w:i/>
          <w:szCs w:val="22"/>
        </w:rPr>
      </w:pPr>
      <w:proofErr w:type="spellStart"/>
      <w:r w:rsidRPr="00971CD6">
        <w:rPr>
          <w:i/>
          <w:szCs w:val="22"/>
        </w:rPr>
        <w:t>Cytochróm</w:t>
      </w:r>
      <w:proofErr w:type="spellEnd"/>
      <w:r w:rsidRPr="00971CD6">
        <w:rPr>
          <w:i/>
          <w:szCs w:val="22"/>
        </w:rPr>
        <w:t xml:space="preserve"> P450 </w:t>
      </w:r>
    </w:p>
    <w:p w:rsidR="00A60E21" w:rsidRPr="00971CD6" w:rsidRDefault="00A60E21" w:rsidP="00A60E21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iCs/>
          <w:szCs w:val="22"/>
        </w:rPr>
        <w:t xml:space="preserve">          </w:t>
      </w:r>
      <w:r w:rsidRPr="00971CD6">
        <w:rPr>
          <w:iCs/>
          <w:szCs w:val="22"/>
          <w:u w:val="single"/>
        </w:rPr>
        <w:t>Inhibítory CYP 3A4</w:t>
      </w:r>
      <w:r w:rsidRPr="00971CD6">
        <w:rPr>
          <w:iCs/>
          <w:szCs w:val="22"/>
        </w:rPr>
        <w:t xml:space="preserve">: </w:t>
      </w:r>
      <w:r w:rsidRPr="00971CD6">
        <w:rPr>
          <w:szCs w:val="22"/>
        </w:rPr>
        <w:t xml:space="preserve">Súbežné podávanie 200 mg </w:t>
      </w:r>
      <w:proofErr w:type="spellStart"/>
      <w:r w:rsidRPr="00971CD6">
        <w:rPr>
          <w:szCs w:val="22"/>
        </w:rPr>
        <w:t>ketokonazolu</w:t>
      </w:r>
      <w:proofErr w:type="spellEnd"/>
      <w:r w:rsidRPr="00971CD6">
        <w:rPr>
          <w:szCs w:val="22"/>
        </w:rPr>
        <w:t xml:space="preserve"> raz denne zvýšilo plazmové koncentrácie </w:t>
      </w:r>
      <w:proofErr w:type="spellStart"/>
      <w:r w:rsidRPr="00971CD6">
        <w:rPr>
          <w:szCs w:val="22"/>
        </w:rPr>
        <w:t>budenozidu</w:t>
      </w:r>
      <w:proofErr w:type="spellEnd"/>
      <w:r w:rsidRPr="00971CD6">
        <w:rPr>
          <w:szCs w:val="22"/>
        </w:rPr>
        <w:t xml:space="preserve"> (jedna dávka 3 mg) približne 6-násobne. Pri podávaní </w:t>
      </w:r>
      <w:proofErr w:type="spellStart"/>
      <w:r w:rsidRPr="00971CD6">
        <w:rPr>
          <w:szCs w:val="22"/>
        </w:rPr>
        <w:t>ketokonazolu</w:t>
      </w:r>
      <w:proofErr w:type="spellEnd"/>
      <w:r w:rsidRPr="00971CD6">
        <w:rPr>
          <w:szCs w:val="22"/>
        </w:rPr>
        <w:t xml:space="preserve"> 12 hodín po podaní </w:t>
      </w:r>
      <w:proofErr w:type="spellStart"/>
      <w:r w:rsidRPr="00971CD6">
        <w:rPr>
          <w:szCs w:val="22"/>
        </w:rPr>
        <w:t>budenozidu</w:t>
      </w:r>
      <w:proofErr w:type="spellEnd"/>
      <w:r w:rsidRPr="00971CD6">
        <w:rPr>
          <w:szCs w:val="22"/>
        </w:rPr>
        <w:t xml:space="preserve"> sa koncentrácie zvýšili približne 3-násobne. Keďže nie je dostatok údajov na poskytovanie odporúčaní na dávkovanie, tejto kombinácii sa treba vyhnúť. </w:t>
      </w:r>
    </w:p>
    <w:p w:rsidR="00A60E21" w:rsidRPr="00971CD6" w:rsidRDefault="00A60E21" w:rsidP="00A60E21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t xml:space="preserve">          Aj iné účinné inhibítory CYP 3A4 ako </w:t>
      </w:r>
      <w:proofErr w:type="spellStart"/>
      <w:r w:rsidRPr="00971CD6">
        <w:rPr>
          <w:szCs w:val="22"/>
        </w:rPr>
        <w:t>ritonavir</w:t>
      </w:r>
      <w:proofErr w:type="spellEnd"/>
      <w:r w:rsidRPr="00971CD6">
        <w:rPr>
          <w:szCs w:val="22"/>
        </w:rPr>
        <w:t xml:space="preserve">, </w:t>
      </w:r>
      <w:proofErr w:type="spellStart"/>
      <w:r w:rsidRPr="00971CD6">
        <w:rPr>
          <w:szCs w:val="22"/>
        </w:rPr>
        <w:t>itrakonazol</w:t>
      </w:r>
      <w:proofErr w:type="spellEnd"/>
      <w:r w:rsidRPr="00971CD6">
        <w:rPr>
          <w:szCs w:val="22"/>
        </w:rPr>
        <w:t xml:space="preserve">, </w:t>
      </w:r>
      <w:proofErr w:type="spellStart"/>
      <w:r w:rsidR="00C015FB">
        <w:rPr>
          <w:szCs w:val="22"/>
        </w:rPr>
        <w:t>k</w:t>
      </w:r>
      <w:r w:rsidRPr="00971CD6">
        <w:rPr>
          <w:szCs w:val="22"/>
        </w:rPr>
        <w:t>laritromycín</w:t>
      </w:r>
      <w:proofErr w:type="spellEnd"/>
      <w:r w:rsidRPr="00971CD6">
        <w:rPr>
          <w:szCs w:val="22"/>
        </w:rPr>
        <w:t xml:space="preserve"> a grapefruitový džús môžu pravdepodobne spôsobiť zaznamenanie zvýšenia plazmových koncentrácií </w:t>
      </w:r>
      <w:proofErr w:type="spellStart"/>
      <w:r w:rsidRPr="00971CD6">
        <w:rPr>
          <w:szCs w:val="22"/>
        </w:rPr>
        <w:t>budenozidu</w:t>
      </w:r>
      <w:proofErr w:type="spellEnd"/>
      <w:r w:rsidRPr="00971CD6">
        <w:rPr>
          <w:szCs w:val="22"/>
        </w:rPr>
        <w:t xml:space="preserve">. Preto sa treba súbežnému užívaniu týchto látok s </w:t>
      </w:r>
      <w:proofErr w:type="spellStart"/>
      <w:r w:rsidRPr="00971CD6">
        <w:rPr>
          <w:szCs w:val="22"/>
        </w:rPr>
        <w:t>budenozidom</w:t>
      </w:r>
      <w:proofErr w:type="spellEnd"/>
      <w:r w:rsidRPr="00971CD6">
        <w:rPr>
          <w:szCs w:val="22"/>
        </w:rPr>
        <w:t xml:space="preserve"> vyhnúť. </w:t>
      </w:r>
    </w:p>
    <w:p w:rsidR="00A60E21" w:rsidRPr="00971CD6" w:rsidRDefault="00A60E21" w:rsidP="00A60E21">
      <w:pPr>
        <w:ind w:left="0" w:right="-1" w:firstLine="0"/>
        <w:jc w:val="both"/>
        <w:rPr>
          <w:iCs/>
          <w:szCs w:val="22"/>
        </w:rPr>
      </w:pPr>
    </w:p>
    <w:p w:rsidR="00A60E21" w:rsidRPr="00971CD6" w:rsidRDefault="00A60E21" w:rsidP="00A60E21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iCs/>
          <w:szCs w:val="22"/>
        </w:rPr>
        <w:t xml:space="preserve">          </w:t>
      </w:r>
      <w:r w:rsidRPr="00971CD6">
        <w:rPr>
          <w:iCs/>
          <w:szCs w:val="22"/>
          <w:u w:val="single"/>
        </w:rPr>
        <w:t>Induktory CYP 3A4:</w:t>
      </w:r>
      <w:r w:rsidRPr="00971CD6">
        <w:rPr>
          <w:szCs w:val="22"/>
          <w:u w:val="single"/>
        </w:rPr>
        <w:t xml:space="preserve"> </w:t>
      </w:r>
      <w:r w:rsidR="00014321">
        <w:rPr>
          <w:szCs w:val="22"/>
          <w:u w:val="single"/>
        </w:rPr>
        <w:t xml:space="preserve">Liečivá </w:t>
      </w:r>
      <w:r w:rsidRPr="00971CD6">
        <w:rPr>
          <w:szCs w:val="22"/>
        </w:rPr>
        <w:t xml:space="preserve">ako </w:t>
      </w:r>
      <w:proofErr w:type="spellStart"/>
      <w:r w:rsidRPr="00971CD6">
        <w:rPr>
          <w:szCs w:val="22"/>
        </w:rPr>
        <w:t>karbamazepín</w:t>
      </w:r>
      <w:proofErr w:type="spellEnd"/>
      <w:r w:rsidRPr="00971CD6">
        <w:rPr>
          <w:szCs w:val="22"/>
        </w:rPr>
        <w:t xml:space="preserve"> a </w:t>
      </w:r>
      <w:proofErr w:type="spellStart"/>
      <w:r w:rsidRPr="00971CD6">
        <w:rPr>
          <w:szCs w:val="22"/>
        </w:rPr>
        <w:t>rifampicín</w:t>
      </w:r>
      <w:proofErr w:type="spellEnd"/>
      <w:r w:rsidRPr="00971CD6">
        <w:rPr>
          <w:szCs w:val="22"/>
        </w:rPr>
        <w:t xml:space="preserve">, ktoré indukujú CYP3A4, môžu znížiť systémovú aj lokálnu účinnosť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 xml:space="preserve"> na </w:t>
      </w:r>
      <w:proofErr w:type="spellStart"/>
      <w:r w:rsidRPr="00971CD6">
        <w:rPr>
          <w:szCs w:val="22"/>
        </w:rPr>
        <w:t>intestinálnej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mukóze</w:t>
      </w:r>
      <w:proofErr w:type="spellEnd"/>
      <w:r w:rsidRPr="00971CD6">
        <w:rPr>
          <w:szCs w:val="22"/>
        </w:rPr>
        <w:t xml:space="preserve">. Môže byť nevyhnutné upraviť dávku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>.</w:t>
      </w:r>
    </w:p>
    <w:p w:rsidR="00A60E21" w:rsidRPr="00971CD6" w:rsidRDefault="00A60E21" w:rsidP="00A60E21">
      <w:pPr>
        <w:ind w:left="0" w:right="-1" w:firstLine="0"/>
        <w:jc w:val="both"/>
        <w:rPr>
          <w:iCs/>
          <w:szCs w:val="22"/>
          <w:u w:val="single"/>
        </w:rPr>
      </w:pPr>
    </w:p>
    <w:p w:rsidR="0079500A" w:rsidRPr="00971CD6" w:rsidRDefault="0079500A" w:rsidP="0079500A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lastRenderedPageBreak/>
        <w:t xml:space="preserve">          </w:t>
      </w:r>
      <w:r w:rsidRPr="00971CD6">
        <w:rPr>
          <w:szCs w:val="22"/>
          <w:u w:val="single"/>
        </w:rPr>
        <w:t>Substráty pre CYP 3A4</w:t>
      </w:r>
      <w:r w:rsidRPr="00971CD6">
        <w:rPr>
          <w:szCs w:val="22"/>
        </w:rPr>
        <w:t xml:space="preserve">: </w:t>
      </w:r>
      <w:r w:rsidR="00014321">
        <w:rPr>
          <w:szCs w:val="22"/>
        </w:rPr>
        <w:t>Liečivá</w:t>
      </w:r>
      <w:r w:rsidRPr="00971CD6">
        <w:rPr>
          <w:szCs w:val="22"/>
        </w:rPr>
        <w:t>, ktoré sú metabolizované</w:t>
      </w:r>
      <w:r w:rsidRPr="00971CD6">
        <w:rPr>
          <w:szCs w:val="22"/>
          <w:u w:val="single"/>
        </w:rPr>
        <w:t xml:space="preserve"> </w:t>
      </w:r>
      <w:r w:rsidRPr="00971CD6">
        <w:rPr>
          <w:szCs w:val="22"/>
        </w:rPr>
        <w:t xml:space="preserve">CYP3A4 môžu byť </w:t>
      </w:r>
      <w:proofErr w:type="spellStart"/>
      <w:r w:rsidRPr="00971CD6">
        <w:rPr>
          <w:szCs w:val="22"/>
        </w:rPr>
        <w:t>kompetítormi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>.</w:t>
      </w:r>
    </w:p>
    <w:p w:rsidR="0079500A" w:rsidRPr="00971CD6" w:rsidRDefault="0079500A" w:rsidP="0079500A">
      <w:pPr>
        <w:tabs>
          <w:tab w:val="left" w:pos="426"/>
        </w:tabs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Ak je afinita </w:t>
      </w:r>
      <w:proofErr w:type="spellStart"/>
      <w:r w:rsidRPr="00971CD6">
        <w:rPr>
          <w:szCs w:val="22"/>
        </w:rPr>
        <w:t>kompetítora</w:t>
      </w:r>
      <w:proofErr w:type="spellEnd"/>
      <w:r w:rsidRPr="00971CD6">
        <w:rPr>
          <w:szCs w:val="22"/>
        </w:rPr>
        <w:t xml:space="preserve"> k CYP 3A silnejšia, môže to viesť k zvýšeniu plazmatickej koncentrácie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 xml:space="preserve"> alebo ak </w:t>
      </w:r>
      <w:proofErr w:type="spellStart"/>
      <w:r w:rsidRPr="00971CD6">
        <w:rPr>
          <w:szCs w:val="22"/>
        </w:rPr>
        <w:t>budezonid</w:t>
      </w:r>
      <w:proofErr w:type="spellEnd"/>
      <w:r w:rsidRPr="00971CD6">
        <w:rPr>
          <w:szCs w:val="22"/>
        </w:rPr>
        <w:t xml:space="preserve"> vykazuje silnejšiu väzobnú afinitu k CYP 3A, môže dôjsť k zvýšeniu plazmatickej koncentráci</w:t>
      </w:r>
      <w:r w:rsidR="00562955">
        <w:rPr>
          <w:szCs w:val="22"/>
        </w:rPr>
        <w:t>i</w:t>
      </w:r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kompetítora</w:t>
      </w:r>
      <w:proofErr w:type="spellEnd"/>
      <w:r w:rsidRPr="00971CD6">
        <w:rPr>
          <w:szCs w:val="22"/>
        </w:rPr>
        <w:t xml:space="preserve">. Vtedy môže byť nevyhnutná úprava/zníženie dávky tohto liečiva - </w:t>
      </w:r>
      <w:proofErr w:type="spellStart"/>
      <w:r w:rsidRPr="00971CD6">
        <w:rPr>
          <w:szCs w:val="22"/>
        </w:rPr>
        <w:t>kompetítora</w:t>
      </w:r>
      <w:proofErr w:type="spellEnd"/>
      <w:r w:rsidRPr="00971CD6">
        <w:rPr>
          <w:szCs w:val="22"/>
        </w:rPr>
        <w:t>.</w:t>
      </w:r>
    </w:p>
    <w:p w:rsidR="0079500A" w:rsidRPr="00971CD6" w:rsidRDefault="0079500A" w:rsidP="0079500A">
      <w:pPr>
        <w:tabs>
          <w:tab w:val="left" w:pos="426"/>
        </w:tabs>
        <w:ind w:left="0" w:firstLine="0"/>
        <w:jc w:val="both"/>
        <w:rPr>
          <w:szCs w:val="22"/>
        </w:rPr>
      </w:pPr>
    </w:p>
    <w:p w:rsidR="0079500A" w:rsidRPr="00971CD6" w:rsidRDefault="0079500A" w:rsidP="0079500A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t xml:space="preserve">          Pri súbežnom podávaní estrogénov alebo perorálnych </w:t>
      </w:r>
      <w:proofErr w:type="spellStart"/>
      <w:r w:rsidRPr="00971CD6">
        <w:rPr>
          <w:szCs w:val="22"/>
        </w:rPr>
        <w:t>kontraceptív</w:t>
      </w:r>
      <w:proofErr w:type="spellEnd"/>
      <w:r w:rsidRPr="00971CD6">
        <w:rPr>
          <w:szCs w:val="22"/>
        </w:rPr>
        <w:t xml:space="preserve"> u žien boli hlásené zvýšené plazmatické koncentrácie a zvýšený účinok </w:t>
      </w:r>
      <w:proofErr w:type="spellStart"/>
      <w:r w:rsidRPr="00971CD6">
        <w:rPr>
          <w:szCs w:val="22"/>
        </w:rPr>
        <w:t>kortikosteroidov</w:t>
      </w:r>
      <w:proofErr w:type="spellEnd"/>
      <w:r w:rsidRPr="00971CD6">
        <w:rPr>
          <w:szCs w:val="22"/>
        </w:rPr>
        <w:t xml:space="preserve">. Pri podávaní kombinovaných </w:t>
      </w:r>
      <w:proofErr w:type="spellStart"/>
      <w:r w:rsidRPr="00971CD6">
        <w:rPr>
          <w:szCs w:val="22"/>
        </w:rPr>
        <w:t>nízkodávkových</w:t>
      </w:r>
      <w:proofErr w:type="spellEnd"/>
      <w:r w:rsidRPr="00971CD6">
        <w:rPr>
          <w:szCs w:val="22"/>
        </w:rPr>
        <w:t xml:space="preserve"> perorálnych </w:t>
      </w:r>
      <w:proofErr w:type="spellStart"/>
      <w:r w:rsidRPr="00971CD6">
        <w:rPr>
          <w:szCs w:val="22"/>
        </w:rPr>
        <w:t>kontraceptív</w:t>
      </w:r>
      <w:proofErr w:type="spellEnd"/>
      <w:r w:rsidRPr="00971CD6">
        <w:rPr>
          <w:szCs w:val="22"/>
        </w:rPr>
        <w:t xml:space="preserve"> táto interakcia nebola pozorovaná.</w:t>
      </w:r>
    </w:p>
    <w:p w:rsidR="0079500A" w:rsidRPr="00971CD6" w:rsidRDefault="0079500A" w:rsidP="0079500A">
      <w:pPr>
        <w:ind w:left="0" w:right="-1" w:firstLine="0"/>
        <w:jc w:val="both"/>
        <w:rPr>
          <w:szCs w:val="22"/>
          <w:u w:val="single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4.6</w:t>
      </w:r>
      <w:r w:rsidRPr="00971CD6">
        <w:rPr>
          <w:b/>
          <w:szCs w:val="22"/>
        </w:rPr>
        <w:tab/>
      </w:r>
      <w:proofErr w:type="spellStart"/>
      <w:r w:rsidR="00C015FB">
        <w:rPr>
          <w:b/>
          <w:szCs w:val="22"/>
        </w:rPr>
        <w:t>Fertilita</w:t>
      </w:r>
      <w:proofErr w:type="spellEnd"/>
      <w:r w:rsidR="00C015FB">
        <w:rPr>
          <w:b/>
          <w:szCs w:val="22"/>
        </w:rPr>
        <w:t>, g</w:t>
      </w:r>
      <w:r w:rsidRPr="00971CD6">
        <w:rPr>
          <w:b/>
          <w:szCs w:val="22"/>
        </w:rPr>
        <w:t>ravidita a laktácia</w:t>
      </w:r>
    </w:p>
    <w:p w:rsidR="00672509" w:rsidRPr="00971CD6" w:rsidRDefault="00672509" w:rsidP="00672509">
      <w:pPr>
        <w:ind w:left="0" w:right="-1" w:firstLine="0"/>
        <w:jc w:val="both"/>
        <w:rPr>
          <w:szCs w:val="22"/>
        </w:rPr>
      </w:pPr>
    </w:p>
    <w:p w:rsidR="00672509" w:rsidRPr="00B120EC" w:rsidRDefault="00E62D06" w:rsidP="00672509">
      <w:pPr>
        <w:ind w:left="0" w:right="-1" w:firstLine="0"/>
        <w:jc w:val="both"/>
        <w:rPr>
          <w:szCs w:val="22"/>
          <w:u w:val="single"/>
        </w:rPr>
      </w:pPr>
      <w:r w:rsidRPr="00B120EC">
        <w:rPr>
          <w:szCs w:val="22"/>
          <w:u w:val="single"/>
        </w:rPr>
        <w:t>Gravidita</w:t>
      </w:r>
    </w:p>
    <w:p w:rsidR="00672509" w:rsidRPr="00971CD6" w:rsidRDefault="00672509" w:rsidP="00672509">
      <w:pPr>
        <w:ind w:left="0"/>
        <w:jc w:val="both"/>
        <w:rPr>
          <w:i/>
          <w:iCs/>
          <w:szCs w:val="22"/>
        </w:rPr>
      </w:pPr>
      <w:r w:rsidRPr="00971CD6">
        <w:rPr>
          <w:szCs w:val="22"/>
        </w:rPr>
        <w:t xml:space="preserve">          Podávaniu počas tehotenstva sa treba vyhnúť, pokiaľ nie sú závažné dôvody na liečbu  </w:t>
      </w:r>
      <w:proofErr w:type="spellStart"/>
      <w:r w:rsidRPr="00971CD6">
        <w:rPr>
          <w:szCs w:val="22"/>
        </w:rPr>
        <w:t>Budenofalkom</w:t>
      </w:r>
      <w:proofErr w:type="spellEnd"/>
      <w:r w:rsidRPr="00971CD6">
        <w:rPr>
          <w:szCs w:val="22"/>
        </w:rPr>
        <w:t xml:space="preserve">  </w:t>
      </w:r>
      <w:proofErr w:type="spellStart"/>
      <w:r w:rsidRPr="00971CD6">
        <w:rPr>
          <w:szCs w:val="22"/>
        </w:rPr>
        <w:t>rektálna</w:t>
      </w:r>
      <w:proofErr w:type="spellEnd"/>
      <w:r w:rsidRPr="00971CD6">
        <w:rPr>
          <w:szCs w:val="22"/>
        </w:rPr>
        <w:t xml:space="preserve"> pena. Ukázalo sa, že podanie </w:t>
      </w:r>
      <w:proofErr w:type="spellStart"/>
      <w:r w:rsidRPr="00971CD6">
        <w:rPr>
          <w:szCs w:val="22"/>
        </w:rPr>
        <w:t>budenozidu</w:t>
      </w:r>
      <w:proofErr w:type="spellEnd"/>
      <w:r w:rsidRPr="00971CD6">
        <w:rPr>
          <w:szCs w:val="22"/>
        </w:rPr>
        <w:t xml:space="preserve">, podobne ako iných </w:t>
      </w:r>
      <w:proofErr w:type="spellStart"/>
      <w:r w:rsidRPr="00971CD6">
        <w:rPr>
          <w:szCs w:val="22"/>
        </w:rPr>
        <w:t>glukokortikosteroidov</w:t>
      </w:r>
      <w:proofErr w:type="spellEnd"/>
      <w:r w:rsidRPr="00971CD6">
        <w:rPr>
          <w:szCs w:val="22"/>
        </w:rPr>
        <w:t xml:space="preserve"> spôsobuje poruchy vývoja plodu u gravidných zvierat (pozri časť 5.3). Význam týchto nálezov u ľudí zatiaľ nebol stanovený. </w:t>
      </w:r>
    </w:p>
    <w:p w:rsidR="00672509" w:rsidRPr="00971CD6" w:rsidRDefault="00672509" w:rsidP="00672509">
      <w:pPr>
        <w:ind w:left="0" w:right="-1" w:firstLine="0"/>
        <w:jc w:val="both"/>
        <w:rPr>
          <w:szCs w:val="22"/>
        </w:rPr>
      </w:pPr>
    </w:p>
    <w:p w:rsidR="00672509" w:rsidRPr="00B120EC" w:rsidRDefault="0060661F" w:rsidP="00672509">
      <w:pPr>
        <w:ind w:left="0" w:right="-1" w:firstLine="0"/>
        <w:jc w:val="both"/>
        <w:rPr>
          <w:szCs w:val="22"/>
          <w:u w:val="single"/>
        </w:rPr>
      </w:pPr>
      <w:r>
        <w:rPr>
          <w:szCs w:val="22"/>
          <w:u w:val="single"/>
        </w:rPr>
        <w:t>Dojčenie</w:t>
      </w:r>
    </w:p>
    <w:p w:rsidR="00672509" w:rsidRPr="00971CD6" w:rsidRDefault="00672509" w:rsidP="00672509">
      <w:pPr>
        <w:ind w:left="0"/>
        <w:jc w:val="both"/>
        <w:rPr>
          <w:i/>
          <w:iCs/>
          <w:szCs w:val="22"/>
        </w:rPr>
      </w:pPr>
      <w:r w:rsidRPr="00971CD6">
        <w:rPr>
          <w:szCs w:val="22"/>
        </w:rPr>
        <w:t xml:space="preserve">          </w:t>
      </w:r>
      <w:proofErr w:type="spellStart"/>
      <w:r w:rsidRPr="00971CD6">
        <w:rPr>
          <w:szCs w:val="22"/>
        </w:rPr>
        <w:t>Budenozid</w:t>
      </w:r>
      <w:proofErr w:type="spellEnd"/>
      <w:r w:rsidRPr="00971CD6">
        <w:rPr>
          <w:szCs w:val="22"/>
        </w:rPr>
        <w:t xml:space="preserve"> sa vylučuje do materského mlieka (sú dostupné údaje o vylučovaní </w:t>
      </w:r>
      <w:proofErr w:type="spellStart"/>
      <w:r w:rsidRPr="00971CD6">
        <w:rPr>
          <w:szCs w:val="22"/>
        </w:rPr>
        <w:t>budenozidu</w:t>
      </w:r>
      <w:proofErr w:type="spellEnd"/>
      <w:r w:rsidRPr="00971CD6">
        <w:rPr>
          <w:szCs w:val="22"/>
        </w:rPr>
        <w:t xml:space="preserve"> po jeho inhalačnom podaní). Avšak očakáva sa, že účinky na dojča pri užívaní  </w:t>
      </w:r>
      <w:proofErr w:type="spellStart"/>
      <w:r w:rsidRPr="00971CD6">
        <w:rPr>
          <w:szCs w:val="22"/>
        </w:rPr>
        <w:t>Budenofalku</w:t>
      </w:r>
      <w:proofErr w:type="spellEnd"/>
      <w:r w:rsidRPr="00971CD6">
        <w:rPr>
          <w:szCs w:val="22"/>
        </w:rPr>
        <w:t xml:space="preserve">  </w:t>
      </w:r>
      <w:proofErr w:type="spellStart"/>
      <w:r w:rsidR="00014321">
        <w:rPr>
          <w:szCs w:val="22"/>
        </w:rPr>
        <w:t>rektálna</w:t>
      </w:r>
      <w:proofErr w:type="spellEnd"/>
      <w:r w:rsidR="00014321">
        <w:rPr>
          <w:szCs w:val="22"/>
        </w:rPr>
        <w:t xml:space="preserve"> pena</w:t>
      </w:r>
      <w:r w:rsidRPr="00971CD6">
        <w:rPr>
          <w:szCs w:val="22"/>
        </w:rPr>
        <w:t xml:space="preserve"> v terapeutických dávkach budú slabé. Lekár </w:t>
      </w:r>
      <w:r w:rsidR="008B5C58">
        <w:rPr>
          <w:szCs w:val="22"/>
        </w:rPr>
        <w:t xml:space="preserve">sa </w:t>
      </w:r>
      <w:r w:rsidRPr="00971CD6">
        <w:rPr>
          <w:szCs w:val="22"/>
        </w:rPr>
        <w:t xml:space="preserve">musí  rozhodnúť o tom, či prerušiť dojčenie alebo prerušiť/nezačať liečbu </w:t>
      </w:r>
      <w:proofErr w:type="spellStart"/>
      <w:r w:rsidRPr="00971CD6">
        <w:rPr>
          <w:szCs w:val="22"/>
        </w:rPr>
        <w:t>budenozidom</w:t>
      </w:r>
      <w:proofErr w:type="spellEnd"/>
      <w:r w:rsidRPr="00971CD6">
        <w:rPr>
          <w:szCs w:val="22"/>
        </w:rPr>
        <w:t xml:space="preserve">, pričom treba zvážiť výhody dojčenia pre dieťa a výhody liečby pre ženu. </w:t>
      </w:r>
    </w:p>
    <w:p w:rsidR="00672509" w:rsidRPr="00971CD6" w:rsidRDefault="00672509" w:rsidP="00672509">
      <w:pPr>
        <w:ind w:left="0" w:right="-1" w:firstLine="0"/>
        <w:jc w:val="both"/>
        <w:rPr>
          <w:szCs w:val="22"/>
        </w:rPr>
      </w:pPr>
    </w:p>
    <w:p w:rsidR="00672509" w:rsidRPr="00B120EC" w:rsidRDefault="00672509" w:rsidP="00672509">
      <w:pPr>
        <w:ind w:left="0"/>
        <w:jc w:val="both"/>
        <w:rPr>
          <w:szCs w:val="22"/>
          <w:u w:val="single"/>
        </w:rPr>
      </w:pPr>
      <w:r w:rsidRPr="00971CD6">
        <w:rPr>
          <w:szCs w:val="22"/>
        </w:rPr>
        <w:t xml:space="preserve">.         </w:t>
      </w:r>
      <w:proofErr w:type="spellStart"/>
      <w:r w:rsidR="00E62D06" w:rsidRPr="00B120EC">
        <w:rPr>
          <w:szCs w:val="22"/>
          <w:u w:val="single"/>
        </w:rPr>
        <w:t>Fertilita</w:t>
      </w:r>
      <w:proofErr w:type="spellEnd"/>
    </w:p>
    <w:p w:rsidR="00672509" w:rsidRPr="00971CD6" w:rsidRDefault="00672509" w:rsidP="00672509">
      <w:pPr>
        <w:ind w:left="0"/>
        <w:jc w:val="both"/>
        <w:rPr>
          <w:i/>
          <w:iCs/>
          <w:szCs w:val="22"/>
        </w:rPr>
      </w:pPr>
      <w:r w:rsidRPr="00971CD6">
        <w:rPr>
          <w:szCs w:val="22"/>
        </w:rPr>
        <w:t xml:space="preserve">          Nie sú žiadne skúsenosti s účinkami </w:t>
      </w:r>
      <w:proofErr w:type="spellStart"/>
      <w:r w:rsidRPr="00971CD6">
        <w:rPr>
          <w:szCs w:val="22"/>
        </w:rPr>
        <w:t>budenozidu</w:t>
      </w:r>
      <w:proofErr w:type="spellEnd"/>
      <w:r w:rsidRPr="00971CD6">
        <w:rPr>
          <w:szCs w:val="22"/>
        </w:rPr>
        <w:t xml:space="preserve"> na ženskú </w:t>
      </w:r>
      <w:proofErr w:type="spellStart"/>
      <w:r w:rsidRPr="00971CD6">
        <w:rPr>
          <w:szCs w:val="22"/>
        </w:rPr>
        <w:t>fertilitu</w:t>
      </w:r>
      <w:proofErr w:type="spellEnd"/>
      <w:r w:rsidRPr="00971CD6">
        <w:rPr>
          <w:szCs w:val="22"/>
        </w:rPr>
        <w:t xml:space="preserve">. Štúdie na zvieratách nepreukázali ovplyvnenie </w:t>
      </w:r>
      <w:proofErr w:type="spellStart"/>
      <w:r w:rsidRPr="00971CD6">
        <w:rPr>
          <w:szCs w:val="22"/>
        </w:rPr>
        <w:t>fertility</w:t>
      </w:r>
      <w:proofErr w:type="spellEnd"/>
      <w:r w:rsidRPr="00971CD6">
        <w:rPr>
          <w:szCs w:val="22"/>
        </w:rPr>
        <w:t xml:space="preserve"> na základe liečby </w:t>
      </w:r>
      <w:proofErr w:type="spellStart"/>
      <w:r w:rsidRPr="00971CD6">
        <w:rPr>
          <w:szCs w:val="22"/>
        </w:rPr>
        <w:t>budenozidom</w:t>
      </w:r>
      <w:proofErr w:type="spellEnd"/>
      <w:r w:rsidRPr="00971CD6">
        <w:rPr>
          <w:szCs w:val="22"/>
        </w:rPr>
        <w:t xml:space="preserve">. (pozri časť 5.3). </w:t>
      </w:r>
    </w:p>
    <w:p w:rsidR="00672509" w:rsidRPr="00971CD6" w:rsidRDefault="00672509" w:rsidP="0079500A">
      <w:pPr>
        <w:ind w:left="0" w:right="-1" w:firstLine="0"/>
        <w:jc w:val="both"/>
        <w:rPr>
          <w:szCs w:val="22"/>
          <w:u w:val="single"/>
        </w:rPr>
      </w:pPr>
    </w:p>
    <w:p w:rsidR="00672509" w:rsidRPr="00971CD6" w:rsidRDefault="00672509" w:rsidP="00672509">
      <w:pPr>
        <w:ind w:left="0" w:right="-1" w:firstLine="0"/>
        <w:jc w:val="both"/>
        <w:rPr>
          <w:szCs w:val="22"/>
        </w:rPr>
      </w:pPr>
      <w:r w:rsidRPr="00971CD6">
        <w:rPr>
          <w:b/>
          <w:szCs w:val="22"/>
        </w:rPr>
        <w:t>4.7</w:t>
      </w:r>
      <w:r w:rsidRPr="00971CD6">
        <w:rPr>
          <w:b/>
          <w:szCs w:val="22"/>
        </w:rPr>
        <w:tab/>
        <w:t>Ovplyvnenie schopnosti viesť vozidlá a obsluhovať stroje</w:t>
      </w:r>
    </w:p>
    <w:p w:rsidR="00672509" w:rsidRPr="00971CD6" w:rsidRDefault="00672509" w:rsidP="00672509">
      <w:pPr>
        <w:jc w:val="both"/>
        <w:rPr>
          <w:szCs w:val="22"/>
        </w:rPr>
      </w:pPr>
    </w:p>
    <w:p w:rsidR="00672509" w:rsidRPr="00971CD6" w:rsidRDefault="00672509" w:rsidP="00672509">
      <w:pPr>
        <w:tabs>
          <w:tab w:val="left" w:pos="426"/>
        </w:tabs>
        <w:rPr>
          <w:szCs w:val="22"/>
        </w:rPr>
      </w:pPr>
      <w:r w:rsidRPr="00971CD6">
        <w:rPr>
          <w:szCs w:val="22"/>
        </w:rPr>
        <w:t>Nie je známy žiadny vplyv na schopnosť viesť vozidlá a obsluhovať stroje.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</w:p>
    <w:p w:rsidR="00672509" w:rsidRPr="00971CD6" w:rsidRDefault="00672509" w:rsidP="00672509">
      <w:pPr>
        <w:jc w:val="both"/>
        <w:rPr>
          <w:b/>
          <w:szCs w:val="22"/>
        </w:rPr>
      </w:pPr>
      <w:r w:rsidRPr="00971CD6">
        <w:rPr>
          <w:b/>
          <w:szCs w:val="22"/>
        </w:rPr>
        <w:t>4.8</w:t>
      </w:r>
      <w:r w:rsidRPr="00971CD6">
        <w:rPr>
          <w:b/>
          <w:szCs w:val="22"/>
        </w:rPr>
        <w:tab/>
        <w:t>Nežiaduce účinky</w:t>
      </w:r>
    </w:p>
    <w:p w:rsidR="00672509" w:rsidRPr="00971CD6" w:rsidRDefault="00672509" w:rsidP="00672509">
      <w:pPr>
        <w:pStyle w:val="Zkladntext"/>
        <w:jc w:val="both"/>
      </w:pPr>
    </w:p>
    <w:p w:rsidR="00672509" w:rsidRPr="00971CD6" w:rsidRDefault="00672509" w:rsidP="00672509">
      <w:pPr>
        <w:pStyle w:val="Zkladntext"/>
        <w:jc w:val="both"/>
      </w:pPr>
      <w:r w:rsidRPr="00971CD6">
        <w:t>V rámci jednotlivých skupín frekvencií sú nežiaduce účinky usporiadané v poradí klesajúcej závažnosti:</w:t>
      </w:r>
    </w:p>
    <w:p w:rsidR="00672509" w:rsidRPr="00971CD6" w:rsidRDefault="00672509" w:rsidP="00672509">
      <w:pPr>
        <w:pStyle w:val="Zkladntext"/>
        <w:jc w:val="both"/>
      </w:pPr>
    </w:p>
    <w:p w:rsidR="00672509" w:rsidRPr="00971CD6" w:rsidRDefault="00672509" w:rsidP="00672509">
      <w:pPr>
        <w:tabs>
          <w:tab w:val="left" w:pos="2303"/>
        </w:tabs>
        <w:ind w:left="0" w:firstLine="0"/>
        <w:jc w:val="both"/>
      </w:pPr>
      <w:r w:rsidRPr="00971CD6">
        <w:t>Veľmi časté (</w:t>
      </w:r>
      <w:r w:rsidRPr="00971CD6">
        <w:sym w:font="Symbol" w:char="F0B3"/>
      </w:r>
      <w:r w:rsidRPr="00971CD6">
        <w:t>1/10)</w:t>
      </w:r>
    </w:p>
    <w:p w:rsidR="00672509" w:rsidRPr="00971CD6" w:rsidRDefault="00672509" w:rsidP="00672509">
      <w:pPr>
        <w:tabs>
          <w:tab w:val="left" w:pos="2303"/>
        </w:tabs>
        <w:ind w:left="0" w:firstLine="0"/>
        <w:jc w:val="both"/>
      </w:pPr>
      <w:r w:rsidRPr="00971CD6">
        <w:t>Časté (</w:t>
      </w:r>
      <w:r w:rsidRPr="00971CD6">
        <w:sym w:font="Symbol" w:char="F0B3"/>
      </w:r>
      <w:r w:rsidRPr="00971CD6">
        <w:t>1/100 až &lt;1/10)</w:t>
      </w:r>
    </w:p>
    <w:p w:rsidR="00672509" w:rsidRPr="00971CD6" w:rsidRDefault="00672509" w:rsidP="00672509">
      <w:pPr>
        <w:tabs>
          <w:tab w:val="left" w:pos="2303"/>
        </w:tabs>
        <w:ind w:left="0" w:firstLine="0"/>
        <w:jc w:val="both"/>
      </w:pPr>
      <w:r w:rsidRPr="00971CD6">
        <w:t>Menej časté (1/1000 až &lt;1/100)</w:t>
      </w:r>
    </w:p>
    <w:p w:rsidR="00672509" w:rsidRPr="00971CD6" w:rsidRDefault="00672509" w:rsidP="00672509">
      <w:pPr>
        <w:tabs>
          <w:tab w:val="left" w:pos="2303"/>
        </w:tabs>
        <w:ind w:left="0" w:firstLine="0"/>
        <w:jc w:val="both"/>
      </w:pPr>
      <w:r w:rsidRPr="00971CD6">
        <w:t>Zriedkavé (</w:t>
      </w:r>
      <w:r w:rsidRPr="00971CD6">
        <w:sym w:font="Symbol" w:char="F0B3"/>
      </w:r>
      <w:r w:rsidRPr="00971CD6">
        <w:t>1/10 000 až &lt;1/1000)</w:t>
      </w:r>
    </w:p>
    <w:p w:rsidR="00672509" w:rsidRPr="00B24FC6" w:rsidRDefault="00672509" w:rsidP="00672509">
      <w:pPr>
        <w:tabs>
          <w:tab w:val="left" w:pos="2303"/>
        </w:tabs>
        <w:ind w:left="0" w:firstLine="0"/>
        <w:jc w:val="both"/>
      </w:pPr>
      <w:r w:rsidRPr="006E3E00">
        <w:t>Veľmi zriedkavé (&lt;1/10 000), vrátane izolovaných hlásení</w:t>
      </w:r>
    </w:p>
    <w:p w:rsidR="00672509" w:rsidRPr="006E3E00" w:rsidRDefault="00672509" w:rsidP="00672509">
      <w:pPr>
        <w:pStyle w:val="Zkladntext"/>
        <w:jc w:val="both"/>
      </w:pPr>
    </w:p>
    <w:p w:rsidR="00672509" w:rsidRPr="006E3E00" w:rsidRDefault="00672509" w:rsidP="00672509">
      <w:pPr>
        <w:ind w:left="0" w:firstLine="0"/>
        <w:jc w:val="both"/>
        <w:rPr>
          <w:szCs w:val="22"/>
        </w:rPr>
      </w:pPr>
      <w:r w:rsidRPr="006E3E00">
        <w:rPr>
          <w:szCs w:val="22"/>
        </w:rPr>
        <w:t xml:space="preserve">V klinických štúdiách s liekom </w:t>
      </w:r>
      <w:proofErr w:type="spellStart"/>
      <w:r w:rsidR="00CC3CFD" w:rsidRPr="006E3E00">
        <w:rPr>
          <w:szCs w:val="22"/>
        </w:rPr>
        <w:t>Budenofalk</w:t>
      </w:r>
      <w:proofErr w:type="spellEnd"/>
      <w:r w:rsidR="00CC3CFD" w:rsidRPr="006E3E00">
        <w:rPr>
          <w:szCs w:val="22"/>
        </w:rPr>
        <w:t xml:space="preserve"> </w:t>
      </w:r>
      <w:proofErr w:type="spellStart"/>
      <w:r w:rsidRPr="006E3E00">
        <w:rPr>
          <w:szCs w:val="22"/>
        </w:rPr>
        <w:t>rektálna</w:t>
      </w:r>
      <w:proofErr w:type="spellEnd"/>
      <w:r w:rsidRPr="006E3E00">
        <w:rPr>
          <w:szCs w:val="22"/>
        </w:rPr>
        <w:t xml:space="preserve"> pena hlásilo nežiaduce účinky 8 % pacientov. Časté boli pálenie alebo bolesť rekta, menej časté boli </w:t>
      </w:r>
      <w:proofErr w:type="spellStart"/>
      <w:r w:rsidRPr="006E3E00">
        <w:rPr>
          <w:szCs w:val="22"/>
        </w:rPr>
        <w:t>nauzea</w:t>
      </w:r>
      <w:proofErr w:type="spellEnd"/>
      <w:r w:rsidRPr="006E3E00">
        <w:rPr>
          <w:szCs w:val="22"/>
        </w:rPr>
        <w:t>, bolesť hlavy a zvýšenie pečeňových enzýmov.</w:t>
      </w:r>
    </w:p>
    <w:p w:rsidR="00672509" w:rsidRPr="006E3E00" w:rsidRDefault="00672509" w:rsidP="00672509">
      <w:pPr>
        <w:ind w:left="0" w:firstLine="0"/>
        <w:jc w:val="both"/>
        <w:rPr>
          <w:szCs w:val="22"/>
        </w:rPr>
      </w:pPr>
    </w:p>
    <w:p w:rsidR="00672509" w:rsidRPr="006E3E00" w:rsidRDefault="00672509" w:rsidP="00672509">
      <w:pPr>
        <w:ind w:left="0" w:firstLine="0"/>
        <w:jc w:val="both"/>
        <w:rPr>
          <w:szCs w:val="22"/>
        </w:rPr>
      </w:pPr>
      <w:r w:rsidRPr="006E3E00">
        <w:rPr>
          <w:szCs w:val="22"/>
        </w:rPr>
        <w:t>Počas klinických skúšok boli pozorované nasledujúce nežiaduce účinky:</w:t>
      </w:r>
    </w:p>
    <w:p w:rsidR="00672509" w:rsidRPr="006E3E00" w:rsidRDefault="00672509" w:rsidP="00672509">
      <w:pPr>
        <w:ind w:left="0" w:firstLine="0"/>
        <w:jc w:val="both"/>
        <w:rPr>
          <w:szCs w:val="22"/>
        </w:rPr>
      </w:pP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  <w:szCs w:val="22"/>
        </w:rPr>
        <w:lastRenderedPageBreak/>
        <w:t>Infekcie a nákazy:</w:t>
      </w:r>
      <w:r w:rsidR="00C015FB" w:rsidRPr="006E3E00">
        <w:rPr>
          <w:i/>
          <w:szCs w:val="22"/>
        </w:rPr>
        <w:t xml:space="preserve"> </w:t>
      </w:r>
      <w:r w:rsidRPr="006E3E00">
        <w:rPr>
          <w:i/>
        </w:rPr>
        <w:t>Menej časté:</w:t>
      </w:r>
      <w:r w:rsidRPr="006E3E00">
        <w:t xml:space="preserve"> infekcie močového systému</w:t>
      </w:r>
    </w:p>
    <w:p w:rsidR="00672509" w:rsidRPr="006E3E00" w:rsidRDefault="00672509" w:rsidP="00672509">
      <w:pPr>
        <w:ind w:left="0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  <w:szCs w:val="22"/>
        </w:rPr>
      </w:pPr>
      <w:r w:rsidRPr="006E3E00">
        <w:rPr>
          <w:i/>
          <w:szCs w:val="22"/>
        </w:rPr>
        <w:t>Poruchy krvi a lymfatického systému: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>Menej časté:</w:t>
      </w:r>
      <w:r w:rsidRPr="006E3E00">
        <w:t xml:space="preserve"> anémia, zvýšenie sedimentácie erytrocytov, leukocytóza</w:t>
      </w:r>
    </w:p>
    <w:p w:rsidR="00672509" w:rsidRPr="006E3E00" w:rsidRDefault="00672509" w:rsidP="00672509">
      <w:pPr>
        <w:ind w:left="0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</w:rPr>
      </w:pPr>
      <w:r w:rsidRPr="006E3E00">
        <w:rPr>
          <w:i/>
          <w:szCs w:val="22"/>
        </w:rPr>
        <w:t>Poruchy</w:t>
      </w:r>
      <w:r w:rsidRPr="006E3E00">
        <w:rPr>
          <w:i/>
        </w:rPr>
        <w:t xml:space="preserve"> metabolizmu a výživy: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>Menej časté:</w:t>
      </w:r>
      <w:r w:rsidRPr="006E3E00">
        <w:t xml:space="preserve"> zvýšený apetít</w:t>
      </w:r>
    </w:p>
    <w:p w:rsidR="00672509" w:rsidRPr="006E3E00" w:rsidRDefault="00672509" w:rsidP="00672509">
      <w:pPr>
        <w:ind w:left="0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</w:rPr>
      </w:pPr>
      <w:r w:rsidRPr="006E3E00">
        <w:rPr>
          <w:i/>
        </w:rPr>
        <w:t xml:space="preserve">Psychické </w:t>
      </w:r>
      <w:r w:rsidRPr="006E3E00">
        <w:rPr>
          <w:i/>
          <w:szCs w:val="22"/>
        </w:rPr>
        <w:t>poruchy</w:t>
      </w:r>
      <w:r w:rsidRPr="006E3E00">
        <w:rPr>
          <w:i/>
        </w:rPr>
        <w:t>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>Menej časté:</w:t>
      </w:r>
      <w:r w:rsidRPr="006E3E00">
        <w:t xml:space="preserve"> nespavosť</w:t>
      </w:r>
    </w:p>
    <w:p w:rsidR="00672509" w:rsidRPr="006E3E00" w:rsidRDefault="00672509" w:rsidP="00672509">
      <w:pPr>
        <w:ind w:left="0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</w:rPr>
      </w:pPr>
      <w:r w:rsidRPr="006E3E00">
        <w:rPr>
          <w:i/>
          <w:szCs w:val="22"/>
        </w:rPr>
        <w:t>Poruchy</w:t>
      </w:r>
      <w:r w:rsidRPr="006E3E00">
        <w:rPr>
          <w:i/>
        </w:rPr>
        <w:t xml:space="preserve"> nervového systému: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>Menej časté:</w:t>
      </w:r>
      <w:r w:rsidRPr="006E3E00">
        <w:t xml:space="preserve"> bolesť hlavy, závrat, poruchy čuchu</w:t>
      </w:r>
    </w:p>
    <w:p w:rsidR="00672509" w:rsidRPr="006E3E00" w:rsidRDefault="00672509" w:rsidP="00672509">
      <w:pPr>
        <w:ind w:left="0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</w:rPr>
      </w:pPr>
      <w:r w:rsidRPr="006E3E00">
        <w:rPr>
          <w:i/>
        </w:rPr>
        <w:t>P</w:t>
      </w:r>
      <w:r w:rsidRPr="006E3E00">
        <w:rPr>
          <w:i/>
          <w:szCs w:val="22"/>
        </w:rPr>
        <w:t>oruchy ciev</w:t>
      </w:r>
      <w:r w:rsidRPr="006E3E00">
        <w:rPr>
          <w:i/>
        </w:rPr>
        <w:t>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>Menej časté:</w:t>
      </w:r>
      <w:r w:rsidRPr="006E3E00">
        <w:t xml:space="preserve"> hypertenzia</w:t>
      </w:r>
    </w:p>
    <w:p w:rsidR="00672509" w:rsidRPr="006E3E00" w:rsidRDefault="00672509" w:rsidP="00672509">
      <w:pPr>
        <w:ind w:left="0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  <w:szCs w:val="22"/>
        </w:rPr>
      </w:pPr>
      <w:r w:rsidRPr="006E3E00">
        <w:rPr>
          <w:i/>
          <w:szCs w:val="22"/>
        </w:rPr>
        <w:t xml:space="preserve">Poruchy </w:t>
      </w:r>
      <w:proofErr w:type="spellStart"/>
      <w:r w:rsidRPr="006E3E00">
        <w:rPr>
          <w:i/>
          <w:szCs w:val="22"/>
        </w:rPr>
        <w:t>gastrointestinálneho</w:t>
      </w:r>
      <w:proofErr w:type="spellEnd"/>
      <w:r w:rsidRPr="006E3E00">
        <w:rPr>
          <w:i/>
          <w:szCs w:val="22"/>
        </w:rPr>
        <w:t xml:space="preserve"> traktu: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>Menej časté:</w:t>
      </w:r>
      <w:r w:rsidRPr="006E3E00">
        <w:t xml:space="preserve"> </w:t>
      </w:r>
      <w:proofErr w:type="spellStart"/>
      <w:r w:rsidRPr="006E3E00">
        <w:t>nauzea</w:t>
      </w:r>
      <w:proofErr w:type="spellEnd"/>
      <w:r w:rsidRPr="006E3E00">
        <w:t xml:space="preserve">, bolesť brucha, </w:t>
      </w:r>
      <w:proofErr w:type="spellStart"/>
      <w:r w:rsidRPr="006E3E00">
        <w:t>dyspepsia</w:t>
      </w:r>
      <w:proofErr w:type="spellEnd"/>
      <w:r w:rsidRPr="006E3E00">
        <w:t xml:space="preserve">, plynatosť, </w:t>
      </w:r>
      <w:proofErr w:type="spellStart"/>
      <w:r w:rsidRPr="006E3E00">
        <w:t>parestéz</w:t>
      </w:r>
      <w:r w:rsidR="006E3E00" w:rsidRPr="006E3E00">
        <w:t>i</w:t>
      </w:r>
      <w:r w:rsidRPr="006E3E00">
        <w:t>a</w:t>
      </w:r>
      <w:proofErr w:type="spellEnd"/>
      <w:r w:rsidRPr="006E3E00">
        <w:t xml:space="preserve"> v oblasti brucha, análne </w:t>
      </w:r>
      <w:proofErr w:type="spellStart"/>
      <w:r w:rsidRPr="006E3E00">
        <w:t>fisúry</w:t>
      </w:r>
      <w:proofErr w:type="spellEnd"/>
      <w:r w:rsidRPr="006E3E00">
        <w:t xml:space="preserve">, </w:t>
      </w:r>
      <w:proofErr w:type="spellStart"/>
      <w:r w:rsidRPr="006E3E00">
        <w:t>aftózna</w:t>
      </w:r>
      <w:proofErr w:type="spellEnd"/>
      <w:r w:rsidRPr="006E3E00">
        <w:t xml:space="preserve"> </w:t>
      </w:r>
      <w:proofErr w:type="spellStart"/>
      <w:r w:rsidRPr="006E3E00">
        <w:t>stomatitída</w:t>
      </w:r>
      <w:proofErr w:type="spellEnd"/>
      <w:r w:rsidRPr="006E3E00">
        <w:t xml:space="preserve">, časté nutkanie na stolicu, hemoroidy, </w:t>
      </w:r>
      <w:proofErr w:type="spellStart"/>
      <w:r w:rsidRPr="006E3E00">
        <w:t>rektálne</w:t>
      </w:r>
      <w:proofErr w:type="spellEnd"/>
      <w:r w:rsidRPr="006E3E00">
        <w:t xml:space="preserve"> krvácanie</w:t>
      </w:r>
    </w:p>
    <w:p w:rsidR="00672509" w:rsidRPr="006E3E00" w:rsidRDefault="00672509" w:rsidP="00672509">
      <w:pPr>
        <w:ind w:left="0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</w:rPr>
      </w:pPr>
      <w:r w:rsidRPr="006E3E00">
        <w:rPr>
          <w:i/>
          <w:szCs w:val="22"/>
        </w:rPr>
        <w:t>Poruchy</w:t>
      </w:r>
      <w:r w:rsidRPr="006E3E00">
        <w:rPr>
          <w:i/>
        </w:rPr>
        <w:t xml:space="preserve"> pečene a žlčových ciest: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 xml:space="preserve">Menej časté: </w:t>
      </w:r>
      <w:r w:rsidRPr="006E3E00">
        <w:t xml:space="preserve">zvýšenie </w:t>
      </w:r>
      <w:proofErr w:type="spellStart"/>
      <w:r w:rsidRPr="006E3E00">
        <w:t>transamináz</w:t>
      </w:r>
      <w:proofErr w:type="spellEnd"/>
      <w:r w:rsidRPr="006E3E00">
        <w:t xml:space="preserve"> (</w:t>
      </w:r>
      <w:r w:rsidR="00014321" w:rsidRPr="006E3E00">
        <w:t>AST,ALT</w:t>
      </w:r>
      <w:r w:rsidRPr="006E3E00">
        <w:t xml:space="preserve">), zvýšenie parametrov </w:t>
      </w:r>
      <w:proofErr w:type="spellStart"/>
      <w:r w:rsidRPr="006E3E00">
        <w:t>cholestázy</w:t>
      </w:r>
      <w:proofErr w:type="spellEnd"/>
      <w:r w:rsidRPr="006E3E00">
        <w:t xml:space="preserve"> (</w:t>
      </w:r>
      <w:r w:rsidRPr="006E3E00">
        <w:rPr>
          <w:b/>
        </w:rPr>
        <w:t>GGT, AP)</w:t>
      </w:r>
    </w:p>
    <w:p w:rsidR="00672509" w:rsidRPr="006E3E00" w:rsidRDefault="00672509" w:rsidP="00672509">
      <w:pPr>
        <w:ind w:left="0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</w:rPr>
      </w:pPr>
      <w:r w:rsidRPr="006E3E00">
        <w:rPr>
          <w:i/>
          <w:szCs w:val="22"/>
        </w:rPr>
        <w:t>Poruchy</w:t>
      </w:r>
      <w:r w:rsidRPr="006E3E00">
        <w:rPr>
          <w:i/>
        </w:rPr>
        <w:t xml:space="preserve"> kože a podkožného tkaniva: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>Menej časté:</w:t>
      </w:r>
      <w:r w:rsidRPr="006E3E00">
        <w:t xml:space="preserve"> akné, nadmerné potenie</w:t>
      </w:r>
    </w:p>
    <w:p w:rsidR="00672509" w:rsidRPr="006E3E00" w:rsidRDefault="00672509" w:rsidP="00672509">
      <w:pPr>
        <w:ind w:left="0" w:right="-1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</w:rPr>
      </w:pPr>
      <w:r w:rsidRPr="006E3E00">
        <w:rPr>
          <w:i/>
        </w:rPr>
        <w:t>Laboratórne a funkčné vyšetrenia: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 xml:space="preserve">Menej časté: </w:t>
      </w:r>
      <w:r w:rsidRPr="006E3E00">
        <w:t xml:space="preserve">zvýšenie </w:t>
      </w:r>
      <w:proofErr w:type="spellStart"/>
      <w:r w:rsidRPr="006E3E00">
        <w:t>amylázy</w:t>
      </w:r>
      <w:proofErr w:type="spellEnd"/>
      <w:r w:rsidRPr="006E3E00">
        <w:t xml:space="preserve">, zmena hladín </w:t>
      </w:r>
      <w:proofErr w:type="spellStart"/>
      <w:r w:rsidRPr="006E3E00">
        <w:t>kortizolu</w:t>
      </w:r>
      <w:proofErr w:type="spellEnd"/>
    </w:p>
    <w:p w:rsidR="00672509" w:rsidRPr="006E3E00" w:rsidRDefault="00672509" w:rsidP="00672509">
      <w:pPr>
        <w:ind w:left="0" w:firstLine="0"/>
        <w:jc w:val="both"/>
      </w:pPr>
    </w:p>
    <w:p w:rsidR="00672509" w:rsidRPr="006E3E00" w:rsidRDefault="00672509" w:rsidP="00672509">
      <w:pPr>
        <w:ind w:left="0" w:firstLine="0"/>
        <w:jc w:val="both"/>
        <w:rPr>
          <w:i/>
          <w:szCs w:val="22"/>
        </w:rPr>
      </w:pPr>
      <w:r w:rsidRPr="006E3E00">
        <w:rPr>
          <w:i/>
          <w:szCs w:val="22"/>
        </w:rPr>
        <w:t>Celkové poruchy a reakcie v mieste podania:</w:t>
      </w:r>
    </w:p>
    <w:p w:rsidR="00672509" w:rsidRPr="006E3E00" w:rsidRDefault="00672509" w:rsidP="00672509">
      <w:pPr>
        <w:ind w:left="0" w:firstLine="0"/>
        <w:jc w:val="both"/>
      </w:pPr>
      <w:r w:rsidRPr="006E3E00">
        <w:rPr>
          <w:i/>
        </w:rPr>
        <w:t xml:space="preserve">Časté: </w:t>
      </w:r>
      <w:r w:rsidRPr="006E3E00">
        <w:t>pálenie a bolesť rekta</w:t>
      </w:r>
    </w:p>
    <w:p w:rsidR="00672509" w:rsidRPr="00971CD6" w:rsidRDefault="00672509" w:rsidP="00672509">
      <w:pPr>
        <w:ind w:left="0" w:firstLine="0"/>
        <w:jc w:val="both"/>
      </w:pPr>
      <w:r w:rsidRPr="006E3E00">
        <w:rPr>
          <w:i/>
        </w:rPr>
        <w:t>Menej časté:</w:t>
      </w:r>
      <w:r w:rsidRPr="006E3E00">
        <w:t xml:space="preserve"> malátnosť, zvýšenie telesnej hmotnosti</w:t>
      </w:r>
    </w:p>
    <w:p w:rsidR="00672509" w:rsidRDefault="00672509" w:rsidP="00672509">
      <w:pPr>
        <w:ind w:left="0" w:firstLine="0"/>
        <w:jc w:val="both"/>
      </w:pPr>
    </w:p>
    <w:p w:rsidR="0060661F" w:rsidRPr="00971CD6" w:rsidRDefault="0060661F" w:rsidP="00672509">
      <w:pPr>
        <w:ind w:left="0" w:firstLine="0"/>
        <w:jc w:val="both"/>
      </w:pP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Príležitostne sa môžu vyskytnúť nežiaduce účinky, ktoré sú typické pre systémovo pôsobiace </w:t>
      </w:r>
      <w:proofErr w:type="spellStart"/>
      <w:r w:rsidRPr="00971CD6">
        <w:rPr>
          <w:szCs w:val="22"/>
        </w:rPr>
        <w:t>glukokortikosteroidy</w:t>
      </w:r>
      <w:proofErr w:type="spellEnd"/>
      <w:r w:rsidRPr="00971CD6">
        <w:rPr>
          <w:szCs w:val="22"/>
        </w:rPr>
        <w:t xml:space="preserve">. Tieto nižšie uvedené nežiaduce účinky závisia od dávky, dĺžky liečby, súbežnej a predchádzajúcej liečby inými </w:t>
      </w:r>
      <w:proofErr w:type="spellStart"/>
      <w:r w:rsidRPr="00971CD6">
        <w:rPr>
          <w:szCs w:val="22"/>
        </w:rPr>
        <w:t>glukokortikosteroidmi</w:t>
      </w:r>
      <w:proofErr w:type="spellEnd"/>
      <w:r w:rsidRPr="00971CD6">
        <w:rPr>
          <w:szCs w:val="22"/>
        </w:rPr>
        <w:t xml:space="preserve"> a od individuálnej citlivosti.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</w:p>
    <w:p w:rsidR="00672509" w:rsidRPr="00B24FC6" w:rsidRDefault="00672509" w:rsidP="00672509">
      <w:pPr>
        <w:ind w:left="0" w:firstLine="0"/>
        <w:jc w:val="both"/>
        <w:rPr>
          <w:i/>
          <w:szCs w:val="22"/>
        </w:rPr>
      </w:pPr>
      <w:r w:rsidRPr="00B24FC6">
        <w:rPr>
          <w:i/>
          <w:szCs w:val="22"/>
        </w:rPr>
        <w:t>Poruchy imunitného systému: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  <w:r w:rsidRPr="00B24FC6">
        <w:rPr>
          <w:szCs w:val="22"/>
        </w:rPr>
        <w:t>Interferencia s imunitnou odpoveďou (napr. zvýšené riziko infekcií)</w:t>
      </w:r>
      <w:r w:rsidR="00C015FB" w:rsidRPr="00B24FC6">
        <w:rPr>
          <w:szCs w:val="22"/>
        </w:rPr>
        <w:t>.</w:t>
      </w:r>
    </w:p>
    <w:p w:rsidR="00672509" w:rsidRPr="00B24FC6" w:rsidRDefault="00672509" w:rsidP="00672509">
      <w:pPr>
        <w:tabs>
          <w:tab w:val="left" w:pos="426"/>
        </w:tabs>
        <w:ind w:left="0"/>
        <w:jc w:val="both"/>
        <w:rPr>
          <w:szCs w:val="22"/>
        </w:rPr>
      </w:pPr>
      <w:r w:rsidRPr="00B24FC6">
        <w:rPr>
          <w:szCs w:val="22"/>
        </w:rPr>
        <w:t xml:space="preserve">          Pri prechode pacienta zo systémovo pôsobiacich </w:t>
      </w:r>
      <w:proofErr w:type="spellStart"/>
      <w:r w:rsidRPr="00B24FC6">
        <w:rPr>
          <w:szCs w:val="22"/>
        </w:rPr>
        <w:t>glukokortikosteroidov</w:t>
      </w:r>
      <w:proofErr w:type="spellEnd"/>
      <w:r w:rsidRPr="00B24FC6">
        <w:rPr>
          <w:szCs w:val="22"/>
        </w:rPr>
        <w:t xml:space="preserve"> na lokálne pôsobiaci </w:t>
      </w:r>
      <w:proofErr w:type="spellStart"/>
      <w:r w:rsidRPr="00B24FC6">
        <w:rPr>
          <w:szCs w:val="22"/>
        </w:rPr>
        <w:t>budenozid</w:t>
      </w:r>
      <w:proofErr w:type="spellEnd"/>
      <w:r w:rsidRPr="00B24FC6">
        <w:rPr>
          <w:szCs w:val="22"/>
        </w:rPr>
        <w:t xml:space="preserve"> sa môže vyskytnúť podráždenie alebo znovuobjavenie </w:t>
      </w:r>
      <w:proofErr w:type="spellStart"/>
      <w:r w:rsidRPr="00B24FC6">
        <w:rPr>
          <w:szCs w:val="22"/>
        </w:rPr>
        <w:t>extraintestinálnych</w:t>
      </w:r>
      <w:proofErr w:type="spellEnd"/>
      <w:r w:rsidRPr="00B24FC6">
        <w:rPr>
          <w:szCs w:val="22"/>
        </w:rPr>
        <w:t xml:space="preserve"> manifestácií (ktoré postihujú najmä kožu a kĺby). 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</w:p>
    <w:p w:rsidR="00672509" w:rsidRPr="00B24FC6" w:rsidRDefault="00672509" w:rsidP="00672509">
      <w:pPr>
        <w:ind w:left="0" w:right="-1" w:firstLine="0"/>
        <w:jc w:val="both"/>
        <w:rPr>
          <w:szCs w:val="22"/>
        </w:rPr>
      </w:pPr>
      <w:r w:rsidRPr="00B24FC6">
        <w:rPr>
          <w:i/>
          <w:szCs w:val="22"/>
        </w:rPr>
        <w:t>Poruchy metabolizmu a výživy: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  <w:proofErr w:type="spellStart"/>
      <w:r w:rsidRPr="00B24FC6">
        <w:rPr>
          <w:szCs w:val="22"/>
        </w:rPr>
        <w:t>Cushingov</w:t>
      </w:r>
      <w:proofErr w:type="spellEnd"/>
      <w:r w:rsidRPr="00B24FC6">
        <w:rPr>
          <w:szCs w:val="22"/>
        </w:rPr>
        <w:t xml:space="preserve"> syndróm: </w:t>
      </w:r>
      <w:proofErr w:type="spellStart"/>
      <w:r w:rsidRPr="00B24FC6">
        <w:rPr>
          <w:szCs w:val="22"/>
        </w:rPr>
        <w:t>mesiacovitá</w:t>
      </w:r>
      <w:proofErr w:type="spellEnd"/>
      <w:r w:rsidRPr="00B24FC6">
        <w:rPr>
          <w:szCs w:val="22"/>
        </w:rPr>
        <w:t xml:space="preserve"> tvár, obezita na trupe, znížená tolerancia glukózy, diabetes </w:t>
      </w:r>
      <w:proofErr w:type="spellStart"/>
      <w:r w:rsidRPr="00B24FC6">
        <w:rPr>
          <w:szCs w:val="22"/>
        </w:rPr>
        <w:t>mellitus</w:t>
      </w:r>
      <w:proofErr w:type="spellEnd"/>
      <w:r w:rsidRPr="00B24FC6">
        <w:rPr>
          <w:szCs w:val="22"/>
        </w:rPr>
        <w:t xml:space="preserve">, </w:t>
      </w:r>
      <w:proofErr w:type="spellStart"/>
      <w:r w:rsidRPr="00B24FC6">
        <w:rPr>
          <w:szCs w:val="22"/>
        </w:rPr>
        <w:t>retencia</w:t>
      </w:r>
      <w:proofErr w:type="spellEnd"/>
      <w:r w:rsidRPr="00B24FC6">
        <w:rPr>
          <w:szCs w:val="22"/>
        </w:rPr>
        <w:t xml:space="preserve"> sodíka s tvorbou edému, zvýšené vylučovanie draslíka, inaktivita alebo atrofia kôry nadobličiek, spomalenie rastu u detí, porucha sekrécie pohlavných hormónov (napr. </w:t>
      </w:r>
      <w:proofErr w:type="spellStart"/>
      <w:r w:rsidRPr="00B24FC6">
        <w:rPr>
          <w:szCs w:val="22"/>
        </w:rPr>
        <w:t>amenorea</w:t>
      </w:r>
      <w:proofErr w:type="spellEnd"/>
      <w:r w:rsidRPr="00B24FC6">
        <w:rPr>
          <w:szCs w:val="22"/>
        </w:rPr>
        <w:t xml:space="preserve">, </w:t>
      </w:r>
      <w:proofErr w:type="spellStart"/>
      <w:r w:rsidRPr="00B24FC6">
        <w:rPr>
          <w:szCs w:val="22"/>
        </w:rPr>
        <w:t>hirzutizmus</w:t>
      </w:r>
      <w:proofErr w:type="spellEnd"/>
      <w:r w:rsidRPr="00B24FC6">
        <w:rPr>
          <w:szCs w:val="22"/>
        </w:rPr>
        <w:t>, impotencia).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</w:p>
    <w:p w:rsidR="00672509" w:rsidRPr="00B24FC6" w:rsidRDefault="00672509" w:rsidP="00672509">
      <w:pPr>
        <w:ind w:right="-1"/>
        <w:jc w:val="both"/>
        <w:rPr>
          <w:i/>
          <w:szCs w:val="22"/>
        </w:rPr>
      </w:pPr>
      <w:r w:rsidRPr="00B24FC6">
        <w:rPr>
          <w:i/>
          <w:szCs w:val="22"/>
        </w:rPr>
        <w:lastRenderedPageBreak/>
        <w:t>Psychické poruchy:</w:t>
      </w:r>
    </w:p>
    <w:p w:rsidR="00672509" w:rsidRPr="00B24FC6" w:rsidRDefault="00672509" w:rsidP="00672509">
      <w:pPr>
        <w:ind w:right="-1"/>
        <w:jc w:val="both"/>
        <w:rPr>
          <w:szCs w:val="22"/>
        </w:rPr>
      </w:pPr>
      <w:r w:rsidRPr="00B24FC6">
        <w:rPr>
          <w:szCs w:val="22"/>
        </w:rPr>
        <w:t>Depresia, podráždenosť, eufória.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</w:p>
    <w:p w:rsidR="00672509" w:rsidRPr="00B24FC6" w:rsidRDefault="00672509" w:rsidP="00672509">
      <w:pPr>
        <w:ind w:left="0" w:firstLine="0"/>
        <w:jc w:val="both"/>
        <w:rPr>
          <w:i/>
          <w:szCs w:val="22"/>
        </w:rPr>
      </w:pPr>
      <w:r w:rsidRPr="00B24FC6">
        <w:rPr>
          <w:i/>
          <w:szCs w:val="22"/>
        </w:rPr>
        <w:t>Poruchy nervového systému: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  <w:r w:rsidRPr="00B24FC6">
        <w:rPr>
          <w:szCs w:val="22"/>
        </w:rPr>
        <w:t>- v individuálnych prípadoch (</w:t>
      </w:r>
      <w:r w:rsidRPr="00B24FC6">
        <w:rPr>
          <w:szCs w:val="22"/>
        </w:rPr>
        <w:sym w:font="Symbol" w:char="F03C"/>
      </w:r>
      <w:r w:rsidRPr="00B24FC6">
        <w:rPr>
          <w:szCs w:val="22"/>
        </w:rPr>
        <w:t xml:space="preserve"> 1/10 000): cerebrálny </w:t>
      </w:r>
      <w:proofErr w:type="spellStart"/>
      <w:r w:rsidRPr="00B24FC6">
        <w:rPr>
          <w:szCs w:val="22"/>
        </w:rPr>
        <w:t>pseudotumor</w:t>
      </w:r>
      <w:proofErr w:type="spellEnd"/>
      <w:r w:rsidRPr="00B24FC6">
        <w:rPr>
          <w:szCs w:val="22"/>
        </w:rPr>
        <w:t>(zahrňujúc</w:t>
      </w:r>
      <w:r w:rsidR="00F06205" w:rsidRPr="00B24FC6">
        <w:rPr>
          <w:szCs w:val="22"/>
        </w:rPr>
        <w:t>i</w:t>
      </w:r>
      <w:r w:rsidRPr="00B24FC6">
        <w:rPr>
          <w:szCs w:val="22"/>
        </w:rPr>
        <w:t xml:space="preserve"> </w:t>
      </w:r>
      <w:proofErr w:type="spellStart"/>
      <w:r w:rsidRPr="00B24FC6">
        <w:rPr>
          <w:szCs w:val="22"/>
        </w:rPr>
        <w:t>papiloedém</w:t>
      </w:r>
      <w:proofErr w:type="spellEnd"/>
      <w:r w:rsidRPr="00B24FC6">
        <w:rPr>
          <w:szCs w:val="22"/>
        </w:rPr>
        <w:t>) u adolescentov</w:t>
      </w:r>
    </w:p>
    <w:p w:rsidR="00672509" w:rsidRPr="00B24FC6" w:rsidRDefault="00672509" w:rsidP="00672509">
      <w:pPr>
        <w:ind w:right="-1"/>
        <w:jc w:val="both"/>
        <w:rPr>
          <w:i/>
          <w:szCs w:val="22"/>
        </w:rPr>
      </w:pPr>
    </w:p>
    <w:p w:rsidR="00672509" w:rsidRPr="00B24FC6" w:rsidRDefault="00672509" w:rsidP="00672509">
      <w:pPr>
        <w:ind w:right="-1"/>
        <w:jc w:val="both"/>
        <w:rPr>
          <w:i/>
          <w:szCs w:val="22"/>
        </w:rPr>
      </w:pPr>
      <w:r w:rsidRPr="00B24FC6">
        <w:rPr>
          <w:i/>
          <w:szCs w:val="22"/>
        </w:rPr>
        <w:t>Poruchy oka: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  <w:proofErr w:type="spellStart"/>
      <w:r w:rsidRPr="00B24FC6">
        <w:rPr>
          <w:szCs w:val="22"/>
        </w:rPr>
        <w:t>Glaukóm</w:t>
      </w:r>
      <w:proofErr w:type="spellEnd"/>
      <w:r w:rsidRPr="00B24FC6">
        <w:rPr>
          <w:szCs w:val="22"/>
        </w:rPr>
        <w:t>, katarakta.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</w:p>
    <w:p w:rsidR="00672509" w:rsidRPr="00B24FC6" w:rsidRDefault="00672509" w:rsidP="00672509">
      <w:pPr>
        <w:ind w:left="0" w:firstLine="0"/>
        <w:jc w:val="both"/>
        <w:rPr>
          <w:i/>
        </w:rPr>
      </w:pPr>
      <w:r w:rsidRPr="00B24FC6">
        <w:rPr>
          <w:i/>
          <w:szCs w:val="22"/>
        </w:rPr>
        <w:t>Poruchy ciev</w:t>
      </w:r>
      <w:r w:rsidRPr="00B24FC6">
        <w:rPr>
          <w:i/>
        </w:rPr>
        <w:t>: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  <w:r w:rsidRPr="00B24FC6">
        <w:rPr>
          <w:szCs w:val="22"/>
        </w:rPr>
        <w:t xml:space="preserve">Hypertenzia, zvýšené riziko trombózy, </w:t>
      </w:r>
      <w:proofErr w:type="spellStart"/>
      <w:r w:rsidRPr="00B24FC6">
        <w:rPr>
          <w:szCs w:val="22"/>
        </w:rPr>
        <w:t>vaskulitídy</w:t>
      </w:r>
      <w:proofErr w:type="spellEnd"/>
      <w:r w:rsidRPr="00B24FC6">
        <w:rPr>
          <w:szCs w:val="22"/>
        </w:rPr>
        <w:t xml:space="preserve"> (syndróm z vysadenia po dlhodobej liečbe).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</w:p>
    <w:p w:rsidR="00672509" w:rsidRPr="00B24FC6" w:rsidRDefault="00672509" w:rsidP="00672509">
      <w:pPr>
        <w:ind w:right="-1"/>
        <w:jc w:val="both"/>
        <w:rPr>
          <w:i/>
          <w:szCs w:val="22"/>
        </w:rPr>
      </w:pPr>
      <w:r w:rsidRPr="00B24FC6">
        <w:rPr>
          <w:i/>
          <w:szCs w:val="22"/>
        </w:rPr>
        <w:t xml:space="preserve">Poruchy </w:t>
      </w:r>
      <w:proofErr w:type="spellStart"/>
      <w:r w:rsidRPr="00B24FC6">
        <w:rPr>
          <w:i/>
          <w:szCs w:val="22"/>
        </w:rPr>
        <w:t>gastrointestinálneho</w:t>
      </w:r>
      <w:proofErr w:type="spellEnd"/>
      <w:r w:rsidRPr="00B24FC6">
        <w:rPr>
          <w:i/>
          <w:szCs w:val="22"/>
        </w:rPr>
        <w:t xml:space="preserve"> traktu:</w:t>
      </w:r>
    </w:p>
    <w:p w:rsidR="00672509" w:rsidRPr="00B24FC6" w:rsidRDefault="00672509" w:rsidP="00672509">
      <w:pPr>
        <w:ind w:right="-1"/>
        <w:jc w:val="both"/>
        <w:rPr>
          <w:szCs w:val="22"/>
        </w:rPr>
      </w:pPr>
      <w:r w:rsidRPr="00B24FC6">
        <w:rPr>
          <w:szCs w:val="22"/>
        </w:rPr>
        <w:t xml:space="preserve">Žalúdočné ťažkosti, žalúdočný vred, </w:t>
      </w:r>
      <w:proofErr w:type="spellStart"/>
      <w:r w:rsidRPr="00B24FC6">
        <w:rPr>
          <w:szCs w:val="22"/>
        </w:rPr>
        <w:t>pankreatitída</w:t>
      </w:r>
      <w:proofErr w:type="spellEnd"/>
      <w:r w:rsidRPr="00B24FC6">
        <w:rPr>
          <w:szCs w:val="22"/>
        </w:rPr>
        <w:t xml:space="preserve">, </w:t>
      </w:r>
      <w:r w:rsidR="00F06205" w:rsidRPr="00B24FC6">
        <w:rPr>
          <w:szCs w:val="22"/>
        </w:rPr>
        <w:t>obstipácia</w:t>
      </w:r>
      <w:r w:rsidRPr="00B24FC6">
        <w:rPr>
          <w:szCs w:val="22"/>
        </w:rPr>
        <w:t>.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</w:p>
    <w:p w:rsidR="00672509" w:rsidRPr="00B24FC6" w:rsidRDefault="00672509" w:rsidP="00672509">
      <w:pPr>
        <w:ind w:left="0" w:right="-1" w:firstLine="0"/>
        <w:jc w:val="both"/>
        <w:rPr>
          <w:i/>
          <w:szCs w:val="22"/>
        </w:rPr>
      </w:pPr>
      <w:r w:rsidRPr="00B24FC6">
        <w:rPr>
          <w:i/>
          <w:szCs w:val="22"/>
        </w:rPr>
        <w:t>Poruchy kože a podkožného tkaniva:</w:t>
      </w:r>
    </w:p>
    <w:p w:rsidR="00672509" w:rsidRPr="00B24FC6" w:rsidRDefault="00672509" w:rsidP="00672509">
      <w:pPr>
        <w:ind w:left="0" w:right="-1" w:firstLine="0"/>
        <w:jc w:val="both"/>
        <w:rPr>
          <w:szCs w:val="22"/>
        </w:rPr>
      </w:pPr>
      <w:r w:rsidRPr="00B24FC6">
        <w:rPr>
          <w:szCs w:val="22"/>
        </w:rPr>
        <w:t xml:space="preserve">Alergický exantém, červené strie, </w:t>
      </w:r>
      <w:proofErr w:type="spellStart"/>
      <w:r w:rsidRPr="00B24FC6">
        <w:rPr>
          <w:szCs w:val="22"/>
        </w:rPr>
        <w:t>petéchie</w:t>
      </w:r>
      <w:proofErr w:type="spellEnd"/>
      <w:r w:rsidRPr="00B24FC6">
        <w:rPr>
          <w:szCs w:val="22"/>
        </w:rPr>
        <w:t xml:space="preserve">, </w:t>
      </w:r>
      <w:proofErr w:type="spellStart"/>
      <w:r w:rsidRPr="00B24FC6">
        <w:rPr>
          <w:szCs w:val="22"/>
        </w:rPr>
        <w:t>ekchymózy</w:t>
      </w:r>
      <w:proofErr w:type="spellEnd"/>
      <w:r w:rsidRPr="00B24FC6">
        <w:rPr>
          <w:szCs w:val="22"/>
        </w:rPr>
        <w:t xml:space="preserve">, </w:t>
      </w:r>
      <w:proofErr w:type="spellStart"/>
      <w:r w:rsidRPr="00B24FC6">
        <w:rPr>
          <w:szCs w:val="22"/>
        </w:rPr>
        <w:t>steroidné</w:t>
      </w:r>
      <w:proofErr w:type="spellEnd"/>
      <w:r w:rsidRPr="00B24FC6">
        <w:rPr>
          <w:szCs w:val="22"/>
        </w:rPr>
        <w:t xml:space="preserve"> akné, spomalené hojenie rán. Kvôli obsahu </w:t>
      </w:r>
      <w:proofErr w:type="spellStart"/>
      <w:r w:rsidRPr="00B24FC6">
        <w:rPr>
          <w:szCs w:val="22"/>
        </w:rPr>
        <w:t>cetylalkoholu</w:t>
      </w:r>
      <w:proofErr w:type="spellEnd"/>
      <w:r w:rsidRPr="00B24FC6">
        <w:rPr>
          <w:szCs w:val="22"/>
        </w:rPr>
        <w:t xml:space="preserve"> a </w:t>
      </w:r>
      <w:proofErr w:type="spellStart"/>
      <w:r w:rsidRPr="00B24FC6">
        <w:rPr>
          <w:szCs w:val="22"/>
        </w:rPr>
        <w:t>propylénglykolu</w:t>
      </w:r>
      <w:proofErr w:type="spellEnd"/>
      <w:r w:rsidRPr="00B24FC6">
        <w:rPr>
          <w:szCs w:val="22"/>
        </w:rPr>
        <w:t xml:space="preserve"> sa môže vyskytnúť kontaktná dermatitída.</w:t>
      </w:r>
    </w:p>
    <w:p w:rsidR="00672509" w:rsidRPr="00B24FC6" w:rsidRDefault="00672509" w:rsidP="00672509">
      <w:pPr>
        <w:ind w:left="0" w:firstLine="0"/>
        <w:jc w:val="both"/>
        <w:rPr>
          <w:szCs w:val="22"/>
        </w:rPr>
      </w:pPr>
    </w:p>
    <w:p w:rsidR="00672509" w:rsidRPr="00B24FC6" w:rsidRDefault="00672509" w:rsidP="00672509">
      <w:pPr>
        <w:ind w:right="-1"/>
        <w:jc w:val="both"/>
        <w:rPr>
          <w:szCs w:val="22"/>
        </w:rPr>
      </w:pPr>
      <w:r w:rsidRPr="00B24FC6">
        <w:rPr>
          <w:i/>
          <w:szCs w:val="22"/>
        </w:rPr>
        <w:t>Poruchy kostrovej a svalovej sústavy a spojivového tkaniva: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B24FC6">
        <w:rPr>
          <w:szCs w:val="22"/>
        </w:rPr>
        <w:t xml:space="preserve">Aseptická </w:t>
      </w:r>
      <w:proofErr w:type="spellStart"/>
      <w:r w:rsidRPr="00B24FC6">
        <w:rPr>
          <w:szCs w:val="22"/>
        </w:rPr>
        <w:t>nekróza</w:t>
      </w:r>
      <w:proofErr w:type="spellEnd"/>
      <w:r w:rsidRPr="00B24FC6">
        <w:rPr>
          <w:szCs w:val="22"/>
        </w:rPr>
        <w:t xml:space="preserve"> kosti (</w:t>
      </w:r>
      <w:proofErr w:type="spellStart"/>
      <w:r w:rsidRPr="00B24FC6">
        <w:rPr>
          <w:szCs w:val="22"/>
        </w:rPr>
        <w:t>femur</w:t>
      </w:r>
      <w:proofErr w:type="spellEnd"/>
      <w:r w:rsidRPr="00B24FC6">
        <w:rPr>
          <w:szCs w:val="22"/>
        </w:rPr>
        <w:t xml:space="preserve"> a hlavička </w:t>
      </w:r>
      <w:proofErr w:type="spellStart"/>
      <w:r w:rsidRPr="00B24FC6">
        <w:rPr>
          <w:szCs w:val="22"/>
        </w:rPr>
        <w:t>humeru</w:t>
      </w:r>
      <w:proofErr w:type="spellEnd"/>
      <w:r w:rsidRPr="00B24FC6">
        <w:rPr>
          <w:szCs w:val="22"/>
        </w:rPr>
        <w:t xml:space="preserve">), difúzna bolesť svalov a slabosť, </w:t>
      </w:r>
      <w:proofErr w:type="spellStart"/>
      <w:r w:rsidRPr="00B24FC6">
        <w:rPr>
          <w:szCs w:val="22"/>
        </w:rPr>
        <w:t>osteoporóza</w:t>
      </w:r>
      <w:proofErr w:type="spellEnd"/>
      <w:r w:rsidRPr="00B24FC6">
        <w:rPr>
          <w:szCs w:val="22"/>
        </w:rPr>
        <w:t>.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</w:p>
    <w:p w:rsidR="00672509" w:rsidRPr="00971CD6" w:rsidRDefault="00672509" w:rsidP="00672509">
      <w:pPr>
        <w:ind w:left="0" w:firstLine="0"/>
        <w:jc w:val="both"/>
        <w:rPr>
          <w:i/>
          <w:szCs w:val="22"/>
        </w:rPr>
      </w:pPr>
      <w:r w:rsidRPr="00971CD6">
        <w:rPr>
          <w:i/>
          <w:szCs w:val="22"/>
        </w:rPr>
        <w:t>Celkové poruchy</w:t>
      </w:r>
      <w:r w:rsidR="0060661F">
        <w:rPr>
          <w:i/>
          <w:szCs w:val="22"/>
        </w:rPr>
        <w:t xml:space="preserve"> a reakcie v mieste podania</w:t>
      </w:r>
      <w:r w:rsidRPr="00971CD6">
        <w:rPr>
          <w:i/>
          <w:szCs w:val="22"/>
        </w:rPr>
        <w:t>: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>Únava, nepokoj.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Niektoré z týchto nežiaducich účinkov boli hlásené po dlhodobom užívaní perorálne podávaného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>.</w:t>
      </w:r>
    </w:p>
    <w:p w:rsidR="00672509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Vďaka lokálnemu pôsobeniu je riziko nežiaducich účinkov lieku </w:t>
      </w:r>
      <w:proofErr w:type="spellStart"/>
      <w:r w:rsidR="00CC3CFD">
        <w:rPr>
          <w:szCs w:val="22"/>
        </w:rPr>
        <w:t>Budenofalk</w:t>
      </w:r>
      <w:proofErr w:type="spellEnd"/>
      <w:r w:rsidR="00CC3CFD">
        <w:rPr>
          <w:szCs w:val="22"/>
        </w:rPr>
        <w:t xml:space="preserve"> </w:t>
      </w:r>
      <w:proofErr w:type="spellStart"/>
      <w:r w:rsidRPr="00971CD6">
        <w:rPr>
          <w:szCs w:val="22"/>
        </w:rPr>
        <w:t>rektálna</w:t>
      </w:r>
      <w:proofErr w:type="spellEnd"/>
      <w:r w:rsidRPr="00971CD6">
        <w:rPr>
          <w:szCs w:val="22"/>
        </w:rPr>
        <w:t xml:space="preserve"> pena vo všeobecnosti nižšie ako u systémovo pôsobiacich </w:t>
      </w:r>
      <w:proofErr w:type="spellStart"/>
      <w:r w:rsidRPr="00971CD6">
        <w:rPr>
          <w:szCs w:val="22"/>
        </w:rPr>
        <w:t>glukokortikosteroidov</w:t>
      </w:r>
      <w:proofErr w:type="spellEnd"/>
      <w:r w:rsidRPr="00971CD6">
        <w:rPr>
          <w:szCs w:val="22"/>
        </w:rPr>
        <w:t>.</w:t>
      </w:r>
    </w:p>
    <w:p w:rsidR="00945200" w:rsidRDefault="00945200" w:rsidP="00672509">
      <w:pPr>
        <w:ind w:left="0" w:firstLine="0"/>
        <w:jc w:val="both"/>
        <w:rPr>
          <w:szCs w:val="22"/>
        </w:rPr>
      </w:pPr>
    </w:p>
    <w:p w:rsidR="00945200" w:rsidRDefault="00945200" w:rsidP="00945200">
      <w:pPr>
        <w:tabs>
          <w:tab w:val="left" w:pos="-720"/>
        </w:tabs>
        <w:suppressAutoHyphens/>
        <w:ind w:left="0"/>
        <w:rPr>
          <w:noProof/>
          <w:szCs w:val="22"/>
          <w:u w:val="single"/>
          <w:lang w:eastAsia="zh-CN"/>
        </w:rPr>
      </w:pPr>
      <w:r>
        <w:rPr>
          <w:noProof/>
          <w:szCs w:val="22"/>
          <w:u w:val="single"/>
          <w:lang w:eastAsia="zh-CN"/>
        </w:rPr>
        <w:t xml:space="preserve">          </w:t>
      </w:r>
      <w:r w:rsidRPr="00AC0C00">
        <w:rPr>
          <w:noProof/>
          <w:szCs w:val="22"/>
          <w:u w:val="single"/>
          <w:lang w:eastAsia="zh-CN"/>
        </w:rPr>
        <w:t>Hlásenie podozrení na nežiaduce reakcie:</w:t>
      </w:r>
    </w:p>
    <w:p w:rsidR="00945200" w:rsidRDefault="00945200" w:rsidP="00945200">
      <w:pPr>
        <w:tabs>
          <w:tab w:val="left" w:pos="-720"/>
        </w:tabs>
        <w:suppressAutoHyphens/>
        <w:ind w:left="0"/>
        <w:rPr>
          <w:noProof/>
          <w:szCs w:val="22"/>
          <w:lang w:eastAsia="zh-CN"/>
        </w:rPr>
      </w:pPr>
      <w:r>
        <w:rPr>
          <w:noProof/>
          <w:szCs w:val="22"/>
          <w:lang w:eastAsia="zh-CN"/>
        </w:rPr>
        <w:t xml:space="preserve">          </w:t>
      </w:r>
      <w:r w:rsidRPr="00AC0C00">
        <w:rPr>
          <w:noProof/>
          <w:szCs w:val="22"/>
          <w:lang w:eastAsia="zh-CN"/>
        </w:rPr>
        <w:t xml:space="preserve">Hlásenie podozrení na nažiaduce reakcie po registrácii lieku je dôležité. Umožňuje priebežné monitorovanie pomeru prínosu a rizika lieku. Od zdravotníckych pracovníkov sa vyžaduje, aby hlásili akékoľvek podozrenia na nežiaduce reakcie  prostredníctvom </w:t>
      </w:r>
      <w:r w:rsidRPr="00856ED1">
        <w:rPr>
          <w:noProof/>
          <w:szCs w:val="22"/>
          <w:highlight w:val="lightGray"/>
          <w:lang w:eastAsia="zh-CN"/>
        </w:rPr>
        <w:t>národného systému hlásenia</w:t>
      </w:r>
      <w:r w:rsidRPr="007063B1">
        <w:rPr>
          <w:noProof/>
          <w:szCs w:val="22"/>
          <w:highlight w:val="lightGray"/>
        </w:rPr>
        <w:t xml:space="preserve"> </w:t>
      </w:r>
      <w:r w:rsidRPr="00AC0C00">
        <w:rPr>
          <w:noProof/>
          <w:szCs w:val="22"/>
          <w:highlight w:val="lightGray"/>
        </w:rPr>
        <w:t>uvedeného v </w:t>
      </w:r>
      <w:hyperlink r:id="rId8" w:history="1">
        <w:r w:rsidRPr="00AC0C00">
          <w:rPr>
            <w:rStyle w:val="Hypertextovprepojenie"/>
            <w:noProof/>
            <w:szCs w:val="22"/>
            <w:highlight w:val="lightGray"/>
          </w:rPr>
          <w:t>Prílohe V</w:t>
        </w:r>
      </w:hyperlink>
      <w:r w:rsidRPr="00AC0C00">
        <w:rPr>
          <w:noProof/>
          <w:szCs w:val="22"/>
          <w:lang w:eastAsia="zh-CN"/>
        </w:rPr>
        <w:t>.</w:t>
      </w:r>
    </w:p>
    <w:p w:rsidR="00672509" w:rsidRPr="00971CD6" w:rsidRDefault="00672509" w:rsidP="00672509">
      <w:pPr>
        <w:ind w:left="0" w:right="-1" w:firstLine="0"/>
        <w:jc w:val="both"/>
        <w:rPr>
          <w:szCs w:val="22"/>
        </w:rPr>
      </w:pP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b/>
          <w:szCs w:val="22"/>
        </w:rPr>
        <w:t>4.9</w:t>
      </w:r>
      <w:r w:rsidRPr="00971CD6">
        <w:rPr>
          <w:b/>
          <w:szCs w:val="22"/>
        </w:rPr>
        <w:tab/>
        <w:t>Predávkovanie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</w:p>
    <w:p w:rsidR="00672509" w:rsidRPr="00971CD6" w:rsidRDefault="00672509" w:rsidP="00672509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t xml:space="preserve">          Žiadne prípady predávkovania </w:t>
      </w:r>
      <w:proofErr w:type="spellStart"/>
      <w:r w:rsidRPr="00971CD6">
        <w:rPr>
          <w:szCs w:val="22"/>
        </w:rPr>
        <w:t>budezonidom</w:t>
      </w:r>
      <w:proofErr w:type="spellEnd"/>
      <w:r w:rsidRPr="00971CD6">
        <w:rPr>
          <w:szCs w:val="22"/>
        </w:rPr>
        <w:t xml:space="preserve"> zatiaľ nie sú známe. 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Z hľadiska vlastností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 xml:space="preserve"> obsiahnutom v lieku </w:t>
      </w:r>
      <w:proofErr w:type="spellStart"/>
      <w:r w:rsidR="00CC3CFD">
        <w:rPr>
          <w:szCs w:val="22"/>
        </w:rPr>
        <w:t>Budenofalk</w:t>
      </w:r>
      <w:proofErr w:type="spellEnd"/>
      <w:r w:rsidR="00CC3CFD">
        <w:rPr>
          <w:szCs w:val="22"/>
        </w:rPr>
        <w:t xml:space="preserve"> </w:t>
      </w:r>
      <w:proofErr w:type="spellStart"/>
      <w:r w:rsidRPr="00971CD6">
        <w:rPr>
          <w:szCs w:val="22"/>
        </w:rPr>
        <w:t>rektálna</w:t>
      </w:r>
      <w:proofErr w:type="spellEnd"/>
      <w:r w:rsidRPr="00971CD6">
        <w:rPr>
          <w:szCs w:val="22"/>
        </w:rPr>
        <w:t xml:space="preserve"> pena je predávkovanie vedúce k toxickému poškodeniu veľmi nepravdepodobné.</w:t>
      </w: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5.</w:t>
      </w:r>
      <w:r w:rsidRPr="00971CD6">
        <w:rPr>
          <w:b/>
          <w:szCs w:val="22"/>
        </w:rPr>
        <w:tab/>
        <w:t>FARMAKOLOGICKÉ VLASTNOSTI</w:t>
      </w:r>
    </w:p>
    <w:p w:rsidR="00672509" w:rsidRPr="00971CD6" w:rsidRDefault="00672509" w:rsidP="00672509">
      <w:pPr>
        <w:rPr>
          <w:bCs/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5.1</w:t>
      </w:r>
      <w:r w:rsidRPr="00971CD6">
        <w:rPr>
          <w:b/>
          <w:szCs w:val="22"/>
        </w:rPr>
        <w:tab/>
      </w:r>
      <w:proofErr w:type="spellStart"/>
      <w:r w:rsidRPr="00971CD6">
        <w:rPr>
          <w:b/>
          <w:szCs w:val="22"/>
        </w:rPr>
        <w:t>Farmakodynamické</w:t>
      </w:r>
      <w:proofErr w:type="spellEnd"/>
      <w:r w:rsidRPr="00971CD6">
        <w:rPr>
          <w:b/>
          <w:szCs w:val="22"/>
        </w:rPr>
        <w:t xml:space="preserve"> vlastnosti</w:t>
      </w:r>
    </w:p>
    <w:p w:rsidR="00672509" w:rsidRPr="00971CD6" w:rsidRDefault="00672509" w:rsidP="00672509">
      <w:pPr>
        <w:rPr>
          <w:szCs w:val="22"/>
        </w:rPr>
      </w:pPr>
    </w:p>
    <w:p w:rsidR="00793DAC" w:rsidRDefault="00672509" w:rsidP="00B120EC">
      <w:pPr>
        <w:ind w:left="0" w:firstLine="0"/>
        <w:outlineLvl w:val="0"/>
        <w:rPr>
          <w:szCs w:val="22"/>
        </w:rPr>
      </w:pPr>
      <w:proofErr w:type="spellStart"/>
      <w:r w:rsidRPr="00971CD6">
        <w:rPr>
          <w:b/>
          <w:szCs w:val="22"/>
        </w:rPr>
        <w:t>Farmakoterapeutická</w:t>
      </w:r>
      <w:proofErr w:type="spellEnd"/>
      <w:r w:rsidRPr="00971CD6">
        <w:rPr>
          <w:b/>
          <w:szCs w:val="22"/>
        </w:rPr>
        <w:t xml:space="preserve"> skupina:</w:t>
      </w:r>
      <w:r w:rsidRPr="00971CD6">
        <w:rPr>
          <w:szCs w:val="22"/>
        </w:rPr>
        <w:t xml:space="preserve"> </w:t>
      </w:r>
      <w:proofErr w:type="spellStart"/>
      <w:r w:rsidR="0060661F">
        <w:rPr>
          <w:szCs w:val="22"/>
        </w:rPr>
        <w:t>Antidiaroiká</w:t>
      </w:r>
      <w:proofErr w:type="spellEnd"/>
      <w:r w:rsidR="0060661F">
        <w:rPr>
          <w:szCs w:val="22"/>
        </w:rPr>
        <w:t xml:space="preserve"> , črevné </w:t>
      </w:r>
      <w:proofErr w:type="spellStart"/>
      <w:r w:rsidR="0060661F">
        <w:rPr>
          <w:szCs w:val="22"/>
        </w:rPr>
        <w:t>antiinfektíva</w:t>
      </w:r>
      <w:proofErr w:type="spellEnd"/>
      <w:r w:rsidR="0060661F">
        <w:rPr>
          <w:szCs w:val="22"/>
        </w:rPr>
        <w:t xml:space="preserve"> a </w:t>
      </w:r>
      <w:proofErr w:type="spellStart"/>
      <w:r w:rsidR="0060661F">
        <w:rPr>
          <w:szCs w:val="22"/>
        </w:rPr>
        <w:t>antiflogistiká</w:t>
      </w:r>
      <w:proofErr w:type="spellEnd"/>
      <w:r w:rsidR="0060661F">
        <w:rPr>
          <w:szCs w:val="22"/>
        </w:rPr>
        <w:t xml:space="preserve">. </w:t>
      </w:r>
      <w:r w:rsidR="0060661F">
        <w:rPr>
          <w:bCs/>
          <w:szCs w:val="22"/>
        </w:rPr>
        <w:t xml:space="preserve">Črevné protizápalové </w:t>
      </w:r>
      <w:proofErr w:type="spellStart"/>
      <w:r w:rsidR="0060661F">
        <w:rPr>
          <w:bCs/>
          <w:szCs w:val="22"/>
        </w:rPr>
        <w:t>liečvá</w:t>
      </w:r>
      <w:proofErr w:type="spellEnd"/>
      <w:r w:rsidR="00562955">
        <w:rPr>
          <w:bCs/>
          <w:szCs w:val="22"/>
        </w:rPr>
        <w:t>.</w:t>
      </w:r>
    </w:p>
    <w:p w:rsidR="00672509" w:rsidRPr="00971CD6" w:rsidRDefault="00672509" w:rsidP="00672509">
      <w:pPr>
        <w:outlineLvl w:val="0"/>
        <w:rPr>
          <w:szCs w:val="22"/>
        </w:rPr>
      </w:pPr>
      <w:r w:rsidRPr="00971CD6">
        <w:rPr>
          <w:b/>
          <w:szCs w:val="22"/>
        </w:rPr>
        <w:t>ATC kód:</w:t>
      </w:r>
      <w:r w:rsidRPr="00971CD6">
        <w:rPr>
          <w:szCs w:val="22"/>
        </w:rPr>
        <w:t xml:space="preserve"> A07EA06</w:t>
      </w:r>
    </w:p>
    <w:p w:rsidR="00672509" w:rsidRPr="00971CD6" w:rsidRDefault="00672509" w:rsidP="00672509">
      <w:pPr>
        <w:ind w:left="0" w:firstLine="0"/>
        <w:outlineLvl w:val="0"/>
        <w:rPr>
          <w:szCs w:val="22"/>
        </w:rPr>
      </w:pPr>
    </w:p>
    <w:p w:rsidR="00672509" w:rsidRPr="00971CD6" w:rsidRDefault="00672509" w:rsidP="00672509">
      <w:pPr>
        <w:ind w:left="0" w:firstLine="0"/>
        <w:jc w:val="both"/>
        <w:outlineLvl w:val="0"/>
        <w:rPr>
          <w:szCs w:val="22"/>
        </w:rPr>
      </w:pPr>
      <w:r w:rsidRPr="00971CD6">
        <w:rPr>
          <w:szCs w:val="22"/>
        </w:rPr>
        <w:t xml:space="preserve">Presný mechanizmus účinku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 xml:space="preserve"> v liečbe </w:t>
      </w:r>
      <w:proofErr w:type="spellStart"/>
      <w:r w:rsidRPr="00971CD6">
        <w:rPr>
          <w:szCs w:val="22"/>
        </w:rPr>
        <w:t>ulceróznej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kolitídy</w:t>
      </w:r>
      <w:proofErr w:type="spellEnd"/>
      <w:r w:rsidRPr="00971CD6">
        <w:rPr>
          <w:szCs w:val="22"/>
        </w:rPr>
        <w:t xml:space="preserve"> / </w:t>
      </w:r>
      <w:proofErr w:type="spellStart"/>
      <w:r w:rsidRPr="00971CD6">
        <w:rPr>
          <w:szCs w:val="22"/>
        </w:rPr>
        <w:t>prokto-sigmoitídy</w:t>
      </w:r>
      <w:proofErr w:type="spellEnd"/>
      <w:r w:rsidRPr="00971CD6">
        <w:rPr>
          <w:szCs w:val="22"/>
        </w:rPr>
        <w:t xml:space="preserve"> nie je celkom známy. Výsledky z farmakologických štúdií a iných kontrolovaných klinických štúdií výrazne ukazujú, že spôsob účinku je založený na lokálnom pôsobení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 xml:space="preserve"> v čreve. </w:t>
      </w:r>
      <w:proofErr w:type="spellStart"/>
      <w:r w:rsidRPr="00971CD6">
        <w:rPr>
          <w:szCs w:val="22"/>
        </w:rPr>
        <w:t>Budezonid</w:t>
      </w:r>
      <w:proofErr w:type="spellEnd"/>
      <w:r w:rsidRPr="00971CD6">
        <w:rPr>
          <w:szCs w:val="22"/>
        </w:rPr>
        <w:t xml:space="preserve"> je </w:t>
      </w:r>
      <w:proofErr w:type="spellStart"/>
      <w:r w:rsidRPr="00971CD6">
        <w:rPr>
          <w:szCs w:val="22"/>
        </w:rPr>
        <w:t>glukokortikoid</w:t>
      </w:r>
      <w:proofErr w:type="spellEnd"/>
      <w:r w:rsidRPr="00971CD6">
        <w:rPr>
          <w:szCs w:val="22"/>
        </w:rPr>
        <w:t xml:space="preserve"> s lokálnym protizápalovým účinkom. Na úrovni dávok 2 mg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 xml:space="preserve"> podávaného </w:t>
      </w:r>
      <w:proofErr w:type="spellStart"/>
      <w:r w:rsidRPr="00971CD6">
        <w:rPr>
          <w:szCs w:val="22"/>
        </w:rPr>
        <w:t>rektálne</w:t>
      </w:r>
      <w:proofErr w:type="spellEnd"/>
      <w:r w:rsidRPr="00971CD6">
        <w:rPr>
          <w:szCs w:val="22"/>
        </w:rPr>
        <w:t xml:space="preserve">, čo je ekvivalentné dávke systémových </w:t>
      </w:r>
      <w:proofErr w:type="spellStart"/>
      <w:r w:rsidRPr="00971CD6">
        <w:rPr>
          <w:szCs w:val="22"/>
        </w:rPr>
        <w:t>glukokortikoidov</w:t>
      </w:r>
      <w:proofErr w:type="spellEnd"/>
      <w:r w:rsidRPr="00971CD6">
        <w:rPr>
          <w:szCs w:val="22"/>
        </w:rPr>
        <w:t xml:space="preserve">, </w:t>
      </w:r>
      <w:proofErr w:type="spellStart"/>
      <w:r w:rsidRPr="00971CD6">
        <w:rPr>
          <w:szCs w:val="22"/>
        </w:rPr>
        <w:t>budezonid</w:t>
      </w:r>
      <w:proofErr w:type="spellEnd"/>
      <w:r w:rsidRPr="00971CD6">
        <w:rPr>
          <w:szCs w:val="22"/>
        </w:rPr>
        <w:t xml:space="preserve"> nespôsobuje </w:t>
      </w:r>
      <w:proofErr w:type="spellStart"/>
      <w:r w:rsidRPr="00971CD6">
        <w:rPr>
          <w:szCs w:val="22"/>
        </w:rPr>
        <w:t>supresiu</w:t>
      </w:r>
      <w:proofErr w:type="spellEnd"/>
      <w:r w:rsidRPr="00971CD6">
        <w:rPr>
          <w:szCs w:val="22"/>
        </w:rPr>
        <w:t xml:space="preserve"> osi </w:t>
      </w:r>
      <w:proofErr w:type="spellStart"/>
      <w:r w:rsidRPr="00971CD6">
        <w:rPr>
          <w:szCs w:val="22"/>
        </w:rPr>
        <w:t>hypotalamus-hypofýza-nadoblička</w:t>
      </w:r>
      <w:proofErr w:type="spellEnd"/>
      <w:r w:rsidRPr="00971CD6">
        <w:rPr>
          <w:szCs w:val="22"/>
        </w:rPr>
        <w:t xml:space="preserve">. Dávkovanie lieku </w:t>
      </w:r>
      <w:proofErr w:type="spellStart"/>
      <w:r w:rsidR="00CC3CFD">
        <w:rPr>
          <w:szCs w:val="22"/>
        </w:rPr>
        <w:t>Budenofalk</w:t>
      </w:r>
      <w:proofErr w:type="spellEnd"/>
      <w:r w:rsidR="00CC3CFD">
        <w:rPr>
          <w:szCs w:val="22"/>
        </w:rPr>
        <w:t xml:space="preserve"> </w:t>
      </w:r>
      <w:proofErr w:type="spellStart"/>
      <w:r w:rsidRPr="00971CD6">
        <w:rPr>
          <w:szCs w:val="22"/>
        </w:rPr>
        <w:t>rektálna</w:t>
      </w:r>
      <w:proofErr w:type="spellEnd"/>
      <w:r w:rsidRPr="00971CD6">
        <w:rPr>
          <w:szCs w:val="22"/>
        </w:rPr>
        <w:t xml:space="preserve"> pena v množstve 4 mg denne nepreukázalo prakticky žiadny vplyv na plazmatickú hladinu </w:t>
      </w:r>
      <w:proofErr w:type="spellStart"/>
      <w:r w:rsidRPr="00971CD6">
        <w:rPr>
          <w:szCs w:val="22"/>
        </w:rPr>
        <w:t>kortizolu</w:t>
      </w:r>
      <w:proofErr w:type="spellEnd"/>
      <w:r w:rsidRPr="00971CD6">
        <w:rPr>
          <w:szCs w:val="22"/>
        </w:rPr>
        <w:t>.</w:t>
      </w:r>
    </w:p>
    <w:p w:rsidR="00672509" w:rsidRPr="00971CD6" w:rsidRDefault="00672509" w:rsidP="00672509">
      <w:pPr>
        <w:jc w:val="both"/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5.2</w:t>
      </w:r>
      <w:r w:rsidRPr="00971CD6">
        <w:rPr>
          <w:b/>
          <w:szCs w:val="22"/>
        </w:rPr>
        <w:tab/>
      </w:r>
      <w:proofErr w:type="spellStart"/>
      <w:r w:rsidRPr="00971CD6">
        <w:rPr>
          <w:b/>
          <w:szCs w:val="22"/>
        </w:rPr>
        <w:t>Farmakokinetické</w:t>
      </w:r>
      <w:proofErr w:type="spellEnd"/>
      <w:r w:rsidRPr="00971CD6">
        <w:rPr>
          <w:b/>
          <w:szCs w:val="22"/>
        </w:rPr>
        <w:t xml:space="preserve"> vlastnosti</w:t>
      </w:r>
    </w:p>
    <w:p w:rsidR="00793DAC" w:rsidRDefault="00793DAC" w:rsidP="00B120EC">
      <w:pPr>
        <w:ind w:left="0" w:firstLine="0"/>
        <w:jc w:val="both"/>
        <w:rPr>
          <w:szCs w:val="22"/>
        </w:rPr>
      </w:pPr>
    </w:p>
    <w:p w:rsidR="00672509" w:rsidRPr="00B120EC" w:rsidRDefault="00E62D06" w:rsidP="00672509">
      <w:pPr>
        <w:jc w:val="both"/>
        <w:rPr>
          <w:szCs w:val="22"/>
          <w:u w:val="single"/>
        </w:rPr>
      </w:pPr>
      <w:r w:rsidRPr="00B120EC">
        <w:rPr>
          <w:szCs w:val="22"/>
          <w:u w:val="single"/>
        </w:rPr>
        <w:t>Absorpcia: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Po perorálnom podaní je systémová dostupnosť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 xml:space="preserve"> približne10 %. AUC po </w:t>
      </w:r>
      <w:proofErr w:type="spellStart"/>
      <w:r w:rsidRPr="00971CD6">
        <w:rPr>
          <w:szCs w:val="22"/>
        </w:rPr>
        <w:t>rektálnom</w:t>
      </w:r>
      <w:proofErr w:type="spellEnd"/>
      <w:r w:rsidRPr="00971CD6">
        <w:rPr>
          <w:szCs w:val="22"/>
        </w:rPr>
        <w:t xml:space="preserve"> podaní je trochu vyššie ako po perorálnom podaní (1,5-krát vyššie). Maximálne hladiny sa 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dosahujú v priemere po 2-3 hodinách po aplikácii </w:t>
      </w:r>
      <w:proofErr w:type="spellStart"/>
      <w:r w:rsidR="00CC3CFD">
        <w:rPr>
          <w:szCs w:val="22"/>
        </w:rPr>
        <w:t>Budenofalk</w:t>
      </w:r>
      <w:proofErr w:type="spellEnd"/>
      <w:r w:rsidR="00CC3CFD">
        <w:rPr>
          <w:szCs w:val="22"/>
        </w:rPr>
        <w:t xml:space="preserve"> </w:t>
      </w:r>
      <w:proofErr w:type="spellStart"/>
      <w:r w:rsidRPr="00971CD6">
        <w:rPr>
          <w:szCs w:val="22"/>
        </w:rPr>
        <w:t>rektálna</w:t>
      </w:r>
      <w:proofErr w:type="spellEnd"/>
      <w:r w:rsidRPr="00971CD6">
        <w:rPr>
          <w:szCs w:val="22"/>
        </w:rPr>
        <w:t xml:space="preserve"> pena. </w:t>
      </w:r>
    </w:p>
    <w:p w:rsidR="00672509" w:rsidRPr="00971CD6" w:rsidRDefault="00672509" w:rsidP="00A06450">
      <w:pPr>
        <w:ind w:left="0" w:firstLine="0"/>
        <w:jc w:val="both"/>
        <w:rPr>
          <w:szCs w:val="22"/>
        </w:rPr>
      </w:pPr>
    </w:p>
    <w:p w:rsidR="00672509" w:rsidRPr="00B120EC" w:rsidRDefault="00E62D06" w:rsidP="00672509">
      <w:pPr>
        <w:jc w:val="both"/>
        <w:rPr>
          <w:szCs w:val="22"/>
          <w:u w:val="single"/>
        </w:rPr>
      </w:pPr>
      <w:r w:rsidRPr="00B120EC">
        <w:rPr>
          <w:szCs w:val="22"/>
          <w:u w:val="single"/>
        </w:rPr>
        <w:t>Distribúcia: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proofErr w:type="spellStart"/>
      <w:r w:rsidRPr="00971CD6">
        <w:rPr>
          <w:szCs w:val="22"/>
        </w:rPr>
        <w:t>Budezonid</w:t>
      </w:r>
      <w:proofErr w:type="spellEnd"/>
      <w:r w:rsidRPr="00971CD6">
        <w:rPr>
          <w:szCs w:val="22"/>
        </w:rPr>
        <w:t xml:space="preserve"> má veľký distribučný objem (približne 3 l/kg). Väzba na plazmatické proteíny je približne 85-90 %.</w:t>
      </w:r>
    </w:p>
    <w:p w:rsidR="00672509" w:rsidRPr="00971CD6" w:rsidRDefault="00672509" w:rsidP="00672509">
      <w:pPr>
        <w:jc w:val="both"/>
        <w:rPr>
          <w:szCs w:val="22"/>
        </w:rPr>
      </w:pPr>
    </w:p>
    <w:p w:rsidR="00672509" w:rsidRPr="00B120EC" w:rsidRDefault="00E62D06" w:rsidP="00672509">
      <w:pPr>
        <w:jc w:val="both"/>
        <w:rPr>
          <w:szCs w:val="22"/>
          <w:u w:val="single"/>
        </w:rPr>
      </w:pPr>
      <w:proofErr w:type="spellStart"/>
      <w:r w:rsidRPr="00B120EC">
        <w:rPr>
          <w:szCs w:val="22"/>
          <w:u w:val="single"/>
        </w:rPr>
        <w:t>Biotransformácia</w:t>
      </w:r>
      <w:proofErr w:type="spellEnd"/>
      <w:r w:rsidRPr="00B120EC">
        <w:rPr>
          <w:szCs w:val="22"/>
          <w:u w:val="single"/>
        </w:rPr>
        <w:t>: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proofErr w:type="spellStart"/>
      <w:r w:rsidRPr="00971CD6">
        <w:rPr>
          <w:szCs w:val="22"/>
        </w:rPr>
        <w:t>Budezonid</w:t>
      </w:r>
      <w:proofErr w:type="spellEnd"/>
      <w:r w:rsidRPr="00971CD6">
        <w:rPr>
          <w:szCs w:val="22"/>
        </w:rPr>
        <w:t xml:space="preserve"> sa intenzívne metabolizuje v pečeni (cca 90 %) na </w:t>
      </w:r>
      <w:proofErr w:type="spellStart"/>
      <w:r w:rsidRPr="00971CD6">
        <w:rPr>
          <w:szCs w:val="22"/>
        </w:rPr>
        <w:t>metabolity</w:t>
      </w:r>
      <w:proofErr w:type="spellEnd"/>
      <w:r w:rsidRPr="00971CD6">
        <w:rPr>
          <w:szCs w:val="22"/>
        </w:rPr>
        <w:t xml:space="preserve"> s nízkou </w:t>
      </w:r>
      <w:proofErr w:type="spellStart"/>
      <w:r w:rsidRPr="00971CD6">
        <w:rPr>
          <w:szCs w:val="22"/>
        </w:rPr>
        <w:t>glukokortikoidnou</w:t>
      </w:r>
      <w:proofErr w:type="spellEnd"/>
      <w:r w:rsidRPr="00971CD6">
        <w:rPr>
          <w:szCs w:val="22"/>
        </w:rPr>
        <w:t xml:space="preserve"> účinnosťou. </w:t>
      </w:r>
      <w:proofErr w:type="spellStart"/>
      <w:r w:rsidRPr="00971CD6">
        <w:rPr>
          <w:szCs w:val="22"/>
        </w:rPr>
        <w:t>Glukokortikoidný</w:t>
      </w:r>
      <w:proofErr w:type="spellEnd"/>
      <w:r w:rsidRPr="00971CD6">
        <w:rPr>
          <w:szCs w:val="22"/>
        </w:rPr>
        <w:t xml:space="preserve"> účinok hlavných </w:t>
      </w:r>
      <w:proofErr w:type="spellStart"/>
      <w:r w:rsidRPr="00971CD6">
        <w:rPr>
          <w:szCs w:val="22"/>
        </w:rPr>
        <w:t>metabolitov</w:t>
      </w:r>
      <w:proofErr w:type="spellEnd"/>
      <w:r w:rsidRPr="00971CD6">
        <w:rPr>
          <w:szCs w:val="22"/>
        </w:rPr>
        <w:t xml:space="preserve"> 6β-hydroxybudezonid a 16α –</w:t>
      </w:r>
      <w:proofErr w:type="spellStart"/>
      <w:r w:rsidRPr="00971CD6">
        <w:rPr>
          <w:szCs w:val="22"/>
        </w:rPr>
        <w:t>hydroxyprednisolon</w:t>
      </w:r>
      <w:proofErr w:type="spellEnd"/>
      <w:r w:rsidRPr="00971CD6">
        <w:rPr>
          <w:szCs w:val="22"/>
        </w:rPr>
        <w:t xml:space="preserve">  je nižší ako 1 % aktivity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>.</w:t>
      </w:r>
    </w:p>
    <w:p w:rsidR="00672509" w:rsidRPr="00971CD6" w:rsidRDefault="00672509" w:rsidP="00672509">
      <w:pPr>
        <w:rPr>
          <w:szCs w:val="22"/>
        </w:rPr>
      </w:pPr>
    </w:p>
    <w:p w:rsidR="00672509" w:rsidRPr="00B120EC" w:rsidRDefault="00E62D06" w:rsidP="00672509">
      <w:pPr>
        <w:ind w:left="0" w:firstLine="0"/>
        <w:jc w:val="both"/>
        <w:rPr>
          <w:szCs w:val="22"/>
          <w:u w:val="single"/>
        </w:rPr>
      </w:pPr>
      <w:r w:rsidRPr="00B120EC">
        <w:rPr>
          <w:szCs w:val="22"/>
          <w:u w:val="single"/>
        </w:rPr>
        <w:t>Eliminácia:</w:t>
      </w:r>
    </w:p>
    <w:p w:rsidR="00672509" w:rsidRPr="00971CD6" w:rsidRDefault="00672509" w:rsidP="00672509">
      <w:pPr>
        <w:ind w:left="0" w:right="-1" w:firstLine="0"/>
        <w:jc w:val="both"/>
        <w:rPr>
          <w:szCs w:val="22"/>
        </w:rPr>
      </w:pPr>
      <w:r w:rsidRPr="00971CD6">
        <w:rPr>
          <w:szCs w:val="22"/>
        </w:rPr>
        <w:t xml:space="preserve">Priemerný eliminačný polčas po perorálnom podaní je asi 3-4 hodiny. </w:t>
      </w:r>
      <w:proofErr w:type="spellStart"/>
      <w:r w:rsidRPr="00971CD6">
        <w:rPr>
          <w:szCs w:val="22"/>
        </w:rPr>
        <w:t>Klírens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 xml:space="preserve"> je približne 10 l/min.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</w:p>
    <w:p w:rsidR="00672509" w:rsidRPr="00971CD6" w:rsidRDefault="007B749D" w:rsidP="00672509">
      <w:pPr>
        <w:ind w:right="-1"/>
        <w:jc w:val="both"/>
        <w:rPr>
          <w:i/>
          <w:szCs w:val="22"/>
        </w:rPr>
      </w:pPr>
      <w:r>
        <w:rPr>
          <w:i/>
          <w:szCs w:val="22"/>
        </w:rPr>
        <w:t>Osobitné</w:t>
      </w:r>
      <w:r w:rsidRPr="00971CD6">
        <w:rPr>
          <w:i/>
          <w:szCs w:val="22"/>
        </w:rPr>
        <w:t xml:space="preserve"> </w:t>
      </w:r>
      <w:r w:rsidR="00672509" w:rsidRPr="00971CD6">
        <w:rPr>
          <w:i/>
          <w:szCs w:val="22"/>
        </w:rPr>
        <w:t>skupiny pacientov (ochorenia pečene):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V závislosti od podstaty a závažnosti ochorenia pečene, metabolizmus </w:t>
      </w:r>
      <w:proofErr w:type="spellStart"/>
      <w:r w:rsidRPr="00971CD6">
        <w:rPr>
          <w:szCs w:val="22"/>
        </w:rPr>
        <w:t>budezonidu</w:t>
      </w:r>
      <w:proofErr w:type="spellEnd"/>
      <w:r w:rsidRPr="00971CD6">
        <w:rPr>
          <w:szCs w:val="22"/>
        </w:rPr>
        <w:t xml:space="preserve">  môže byť u týchto pacientov znížený.</w:t>
      </w:r>
    </w:p>
    <w:p w:rsidR="00672509" w:rsidRPr="00971CD6" w:rsidRDefault="00672509" w:rsidP="00327730">
      <w:pPr>
        <w:ind w:left="0" w:firstLine="0"/>
        <w:jc w:val="both"/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5.3</w:t>
      </w:r>
      <w:r w:rsidRPr="00971CD6">
        <w:rPr>
          <w:b/>
          <w:szCs w:val="22"/>
        </w:rPr>
        <w:tab/>
        <w:t>Predklinické údaje o bezpečnosti</w:t>
      </w:r>
    </w:p>
    <w:p w:rsidR="00672509" w:rsidRPr="00971CD6" w:rsidRDefault="00672509" w:rsidP="00672509">
      <w:pPr>
        <w:jc w:val="both"/>
        <w:rPr>
          <w:szCs w:val="22"/>
        </w:rPr>
      </w:pP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Predklinické štúdie na psoch ukázali, že </w:t>
      </w:r>
      <w:proofErr w:type="spellStart"/>
      <w:r w:rsidR="00CC3CFD">
        <w:rPr>
          <w:szCs w:val="22"/>
        </w:rPr>
        <w:t>Budenofalk</w:t>
      </w:r>
      <w:proofErr w:type="spellEnd"/>
      <w:r w:rsidR="00CC3CFD">
        <w:rPr>
          <w:szCs w:val="22"/>
        </w:rPr>
        <w:t xml:space="preserve"> </w:t>
      </w:r>
      <w:proofErr w:type="spellStart"/>
      <w:r w:rsidRPr="00971CD6">
        <w:rPr>
          <w:szCs w:val="22"/>
        </w:rPr>
        <w:t>rektálna</w:t>
      </w:r>
      <w:proofErr w:type="spellEnd"/>
      <w:r w:rsidRPr="00971CD6">
        <w:rPr>
          <w:szCs w:val="22"/>
        </w:rPr>
        <w:t xml:space="preserve"> pena  je lokálne veľmi dobre znášaná.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Predklinické údaje z akútnych, </w:t>
      </w:r>
      <w:proofErr w:type="spellStart"/>
      <w:r w:rsidRPr="00971CD6">
        <w:rPr>
          <w:szCs w:val="22"/>
        </w:rPr>
        <w:t>subchronických</w:t>
      </w:r>
      <w:proofErr w:type="spellEnd"/>
      <w:r w:rsidRPr="00971CD6">
        <w:rPr>
          <w:szCs w:val="22"/>
        </w:rPr>
        <w:t xml:space="preserve"> a chronických štúdií toxicity ukázali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atrofiu </w:t>
      </w:r>
      <w:proofErr w:type="spellStart"/>
      <w:r w:rsidRPr="00971CD6">
        <w:rPr>
          <w:szCs w:val="22"/>
        </w:rPr>
        <w:t>t</w:t>
      </w:r>
      <w:r w:rsidR="00196587">
        <w:rPr>
          <w:szCs w:val="22"/>
        </w:rPr>
        <w:t>hy</w:t>
      </w:r>
      <w:r w:rsidRPr="00971CD6">
        <w:rPr>
          <w:szCs w:val="22"/>
        </w:rPr>
        <w:t>mu</w:t>
      </w:r>
      <w:proofErr w:type="spellEnd"/>
      <w:r w:rsidRPr="00971CD6">
        <w:rPr>
          <w:szCs w:val="22"/>
        </w:rPr>
        <w:t xml:space="preserve"> a kôry nadobličiek a zníženie počtu predovšetkým </w:t>
      </w:r>
      <w:proofErr w:type="spellStart"/>
      <w:r w:rsidRPr="00971CD6">
        <w:rPr>
          <w:szCs w:val="22"/>
        </w:rPr>
        <w:t>lymfocytov</w:t>
      </w:r>
      <w:proofErr w:type="spellEnd"/>
      <w:r w:rsidRPr="00971CD6">
        <w:rPr>
          <w:szCs w:val="22"/>
        </w:rPr>
        <w:t>. Tieto účinky sa</w:t>
      </w:r>
    </w:p>
    <w:p w:rsidR="00672509" w:rsidRPr="00971CD6" w:rsidRDefault="00672509" w:rsidP="00672509">
      <w:pPr>
        <w:ind w:left="0" w:firstLine="0"/>
        <w:jc w:val="both"/>
        <w:rPr>
          <w:i/>
          <w:iCs/>
          <w:szCs w:val="22"/>
        </w:rPr>
      </w:pPr>
      <w:r w:rsidRPr="00971CD6">
        <w:rPr>
          <w:szCs w:val="22"/>
        </w:rPr>
        <w:t xml:space="preserve">vyskytovali menej často alebo v rovnakej miere u ostatných </w:t>
      </w:r>
      <w:proofErr w:type="spellStart"/>
      <w:r w:rsidRPr="00971CD6">
        <w:rPr>
          <w:szCs w:val="22"/>
        </w:rPr>
        <w:t>glukokortikosteroidov</w:t>
      </w:r>
      <w:proofErr w:type="spellEnd"/>
      <w:r w:rsidRPr="00971CD6">
        <w:rPr>
          <w:szCs w:val="22"/>
        </w:rPr>
        <w:t xml:space="preserve">. Podobne ako u iných </w:t>
      </w:r>
      <w:proofErr w:type="spellStart"/>
      <w:r w:rsidRPr="00971CD6">
        <w:rPr>
          <w:szCs w:val="22"/>
        </w:rPr>
        <w:t>glukokortikosteroidov</w:t>
      </w:r>
      <w:proofErr w:type="spellEnd"/>
      <w:r w:rsidRPr="00971CD6">
        <w:rPr>
          <w:szCs w:val="22"/>
        </w:rPr>
        <w:t xml:space="preserve"> a v závislosti od dávkovania a trvania liečby ako aj od druhu ochorení </w:t>
      </w:r>
      <w:proofErr w:type="spellStart"/>
      <w:r w:rsidRPr="00971CD6">
        <w:rPr>
          <w:szCs w:val="22"/>
        </w:rPr>
        <w:t>možu</w:t>
      </w:r>
      <w:proofErr w:type="spellEnd"/>
      <w:r w:rsidRPr="00971CD6">
        <w:rPr>
          <w:szCs w:val="22"/>
        </w:rPr>
        <w:t xml:space="preserve"> byť tieto </w:t>
      </w:r>
      <w:proofErr w:type="spellStart"/>
      <w:r w:rsidRPr="00971CD6">
        <w:rPr>
          <w:szCs w:val="22"/>
        </w:rPr>
        <w:t>steroidné</w:t>
      </w:r>
      <w:proofErr w:type="spellEnd"/>
      <w:r w:rsidRPr="00971CD6">
        <w:rPr>
          <w:szCs w:val="22"/>
        </w:rPr>
        <w:t xml:space="preserve"> účinky </w:t>
      </w:r>
      <w:proofErr w:type="spellStart"/>
      <w:r w:rsidRPr="00971CD6">
        <w:rPr>
          <w:szCs w:val="22"/>
        </w:rPr>
        <w:t>relevatné</w:t>
      </w:r>
      <w:proofErr w:type="spellEnd"/>
      <w:r w:rsidRPr="00971CD6">
        <w:rPr>
          <w:szCs w:val="22"/>
        </w:rPr>
        <w:t xml:space="preserve"> i u človeka</w:t>
      </w:r>
      <w:r w:rsidRPr="00971CD6">
        <w:rPr>
          <w:i/>
          <w:iCs/>
          <w:szCs w:val="22"/>
        </w:rPr>
        <w:t xml:space="preserve"> </w:t>
      </w:r>
    </w:p>
    <w:p w:rsidR="00672509" w:rsidRPr="00971CD6" w:rsidRDefault="00672509" w:rsidP="00327730">
      <w:pPr>
        <w:ind w:left="0" w:firstLine="0"/>
        <w:jc w:val="both"/>
        <w:rPr>
          <w:szCs w:val="22"/>
        </w:rPr>
      </w:pPr>
    </w:p>
    <w:p w:rsidR="00672509" w:rsidRPr="00971CD6" w:rsidRDefault="00672509" w:rsidP="00672509">
      <w:pPr>
        <w:ind w:right="-1"/>
        <w:jc w:val="both"/>
        <w:rPr>
          <w:szCs w:val="22"/>
        </w:rPr>
      </w:pPr>
      <w:proofErr w:type="spellStart"/>
      <w:r w:rsidRPr="00971CD6">
        <w:rPr>
          <w:szCs w:val="22"/>
        </w:rPr>
        <w:t>Budesonid</w:t>
      </w:r>
      <w:proofErr w:type="spellEnd"/>
      <w:r w:rsidRPr="00971CD6">
        <w:rPr>
          <w:szCs w:val="22"/>
        </w:rPr>
        <w:t xml:space="preserve"> neprejavil v početných testoch </w:t>
      </w:r>
      <w:r w:rsidRPr="00971CD6">
        <w:rPr>
          <w:i/>
          <w:szCs w:val="22"/>
        </w:rPr>
        <w:t xml:space="preserve">in </w:t>
      </w:r>
      <w:proofErr w:type="spellStart"/>
      <w:r w:rsidRPr="00971CD6">
        <w:rPr>
          <w:i/>
          <w:szCs w:val="22"/>
        </w:rPr>
        <w:t>vitro</w:t>
      </w:r>
      <w:proofErr w:type="spellEnd"/>
      <w:r w:rsidRPr="00971CD6">
        <w:rPr>
          <w:szCs w:val="22"/>
        </w:rPr>
        <w:t xml:space="preserve"> a </w:t>
      </w:r>
      <w:r w:rsidRPr="00971CD6">
        <w:rPr>
          <w:i/>
          <w:szCs w:val="22"/>
        </w:rPr>
        <w:t xml:space="preserve">in </w:t>
      </w:r>
      <w:proofErr w:type="spellStart"/>
      <w:r w:rsidRPr="00971CD6">
        <w:rPr>
          <w:i/>
          <w:szCs w:val="22"/>
        </w:rPr>
        <w:t>vivo</w:t>
      </w:r>
      <w:proofErr w:type="spellEnd"/>
      <w:r w:rsidRPr="00971CD6">
        <w:rPr>
          <w:szCs w:val="22"/>
        </w:rPr>
        <w:t xml:space="preserve"> žiadne mutagénne účinky.</w:t>
      </w:r>
    </w:p>
    <w:p w:rsidR="00672509" w:rsidRPr="00971CD6" w:rsidRDefault="00672509" w:rsidP="00672509">
      <w:pPr>
        <w:rPr>
          <w:szCs w:val="22"/>
        </w:rPr>
      </w:pPr>
    </w:p>
    <w:p w:rsidR="00327730" w:rsidRPr="00971CD6" w:rsidRDefault="00672509" w:rsidP="00327730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tab/>
        <w:t xml:space="preserve">V chronických </w:t>
      </w:r>
      <w:r w:rsidR="00F06205" w:rsidRPr="00971CD6">
        <w:rPr>
          <w:szCs w:val="22"/>
        </w:rPr>
        <w:t>štúdiách</w:t>
      </w:r>
      <w:r w:rsidR="00F06205">
        <w:rPr>
          <w:szCs w:val="22"/>
        </w:rPr>
        <w:t xml:space="preserve"> na</w:t>
      </w:r>
      <w:r w:rsidRPr="00971CD6">
        <w:rPr>
          <w:szCs w:val="22"/>
        </w:rPr>
        <w:t xml:space="preserve"> potkano</w:t>
      </w:r>
      <w:r w:rsidR="00F06205">
        <w:rPr>
          <w:szCs w:val="22"/>
        </w:rPr>
        <w:t>ch</w:t>
      </w:r>
      <w:r w:rsidRPr="00971CD6">
        <w:rPr>
          <w:szCs w:val="22"/>
        </w:rPr>
        <w:t xml:space="preserve"> liečených </w:t>
      </w:r>
      <w:proofErr w:type="spellStart"/>
      <w:r w:rsidRPr="00971CD6">
        <w:rPr>
          <w:szCs w:val="22"/>
        </w:rPr>
        <w:t>budezonidom</w:t>
      </w:r>
      <w:proofErr w:type="spellEnd"/>
      <w:r w:rsidRPr="00971CD6">
        <w:rPr>
          <w:szCs w:val="22"/>
        </w:rPr>
        <w:t xml:space="preserve"> boli pozorované ložiská s mierne zvýšeným počtom </w:t>
      </w:r>
      <w:proofErr w:type="spellStart"/>
      <w:r w:rsidRPr="00971CD6">
        <w:rPr>
          <w:szCs w:val="22"/>
        </w:rPr>
        <w:t>bazofilov</w:t>
      </w:r>
      <w:proofErr w:type="spellEnd"/>
      <w:r w:rsidRPr="00971CD6">
        <w:rPr>
          <w:szCs w:val="22"/>
        </w:rPr>
        <w:t xml:space="preserve"> v pečeni a štúdie na karcinogenitu ukázali zvýšenú </w:t>
      </w:r>
      <w:proofErr w:type="spellStart"/>
      <w:r w:rsidRPr="00971CD6">
        <w:rPr>
          <w:szCs w:val="22"/>
        </w:rPr>
        <w:t>incidenciu</w:t>
      </w:r>
      <w:proofErr w:type="spellEnd"/>
      <w:r w:rsidRPr="00971CD6">
        <w:rPr>
          <w:szCs w:val="22"/>
        </w:rPr>
        <w:t xml:space="preserve"> výskytu primárnej </w:t>
      </w:r>
      <w:proofErr w:type="spellStart"/>
      <w:r w:rsidRPr="00971CD6">
        <w:rPr>
          <w:szCs w:val="22"/>
        </w:rPr>
        <w:t>hepatocelulárnej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neoplázie</w:t>
      </w:r>
      <w:proofErr w:type="spellEnd"/>
      <w:r w:rsidRPr="00971CD6">
        <w:rPr>
          <w:szCs w:val="22"/>
        </w:rPr>
        <w:t xml:space="preserve">, </w:t>
      </w:r>
      <w:proofErr w:type="spellStart"/>
      <w:r w:rsidRPr="00971CD6">
        <w:rPr>
          <w:szCs w:val="22"/>
        </w:rPr>
        <w:t>astrocytómu</w:t>
      </w:r>
      <w:proofErr w:type="spellEnd"/>
      <w:r w:rsidRPr="00971CD6">
        <w:rPr>
          <w:szCs w:val="22"/>
        </w:rPr>
        <w:t xml:space="preserve"> (u potkaních samcov) a prsného tumoru (u potkaních samičiek). Pečeňové tumory sa pravdepodobne vyvinú ako následok zapojenia špecifických </w:t>
      </w:r>
      <w:proofErr w:type="spellStart"/>
      <w:r w:rsidRPr="00971CD6">
        <w:rPr>
          <w:szCs w:val="22"/>
        </w:rPr>
        <w:t>steroidných</w:t>
      </w:r>
      <w:proofErr w:type="spellEnd"/>
      <w:r w:rsidRPr="00971CD6">
        <w:rPr>
          <w:szCs w:val="22"/>
        </w:rPr>
        <w:t xml:space="preserve"> receptorov, zvýšenej metabolickej záťaže na pečeň a </w:t>
      </w:r>
      <w:r w:rsidRPr="00971CD6">
        <w:rPr>
          <w:szCs w:val="22"/>
        </w:rPr>
        <w:lastRenderedPageBreak/>
        <w:t xml:space="preserve">anabolických účinkov, ktoré sú známe na základe štúdií potkanov i u iných </w:t>
      </w:r>
      <w:proofErr w:type="spellStart"/>
      <w:r w:rsidRPr="00971CD6">
        <w:rPr>
          <w:szCs w:val="22"/>
        </w:rPr>
        <w:t>kortikosteroidov</w:t>
      </w:r>
      <w:proofErr w:type="spellEnd"/>
      <w:r w:rsidRPr="00971CD6">
        <w:rPr>
          <w:szCs w:val="22"/>
        </w:rPr>
        <w:t xml:space="preserve"> a preto predstavujú skupinový efekt u tohto druhu.</w:t>
      </w:r>
      <w:r w:rsidRPr="00971CD6">
        <w:rPr>
          <w:szCs w:val="22"/>
        </w:rPr>
        <w:tab/>
      </w:r>
    </w:p>
    <w:p w:rsidR="00672509" w:rsidRPr="00971CD6" w:rsidRDefault="00327730" w:rsidP="00327730">
      <w:pPr>
        <w:tabs>
          <w:tab w:val="left" w:pos="426"/>
        </w:tabs>
        <w:ind w:left="0"/>
        <w:jc w:val="both"/>
        <w:rPr>
          <w:szCs w:val="22"/>
        </w:rPr>
      </w:pPr>
      <w:r w:rsidRPr="00971CD6">
        <w:rPr>
          <w:szCs w:val="22"/>
        </w:rPr>
        <w:t xml:space="preserve">          </w:t>
      </w:r>
      <w:proofErr w:type="spellStart"/>
      <w:r w:rsidR="00672509" w:rsidRPr="00971CD6">
        <w:rPr>
          <w:szCs w:val="22"/>
        </w:rPr>
        <w:t>Budenozid</w:t>
      </w:r>
      <w:proofErr w:type="spellEnd"/>
      <w:r w:rsidR="00672509" w:rsidRPr="00971CD6">
        <w:rPr>
          <w:szCs w:val="22"/>
        </w:rPr>
        <w:t xml:space="preserve"> nemá žiadny účinok na </w:t>
      </w:r>
      <w:proofErr w:type="spellStart"/>
      <w:r w:rsidR="00672509" w:rsidRPr="00971CD6">
        <w:rPr>
          <w:szCs w:val="22"/>
        </w:rPr>
        <w:t>fertilitu</w:t>
      </w:r>
      <w:proofErr w:type="spellEnd"/>
      <w:r w:rsidR="00672509" w:rsidRPr="00971CD6">
        <w:rPr>
          <w:szCs w:val="22"/>
        </w:rPr>
        <w:t xml:space="preserve"> potkanov. Ukázalo sa, že podanie </w:t>
      </w:r>
      <w:proofErr w:type="spellStart"/>
      <w:r w:rsidR="00672509" w:rsidRPr="00971CD6">
        <w:rPr>
          <w:szCs w:val="22"/>
        </w:rPr>
        <w:t>budenozidu</w:t>
      </w:r>
      <w:proofErr w:type="spellEnd"/>
      <w:r w:rsidR="00672509" w:rsidRPr="00971CD6">
        <w:rPr>
          <w:szCs w:val="22"/>
        </w:rPr>
        <w:t xml:space="preserve">, podobne ako iných </w:t>
      </w:r>
      <w:proofErr w:type="spellStart"/>
      <w:r w:rsidR="00672509" w:rsidRPr="00971CD6">
        <w:rPr>
          <w:szCs w:val="22"/>
        </w:rPr>
        <w:t>glukokortikosteroidov</w:t>
      </w:r>
      <w:proofErr w:type="spellEnd"/>
      <w:r w:rsidR="00672509" w:rsidRPr="00971CD6">
        <w:rPr>
          <w:szCs w:val="22"/>
        </w:rPr>
        <w:t xml:space="preserve">, spôsobuje u gravidných zvierat smrť plodu a poruchy vývoja plodu (menší počet </w:t>
      </w:r>
      <w:r w:rsidR="00F06205" w:rsidRPr="00971CD6">
        <w:rPr>
          <w:szCs w:val="22"/>
        </w:rPr>
        <w:t>mláďat</w:t>
      </w:r>
      <w:r w:rsidR="00672509" w:rsidRPr="00971CD6">
        <w:rPr>
          <w:szCs w:val="22"/>
        </w:rPr>
        <w:t xml:space="preserve">, retardáciu </w:t>
      </w:r>
      <w:proofErr w:type="spellStart"/>
      <w:r w:rsidR="00672509" w:rsidRPr="00971CD6">
        <w:rPr>
          <w:szCs w:val="22"/>
        </w:rPr>
        <w:t>intrauterinného</w:t>
      </w:r>
      <w:proofErr w:type="spellEnd"/>
      <w:r w:rsidR="00672509" w:rsidRPr="00971CD6">
        <w:rPr>
          <w:szCs w:val="22"/>
        </w:rPr>
        <w:t xml:space="preserve"> rastu plodu a </w:t>
      </w:r>
      <w:proofErr w:type="spellStart"/>
      <w:r w:rsidR="00672509" w:rsidRPr="00971CD6">
        <w:rPr>
          <w:szCs w:val="22"/>
        </w:rPr>
        <w:t>malformácie</w:t>
      </w:r>
      <w:proofErr w:type="spellEnd"/>
      <w:r w:rsidR="00672509" w:rsidRPr="00971CD6">
        <w:rPr>
          <w:szCs w:val="22"/>
        </w:rPr>
        <w:t xml:space="preserve"> kostry). U niektorých </w:t>
      </w:r>
      <w:proofErr w:type="spellStart"/>
      <w:r w:rsidR="00672509" w:rsidRPr="00971CD6">
        <w:rPr>
          <w:szCs w:val="22"/>
        </w:rPr>
        <w:t>glukokortikoidov</w:t>
      </w:r>
      <w:proofErr w:type="spellEnd"/>
      <w:r w:rsidR="00672509" w:rsidRPr="00971CD6">
        <w:rPr>
          <w:szCs w:val="22"/>
        </w:rPr>
        <w:t xml:space="preserve"> bolo zaznamenané, že spôsobujú u zvierat rázštep podnebia. Relevantnosť týchto zistení pre človeka sa nepreukázala (pozri aj časť 4.6).</w:t>
      </w:r>
    </w:p>
    <w:p w:rsidR="00672509" w:rsidRPr="00971CD6" w:rsidRDefault="00672509" w:rsidP="00672509">
      <w:pPr>
        <w:rPr>
          <w:i/>
          <w:szCs w:val="22"/>
        </w:rPr>
      </w:pPr>
    </w:p>
    <w:p w:rsidR="00672509" w:rsidRPr="00971CD6" w:rsidRDefault="00672509" w:rsidP="00672509">
      <w:pPr>
        <w:ind w:left="0" w:right="-1" w:firstLine="0"/>
        <w:jc w:val="both"/>
        <w:rPr>
          <w:szCs w:val="22"/>
        </w:rPr>
      </w:pPr>
    </w:p>
    <w:p w:rsidR="00672509" w:rsidRPr="00971CD6" w:rsidRDefault="00672509" w:rsidP="00672509">
      <w:pPr>
        <w:rPr>
          <w:b/>
          <w:szCs w:val="22"/>
        </w:rPr>
      </w:pPr>
      <w:r w:rsidRPr="00971CD6">
        <w:rPr>
          <w:b/>
          <w:szCs w:val="22"/>
        </w:rPr>
        <w:t>6.</w:t>
      </w:r>
      <w:r w:rsidRPr="00971CD6">
        <w:rPr>
          <w:b/>
          <w:szCs w:val="22"/>
        </w:rPr>
        <w:tab/>
        <w:t>FARMACEUTICKÉ INFORMÁCIE</w:t>
      </w: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6.1</w:t>
      </w:r>
      <w:r w:rsidRPr="00971CD6">
        <w:rPr>
          <w:b/>
          <w:szCs w:val="22"/>
        </w:rPr>
        <w:tab/>
        <w:t>Zoznam pomocných látok</w:t>
      </w:r>
    </w:p>
    <w:p w:rsidR="00A06450" w:rsidRPr="00971CD6" w:rsidRDefault="00A06450" w:rsidP="00672509"/>
    <w:p w:rsidR="00672509" w:rsidRPr="00971CD6" w:rsidRDefault="007B749D" w:rsidP="00672509">
      <w:proofErr w:type="spellStart"/>
      <w:r>
        <w:t>c</w:t>
      </w:r>
      <w:r w:rsidR="00672509" w:rsidRPr="00971CD6">
        <w:t>etylalkohol</w:t>
      </w:r>
      <w:proofErr w:type="spellEnd"/>
    </w:p>
    <w:p w:rsidR="00672509" w:rsidRPr="00971CD6" w:rsidRDefault="007B749D" w:rsidP="00672509">
      <w:proofErr w:type="spellStart"/>
      <w:r>
        <w:t>m</w:t>
      </w:r>
      <w:r w:rsidR="00672509" w:rsidRPr="00971CD6">
        <w:t>onohydrát</w:t>
      </w:r>
      <w:proofErr w:type="spellEnd"/>
      <w:r w:rsidR="00672509" w:rsidRPr="00971CD6">
        <w:t xml:space="preserve"> kyseliny citrónovej</w:t>
      </w:r>
    </w:p>
    <w:p w:rsidR="00F06DB1" w:rsidRDefault="007B749D" w:rsidP="00672509">
      <w:pPr>
        <w:rPr>
          <w:szCs w:val="22"/>
        </w:rPr>
      </w:pPr>
      <w:proofErr w:type="spellStart"/>
      <w:r>
        <w:rPr>
          <w:szCs w:val="22"/>
        </w:rPr>
        <w:t>d</w:t>
      </w:r>
      <w:r w:rsidR="00F06DB1">
        <w:rPr>
          <w:szCs w:val="22"/>
        </w:rPr>
        <w:t>inátriumedetát</w:t>
      </w:r>
      <w:proofErr w:type="spellEnd"/>
    </w:p>
    <w:p w:rsidR="00672509" w:rsidRPr="00971CD6" w:rsidRDefault="007B749D" w:rsidP="00672509">
      <w:pPr>
        <w:rPr>
          <w:szCs w:val="22"/>
        </w:rPr>
      </w:pPr>
      <w:r>
        <w:rPr>
          <w:szCs w:val="22"/>
        </w:rPr>
        <w:t>e</w:t>
      </w:r>
      <w:r w:rsidR="00672509" w:rsidRPr="00971CD6">
        <w:rPr>
          <w:szCs w:val="22"/>
        </w:rPr>
        <w:t>mul</w:t>
      </w:r>
      <w:r w:rsidR="00F06DB1">
        <w:rPr>
          <w:szCs w:val="22"/>
        </w:rPr>
        <w:t>gujúci</w:t>
      </w:r>
      <w:r w:rsidR="00672509" w:rsidRPr="00971CD6">
        <w:rPr>
          <w:szCs w:val="22"/>
        </w:rPr>
        <w:t xml:space="preserve"> vosk</w:t>
      </w:r>
    </w:p>
    <w:p w:rsidR="00672509" w:rsidRPr="00971CD6" w:rsidRDefault="007B749D" w:rsidP="00672509">
      <w:pPr>
        <w:rPr>
          <w:szCs w:val="22"/>
        </w:rPr>
      </w:pPr>
      <w:proofErr w:type="spellStart"/>
      <w:r>
        <w:rPr>
          <w:szCs w:val="22"/>
        </w:rPr>
        <w:t>s</w:t>
      </w:r>
      <w:r w:rsidR="00F06DB1">
        <w:rPr>
          <w:szCs w:val="22"/>
        </w:rPr>
        <w:t>tearomakrogol</w:t>
      </w:r>
      <w:proofErr w:type="spellEnd"/>
    </w:p>
    <w:p w:rsidR="00672509" w:rsidRPr="00971CD6" w:rsidRDefault="007B749D" w:rsidP="00672509">
      <w:pPr>
        <w:rPr>
          <w:szCs w:val="22"/>
        </w:rPr>
      </w:pPr>
      <w:proofErr w:type="spellStart"/>
      <w:r>
        <w:rPr>
          <w:szCs w:val="22"/>
        </w:rPr>
        <w:t>p</w:t>
      </w:r>
      <w:r w:rsidR="00672509" w:rsidRPr="00971CD6">
        <w:rPr>
          <w:szCs w:val="22"/>
        </w:rPr>
        <w:t>ropylénglykol</w:t>
      </w:r>
      <w:proofErr w:type="spellEnd"/>
    </w:p>
    <w:p w:rsidR="00672509" w:rsidRPr="00971CD6" w:rsidRDefault="007B749D" w:rsidP="00672509">
      <w:pPr>
        <w:rPr>
          <w:szCs w:val="22"/>
        </w:rPr>
      </w:pPr>
      <w:r>
        <w:rPr>
          <w:szCs w:val="22"/>
        </w:rPr>
        <w:t>č</w:t>
      </w:r>
      <w:r w:rsidR="00672509" w:rsidRPr="00971CD6">
        <w:rPr>
          <w:szCs w:val="22"/>
        </w:rPr>
        <w:t>istená voda</w:t>
      </w:r>
    </w:p>
    <w:p w:rsidR="00672509" w:rsidRPr="00971CD6" w:rsidRDefault="00672509" w:rsidP="00672509"/>
    <w:p w:rsidR="00672509" w:rsidRPr="00971CD6" w:rsidRDefault="00672509" w:rsidP="00672509">
      <w:pPr>
        <w:rPr>
          <w:u w:val="single"/>
        </w:rPr>
      </w:pPr>
      <w:r w:rsidRPr="00971CD6">
        <w:rPr>
          <w:u w:val="single"/>
        </w:rPr>
        <w:t>Hnacie plyny:</w:t>
      </w:r>
    </w:p>
    <w:p w:rsidR="00672509" w:rsidRPr="00971CD6" w:rsidRDefault="007B749D" w:rsidP="00672509">
      <w:r>
        <w:t>b</w:t>
      </w:r>
      <w:r w:rsidR="00672509" w:rsidRPr="00971CD6">
        <w:t>után</w:t>
      </w:r>
    </w:p>
    <w:p w:rsidR="00A06450" w:rsidRPr="00971CD6" w:rsidRDefault="007B749D" w:rsidP="00672509">
      <w:proofErr w:type="spellStart"/>
      <w:r>
        <w:t>i</w:t>
      </w:r>
      <w:r w:rsidR="00F06DB1">
        <w:t>zobután</w:t>
      </w:r>
      <w:proofErr w:type="spellEnd"/>
      <w:r w:rsidR="00672509" w:rsidRPr="00971CD6">
        <w:t xml:space="preserve"> </w:t>
      </w:r>
    </w:p>
    <w:p w:rsidR="00793DAC" w:rsidRDefault="007B749D" w:rsidP="00B120EC">
      <w:pPr>
        <w:ind w:left="0" w:firstLine="0"/>
      </w:pPr>
      <w:r>
        <w:t>p</w:t>
      </w:r>
      <w:r w:rsidR="00672509" w:rsidRPr="00971CD6">
        <w:t>ropán</w:t>
      </w:r>
    </w:p>
    <w:p w:rsidR="00A06450" w:rsidRPr="00971CD6" w:rsidRDefault="00A06450" w:rsidP="00672509">
      <w:pPr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6.2</w:t>
      </w:r>
      <w:r w:rsidRPr="00971CD6">
        <w:rPr>
          <w:b/>
          <w:szCs w:val="22"/>
        </w:rPr>
        <w:tab/>
        <w:t>Inkompatibility</w:t>
      </w:r>
    </w:p>
    <w:p w:rsidR="00672509" w:rsidRPr="00971CD6" w:rsidRDefault="00672509" w:rsidP="00672509"/>
    <w:p w:rsidR="00672509" w:rsidRPr="00971CD6" w:rsidRDefault="00672509" w:rsidP="00672509">
      <w:r w:rsidRPr="00971CD6">
        <w:t>Neaplikovateľné</w:t>
      </w:r>
      <w:r w:rsidRPr="00971CD6">
        <w:rPr>
          <w:szCs w:val="22"/>
        </w:rPr>
        <w:t>.</w:t>
      </w: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6.3</w:t>
      </w:r>
      <w:r w:rsidRPr="00971CD6">
        <w:rPr>
          <w:b/>
          <w:szCs w:val="22"/>
        </w:rPr>
        <w:tab/>
        <w:t>Čas použiteľnosti</w:t>
      </w:r>
    </w:p>
    <w:p w:rsidR="00672509" w:rsidRPr="00971CD6" w:rsidRDefault="00672509" w:rsidP="00672509">
      <w:pPr>
        <w:ind w:left="540" w:hanging="540"/>
        <w:rPr>
          <w:szCs w:val="22"/>
        </w:rPr>
      </w:pPr>
    </w:p>
    <w:p w:rsidR="00672509" w:rsidRPr="00971CD6" w:rsidRDefault="00A331AA" w:rsidP="00672509">
      <w:pPr>
        <w:ind w:left="540" w:hanging="540"/>
        <w:rPr>
          <w:szCs w:val="22"/>
        </w:rPr>
      </w:pPr>
      <w:r>
        <w:rPr>
          <w:szCs w:val="22"/>
        </w:rPr>
        <w:t>3</w:t>
      </w:r>
      <w:r w:rsidR="00672509" w:rsidRPr="00971CD6">
        <w:rPr>
          <w:szCs w:val="22"/>
        </w:rPr>
        <w:t> roky</w:t>
      </w:r>
    </w:p>
    <w:p w:rsidR="00672509" w:rsidRPr="00971CD6" w:rsidRDefault="00672509" w:rsidP="00672509">
      <w:r w:rsidRPr="00971CD6">
        <w:t>Po prvom otvorení: 4 týždne</w:t>
      </w:r>
    </w:p>
    <w:p w:rsidR="00672509" w:rsidRPr="00971CD6" w:rsidRDefault="00672509" w:rsidP="00672509"/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6.4</w:t>
      </w:r>
      <w:r w:rsidRPr="00971CD6">
        <w:rPr>
          <w:b/>
          <w:szCs w:val="22"/>
        </w:rPr>
        <w:tab/>
        <w:t>Špeciálne upozornenia na uchovávanie</w:t>
      </w: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szCs w:val="22"/>
        </w:rPr>
        <w:t xml:space="preserve">Uchovávajte pri teplote do </w:t>
      </w:r>
      <w:r w:rsidR="0000549A">
        <w:rPr>
          <w:szCs w:val="22"/>
        </w:rPr>
        <w:t>25</w:t>
      </w:r>
      <w:r w:rsidRPr="00971CD6">
        <w:rPr>
          <w:szCs w:val="22"/>
        </w:rPr>
        <w:t>°C.</w:t>
      </w:r>
    </w:p>
    <w:p w:rsidR="00672509" w:rsidRPr="00971CD6" w:rsidRDefault="00672509" w:rsidP="00672509">
      <w:pPr>
        <w:rPr>
          <w:szCs w:val="22"/>
        </w:rPr>
      </w:pPr>
      <w:r w:rsidRPr="00971CD6">
        <w:rPr>
          <w:szCs w:val="22"/>
        </w:rPr>
        <w:t>Neuchovávajte v chladničke a</w:t>
      </w:r>
      <w:r w:rsidR="007B749D">
        <w:rPr>
          <w:szCs w:val="22"/>
        </w:rPr>
        <w:t>lebo</w:t>
      </w:r>
      <w:r w:rsidRPr="00971CD6">
        <w:rPr>
          <w:szCs w:val="22"/>
        </w:rPr>
        <w:t xml:space="preserve"> mrazničke.</w:t>
      </w: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 xml:space="preserve">Nádobka je pod tlakom a obsahuje horľavé hnacie plyny. </w:t>
      </w:r>
    </w:p>
    <w:p w:rsidR="00672509" w:rsidRPr="00971CD6" w:rsidRDefault="00672509" w:rsidP="00672509">
      <w:pPr>
        <w:jc w:val="both"/>
        <w:rPr>
          <w:rFonts w:eastAsia="Calibri"/>
        </w:rPr>
      </w:pPr>
      <w:r w:rsidRPr="00971CD6">
        <w:rPr>
          <w:rFonts w:eastAsia="Calibri"/>
        </w:rPr>
        <w:t xml:space="preserve">Nevystavujte slnečnému žiareniu a teplotám nad </w:t>
      </w:r>
      <w:smartTag w:uri="urn:schemas-microsoft-com:office:smarttags" w:element="metricconverter">
        <w:smartTagPr>
          <w:attr w:name="ProductID" w:val="50 ﾰC"/>
        </w:smartTagPr>
        <w:r w:rsidRPr="00971CD6">
          <w:rPr>
            <w:rFonts w:eastAsia="Calibri"/>
          </w:rPr>
          <w:t>50</w:t>
        </w:r>
        <w:r w:rsidR="00F06205">
          <w:rPr>
            <w:rFonts w:eastAsia="Calibri"/>
          </w:rPr>
          <w:t xml:space="preserve"> </w:t>
        </w:r>
        <w:r w:rsidRPr="00971CD6">
          <w:rPr>
            <w:rFonts w:eastAsia="Calibri"/>
          </w:rPr>
          <w:t>°C</w:t>
        </w:r>
      </w:smartTag>
      <w:r w:rsidRPr="00971CD6">
        <w:rPr>
          <w:rFonts w:eastAsia="Calibri"/>
        </w:rPr>
        <w:t xml:space="preserve">. Neprepichujte a nehádžte do ohňa, aj keď </w:t>
      </w:r>
    </w:p>
    <w:p w:rsidR="00672509" w:rsidRPr="00971CD6" w:rsidRDefault="00672509" w:rsidP="00672509">
      <w:pPr>
        <w:jc w:val="both"/>
        <w:rPr>
          <w:rFonts w:eastAsia="Calibri"/>
        </w:rPr>
      </w:pPr>
      <w:r w:rsidRPr="00971CD6">
        <w:rPr>
          <w:rFonts w:eastAsia="Calibri"/>
        </w:rPr>
        <w:t xml:space="preserve">je nádoba prázdna. </w:t>
      </w:r>
    </w:p>
    <w:p w:rsidR="00672509" w:rsidRPr="00971CD6" w:rsidRDefault="00672509" w:rsidP="00672509">
      <w:pPr>
        <w:ind w:left="0" w:firstLine="0"/>
        <w:jc w:val="both"/>
        <w:rPr>
          <w:b/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b/>
          <w:szCs w:val="22"/>
        </w:rPr>
        <w:t>6.5</w:t>
      </w:r>
      <w:r w:rsidRPr="00971CD6">
        <w:rPr>
          <w:b/>
          <w:szCs w:val="22"/>
        </w:rPr>
        <w:tab/>
        <w:t>Druh obalu a obsah balenia</w:t>
      </w:r>
      <w:r w:rsidRPr="00971CD6">
        <w:rPr>
          <w:b/>
          <w:color w:val="0000FF"/>
          <w:szCs w:val="22"/>
        </w:rPr>
        <w:t xml:space="preserve"> 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>Hliníková tlaková nádoba s odmerným ventilom spolu so 14 PVC aplikátormi na podávanie peny potiahnutými bielym mäkkým parafínom a tekutým parafínom a 14 plastovými vrecúškami na hygienickú likvidáciu aplikátorov.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t>Veľkosť balenia:</w:t>
      </w:r>
    </w:p>
    <w:p w:rsidR="00672509" w:rsidRPr="00971CD6" w:rsidRDefault="00672509" w:rsidP="00672509">
      <w:pPr>
        <w:ind w:left="0" w:firstLine="0"/>
        <w:jc w:val="both"/>
        <w:rPr>
          <w:szCs w:val="22"/>
        </w:rPr>
      </w:pPr>
      <w:r w:rsidRPr="00971CD6">
        <w:rPr>
          <w:szCs w:val="22"/>
        </w:rPr>
        <w:lastRenderedPageBreak/>
        <w:t>1</w:t>
      </w:r>
      <w:r w:rsidR="00F06DB1">
        <w:rPr>
          <w:szCs w:val="22"/>
        </w:rPr>
        <w:t xml:space="preserve"> tlaková nádobka</w:t>
      </w:r>
      <w:r w:rsidRPr="00971CD6">
        <w:rPr>
          <w:szCs w:val="22"/>
        </w:rPr>
        <w:t>, ktorá</w:t>
      </w:r>
      <w:r w:rsidR="00882222">
        <w:rPr>
          <w:szCs w:val="22"/>
        </w:rPr>
        <w:t xml:space="preserve"> obsahuje minimálne </w:t>
      </w:r>
      <w:r w:rsidRPr="00971CD6">
        <w:rPr>
          <w:szCs w:val="22"/>
        </w:rPr>
        <w:t xml:space="preserve">14 </w:t>
      </w:r>
      <w:r w:rsidR="00882222">
        <w:rPr>
          <w:szCs w:val="22"/>
        </w:rPr>
        <w:t xml:space="preserve">dávok po </w:t>
      </w:r>
      <w:smartTag w:uri="urn:schemas-microsoft-com:office:smarttags" w:element="metricconverter">
        <w:smartTagPr>
          <w:attr w:name="ProductID" w:val="1,2 g"/>
        </w:smartTagPr>
        <w:r w:rsidR="00882222">
          <w:rPr>
            <w:szCs w:val="22"/>
          </w:rPr>
          <w:t>1,2 g</w:t>
        </w:r>
      </w:smartTag>
      <w:r w:rsidR="00882222">
        <w:rPr>
          <w:szCs w:val="22"/>
        </w:rPr>
        <w:t xml:space="preserve"> </w:t>
      </w:r>
      <w:proofErr w:type="spellStart"/>
      <w:r w:rsidR="00882222">
        <w:rPr>
          <w:szCs w:val="22"/>
        </w:rPr>
        <w:t>rektálnej</w:t>
      </w:r>
      <w:proofErr w:type="spellEnd"/>
      <w:r w:rsidR="00882222">
        <w:rPr>
          <w:szCs w:val="22"/>
        </w:rPr>
        <w:t xml:space="preserve"> peny</w:t>
      </w:r>
      <w:r w:rsidR="00F06DB1">
        <w:rPr>
          <w:szCs w:val="22"/>
        </w:rPr>
        <w:t xml:space="preserve">, </w:t>
      </w:r>
      <w:r w:rsidR="00882222">
        <w:rPr>
          <w:szCs w:val="22"/>
        </w:rPr>
        <w:t xml:space="preserve">14 aplikátorov, </w:t>
      </w:r>
      <w:r w:rsidR="00F06DB1">
        <w:rPr>
          <w:szCs w:val="22"/>
        </w:rPr>
        <w:t>14 plastových vrecúšok na likvidáciu aplikátorov</w:t>
      </w:r>
      <w:r w:rsidR="00375F2E">
        <w:rPr>
          <w:szCs w:val="22"/>
        </w:rPr>
        <w:t xml:space="preserve">. </w:t>
      </w:r>
      <w:r w:rsidR="00882222">
        <w:rPr>
          <w:szCs w:val="22"/>
        </w:rPr>
        <w:t xml:space="preserve"> </w:t>
      </w:r>
    </w:p>
    <w:p w:rsidR="00882222" w:rsidRPr="00971CD6" w:rsidRDefault="00882222" w:rsidP="00882222">
      <w:pPr>
        <w:ind w:left="0" w:firstLine="0"/>
        <w:jc w:val="both"/>
        <w:rPr>
          <w:szCs w:val="22"/>
        </w:rPr>
      </w:pPr>
      <w:r>
        <w:rPr>
          <w:szCs w:val="22"/>
        </w:rPr>
        <w:t>2 tlakové nádobky, ktoré obsahujú minimálne 28</w:t>
      </w:r>
      <w:r w:rsidRPr="00971CD6">
        <w:rPr>
          <w:szCs w:val="22"/>
        </w:rPr>
        <w:t xml:space="preserve"> </w:t>
      </w:r>
      <w:r>
        <w:rPr>
          <w:szCs w:val="22"/>
        </w:rPr>
        <w:t xml:space="preserve">dávok po </w:t>
      </w:r>
      <w:smartTag w:uri="urn:schemas-microsoft-com:office:smarttags" w:element="metricconverter">
        <w:smartTagPr>
          <w:attr w:name="ProductID" w:val="1,2 g"/>
        </w:smartTagPr>
        <w:r>
          <w:rPr>
            <w:szCs w:val="22"/>
          </w:rPr>
          <w:t>1,2 g</w:t>
        </w:r>
      </w:smartTag>
      <w:r>
        <w:rPr>
          <w:szCs w:val="22"/>
        </w:rPr>
        <w:t xml:space="preserve"> </w:t>
      </w:r>
      <w:proofErr w:type="spellStart"/>
      <w:r>
        <w:rPr>
          <w:szCs w:val="22"/>
        </w:rPr>
        <w:t>rektálnej</w:t>
      </w:r>
      <w:proofErr w:type="spellEnd"/>
      <w:r>
        <w:rPr>
          <w:szCs w:val="22"/>
        </w:rPr>
        <w:t xml:space="preserve"> peny, 28 aplikátorov, 28 plastových vrecúšok na likvidáciu aplikátorov.  </w:t>
      </w:r>
    </w:p>
    <w:p w:rsidR="00672509" w:rsidRPr="00971CD6" w:rsidRDefault="00672509" w:rsidP="00672509">
      <w:pPr>
        <w:rPr>
          <w:szCs w:val="22"/>
        </w:rPr>
      </w:pPr>
    </w:p>
    <w:p w:rsidR="00672509" w:rsidRPr="00375F2E" w:rsidRDefault="007B749D" w:rsidP="00672509">
      <w:pPr>
        <w:pStyle w:val="Pokraovaniezoznamu"/>
        <w:ind w:left="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</w:t>
      </w:r>
      <w:r w:rsidRPr="00375F2E">
        <w:rPr>
          <w:sz w:val="22"/>
          <w:szCs w:val="22"/>
          <w:lang w:val="sk-SK"/>
        </w:rPr>
        <w:t xml:space="preserve">a trh </w:t>
      </w:r>
      <w:r>
        <w:rPr>
          <w:sz w:val="22"/>
          <w:szCs w:val="22"/>
          <w:lang w:val="sk-SK"/>
        </w:rPr>
        <w:t>n</w:t>
      </w:r>
      <w:r w:rsidR="00672509" w:rsidRPr="00375F2E">
        <w:rPr>
          <w:sz w:val="22"/>
          <w:szCs w:val="22"/>
          <w:lang w:val="sk-SK"/>
        </w:rPr>
        <w:t>e</w:t>
      </w:r>
      <w:r w:rsidRPr="00375F2E">
        <w:rPr>
          <w:sz w:val="22"/>
          <w:szCs w:val="22"/>
          <w:lang w:val="sk-SK"/>
        </w:rPr>
        <w:t xml:space="preserve">musia byť uvedené </w:t>
      </w:r>
      <w:r w:rsidR="00672509" w:rsidRPr="00375F2E">
        <w:rPr>
          <w:sz w:val="22"/>
          <w:szCs w:val="22"/>
          <w:lang w:val="sk-SK"/>
        </w:rPr>
        <w:t>všetky veľkosti balenia .</w:t>
      </w:r>
    </w:p>
    <w:p w:rsidR="00672509" w:rsidRPr="00971CD6" w:rsidRDefault="00672509" w:rsidP="00327730">
      <w:pPr>
        <w:ind w:left="0" w:firstLine="0"/>
        <w:rPr>
          <w:szCs w:val="22"/>
        </w:rPr>
      </w:pPr>
    </w:p>
    <w:p w:rsidR="00672509" w:rsidRPr="00971CD6" w:rsidRDefault="00672509" w:rsidP="00672509">
      <w:pPr>
        <w:rPr>
          <w:b/>
          <w:bCs/>
        </w:rPr>
      </w:pPr>
      <w:r w:rsidRPr="00971CD6">
        <w:rPr>
          <w:b/>
          <w:szCs w:val="22"/>
        </w:rPr>
        <w:t>6.6</w:t>
      </w:r>
      <w:r w:rsidRPr="00971CD6">
        <w:rPr>
          <w:b/>
          <w:szCs w:val="22"/>
        </w:rPr>
        <w:tab/>
      </w:r>
      <w:r w:rsidRPr="00971CD6">
        <w:rPr>
          <w:b/>
          <w:bCs/>
        </w:rPr>
        <w:t>Špeciálne opatrenia na likvidáciu</w:t>
      </w:r>
      <w:r w:rsidRPr="00971CD6">
        <w:rPr>
          <w:b/>
          <w:szCs w:val="22"/>
        </w:rPr>
        <w:t xml:space="preserve"> </w:t>
      </w:r>
      <w:r w:rsidRPr="00971CD6">
        <w:rPr>
          <w:b/>
          <w:bCs/>
        </w:rPr>
        <w:t>a iné zaobchádzanie s liekom</w:t>
      </w: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  <w:r w:rsidRPr="00971CD6">
        <w:rPr>
          <w:szCs w:val="22"/>
        </w:rPr>
        <w:t>Žiadne zvláštne požiadavky.</w:t>
      </w:r>
    </w:p>
    <w:p w:rsidR="00672509" w:rsidRPr="00971CD6" w:rsidRDefault="00672509" w:rsidP="00672509">
      <w:pPr>
        <w:rPr>
          <w:szCs w:val="22"/>
        </w:rPr>
      </w:pPr>
    </w:p>
    <w:p w:rsidR="00327730" w:rsidRPr="00971CD6" w:rsidRDefault="00327730" w:rsidP="00672509">
      <w:pPr>
        <w:rPr>
          <w:szCs w:val="22"/>
        </w:rPr>
      </w:pPr>
    </w:p>
    <w:p w:rsidR="00672509" w:rsidRPr="00971CD6" w:rsidRDefault="00672509" w:rsidP="00672509">
      <w:pPr>
        <w:rPr>
          <w:b/>
          <w:szCs w:val="22"/>
        </w:rPr>
      </w:pPr>
      <w:r w:rsidRPr="00971CD6">
        <w:rPr>
          <w:b/>
          <w:szCs w:val="22"/>
        </w:rPr>
        <w:t>7.</w:t>
      </w:r>
      <w:r w:rsidRPr="00971CD6">
        <w:rPr>
          <w:b/>
          <w:szCs w:val="22"/>
        </w:rPr>
        <w:tab/>
        <w:t>DRŽITEĽ ROZHODNUTIA O REGISTRÁCII</w:t>
      </w:r>
    </w:p>
    <w:p w:rsidR="00672509" w:rsidRPr="00971CD6" w:rsidRDefault="00672509" w:rsidP="00672509">
      <w:pPr>
        <w:rPr>
          <w:szCs w:val="22"/>
        </w:rPr>
      </w:pPr>
    </w:p>
    <w:p w:rsidR="00672509" w:rsidRDefault="00672509" w:rsidP="00672509">
      <w:pPr>
        <w:ind w:right="-1"/>
        <w:jc w:val="both"/>
        <w:rPr>
          <w:szCs w:val="22"/>
        </w:rPr>
      </w:pPr>
      <w:r w:rsidRPr="00971CD6">
        <w:rPr>
          <w:szCs w:val="22"/>
        </w:rPr>
        <w:t xml:space="preserve">Dr. </w:t>
      </w:r>
      <w:proofErr w:type="spellStart"/>
      <w:r w:rsidRPr="00971CD6">
        <w:rPr>
          <w:szCs w:val="22"/>
        </w:rPr>
        <w:t>Falk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Pharma</w:t>
      </w:r>
      <w:proofErr w:type="spellEnd"/>
      <w:r w:rsidRPr="00971CD6">
        <w:rPr>
          <w:szCs w:val="22"/>
        </w:rPr>
        <w:t xml:space="preserve"> </w:t>
      </w:r>
      <w:proofErr w:type="spellStart"/>
      <w:r w:rsidRPr="00971CD6">
        <w:rPr>
          <w:szCs w:val="22"/>
        </w:rPr>
        <w:t>GmbH</w:t>
      </w:r>
      <w:proofErr w:type="spellEnd"/>
    </w:p>
    <w:p w:rsidR="007B749D" w:rsidRPr="00971CD6" w:rsidRDefault="007B749D" w:rsidP="00672509">
      <w:pPr>
        <w:ind w:right="-1"/>
        <w:jc w:val="both"/>
        <w:rPr>
          <w:szCs w:val="22"/>
        </w:rPr>
      </w:pPr>
      <w:proofErr w:type="spellStart"/>
      <w:r>
        <w:rPr>
          <w:szCs w:val="22"/>
        </w:rPr>
        <w:t>Leinenweberstr</w:t>
      </w:r>
      <w:proofErr w:type="spellEnd"/>
      <w:r>
        <w:rPr>
          <w:szCs w:val="22"/>
        </w:rPr>
        <w:t>, 5</w:t>
      </w:r>
    </w:p>
    <w:p w:rsidR="00672509" w:rsidRPr="00971CD6" w:rsidRDefault="00672509" w:rsidP="00672509">
      <w:pPr>
        <w:ind w:right="-1"/>
        <w:jc w:val="both"/>
        <w:rPr>
          <w:szCs w:val="22"/>
        </w:rPr>
      </w:pPr>
      <w:r w:rsidRPr="00971CD6">
        <w:rPr>
          <w:szCs w:val="22"/>
        </w:rPr>
        <w:t xml:space="preserve">79108 </w:t>
      </w:r>
      <w:proofErr w:type="spellStart"/>
      <w:r w:rsidRPr="00971CD6">
        <w:rPr>
          <w:szCs w:val="22"/>
        </w:rPr>
        <w:t>Freiburg</w:t>
      </w:r>
      <w:proofErr w:type="spellEnd"/>
    </w:p>
    <w:p w:rsidR="00672509" w:rsidRPr="00971CD6" w:rsidRDefault="00672509" w:rsidP="00672509">
      <w:pPr>
        <w:ind w:right="-1"/>
        <w:jc w:val="both"/>
        <w:rPr>
          <w:szCs w:val="22"/>
        </w:rPr>
      </w:pPr>
      <w:r w:rsidRPr="00971CD6">
        <w:rPr>
          <w:szCs w:val="22"/>
        </w:rPr>
        <w:t>Nemecko</w:t>
      </w: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672509" w:rsidP="00672509">
      <w:pPr>
        <w:rPr>
          <w:b/>
          <w:szCs w:val="22"/>
        </w:rPr>
      </w:pPr>
      <w:r w:rsidRPr="00971CD6">
        <w:rPr>
          <w:b/>
          <w:szCs w:val="22"/>
        </w:rPr>
        <w:t>8.</w:t>
      </w:r>
      <w:r w:rsidRPr="00971CD6">
        <w:rPr>
          <w:b/>
          <w:szCs w:val="22"/>
        </w:rPr>
        <w:tab/>
        <w:t>REGISTRAČNÉ ČÍSLO</w:t>
      </w:r>
    </w:p>
    <w:p w:rsidR="00672509" w:rsidRPr="00971CD6" w:rsidRDefault="00672509" w:rsidP="00672509">
      <w:pPr>
        <w:rPr>
          <w:i/>
        </w:rPr>
      </w:pPr>
    </w:p>
    <w:p w:rsidR="00672509" w:rsidRDefault="007929FB" w:rsidP="00672509">
      <w:pPr>
        <w:rPr>
          <w:szCs w:val="22"/>
        </w:rPr>
      </w:pPr>
      <w:r>
        <w:rPr>
          <w:szCs w:val="22"/>
        </w:rPr>
        <w:t>56/0644/11-S</w:t>
      </w:r>
    </w:p>
    <w:p w:rsidR="007929FB" w:rsidRDefault="007929FB" w:rsidP="00672509">
      <w:pPr>
        <w:rPr>
          <w:szCs w:val="22"/>
        </w:rPr>
      </w:pPr>
    </w:p>
    <w:p w:rsidR="007B749D" w:rsidRPr="00971CD6" w:rsidRDefault="007B749D" w:rsidP="00672509">
      <w:pPr>
        <w:rPr>
          <w:szCs w:val="22"/>
        </w:rPr>
      </w:pPr>
    </w:p>
    <w:p w:rsidR="00672509" w:rsidRPr="00971CD6" w:rsidRDefault="00672509" w:rsidP="00672509">
      <w:pPr>
        <w:rPr>
          <w:b/>
          <w:szCs w:val="22"/>
        </w:rPr>
      </w:pPr>
      <w:r w:rsidRPr="00971CD6">
        <w:rPr>
          <w:b/>
          <w:szCs w:val="22"/>
        </w:rPr>
        <w:t>9.</w:t>
      </w:r>
      <w:r w:rsidRPr="00971CD6">
        <w:rPr>
          <w:b/>
          <w:szCs w:val="22"/>
        </w:rPr>
        <w:tab/>
        <w:t>DÁTUM PRVEJ REGISTRÁCIE/ PREDĹŽENIA REGISTRÁCIE</w:t>
      </w:r>
    </w:p>
    <w:p w:rsidR="00672509" w:rsidRPr="00971CD6" w:rsidRDefault="00672509" w:rsidP="00672509">
      <w:pPr>
        <w:rPr>
          <w:szCs w:val="22"/>
        </w:rPr>
      </w:pPr>
    </w:p>
    <w:p w:rsidR="00672509" w:rsidRPr="00971CD6" w:rsidRDefault="00235F93" w:rsidP="00672509">
      <w:pPr>
        <w:rPr>
          <w:szCs w:val="22"/>
        </w:rPr>
      </w:pPr>
      <w:r>
        <w:rPr>
          <w:szCs w:val="22"/>
        </w:rPr>
        <w:t xml:space="preserve">Dátum prvej registrácie: 19. </w:t>
      </w:r>
      <w:r w:rsidR="007B749D">
        <w:rPr>
          <w:szCs w:val="22"/>
        </w:rPr>
        <w:t>októbra</w:t>
      </w:r>
      <w:r>
        <w:rPr>
          <w:szCs w:val="22"/>
        </w:rPr>
        <w:t xml:space="preserve"> 2011</w:t>
      </w:r>
    </w:p>
    <w:p w:rsidR="00235F93" w:rsidRPr="00235F93" w:rsidRDefault="00235F93" w:rsidP="00672509">
      <w:pPr>
        <w:rPr>
          <w:szCs w:val="22"/>
        </w:rPr>
      </w:pPr>
      <w:r w:rsidRPr="00235F93">
        <w:rPr>
          <w:szCs w:val="22"/>
        </w:rPr>
        <w:t xml:space="preserve">Dátum posledného predĺženia: </w:t>
      </w:r>
    </w:p>
    <w:p w:rsidR="00235F93" w:rsidRDefault="00235F93" w:rsidP="00672509">
      <w:pPr>
        <w:rPr>
          <w:b/>
          <w:szCs w:val="22"/>
        </w:rPr>
      </w:pPr>
    </w:p>
    <w:p w:rsidR="007B749D" w:rsidRDefault="007B749D" w:rsidP="00672509">
      <w:pPr>
        <w:rPr>
          <w:b/>
          <w:szCs w:val="22"/>
        </w:rPr>
      </w:pPr>
    </w:p>
    <w:p w:rsidR="00672509" w:rsidRPr="00971CD6" w:rsidRDefault="00672509" w:rsidP="00672509">
      <w:pPr>
        <w:rPr>
          <w:b/>
          <w:szCs w:val="22"/>
        </w:rPr>
      </w:pPr>
      <w:r w:rsidRPr="00971CD6">
        <w:rPr>
          <w:b/>
          <w:szCs w:val="22"/>
        </w:rPr>
        <w:t>10.</w:t>
      </w:r>
      <w:r w:rsidRPr="00971CD6">
        <w:rPr>
          <w:b/>
          <w:szCs w:val="22"/>
        </w:rPr>
        <w:tab/>
        <w:t>DÁTUM REVÍZIE TEXTU</w:t>
      </w:r>
    </w:p>
    <w:p w:rsidR="00327730" w:rsidRPr="00971CD6" w:rsidRDefault="00327730" w:rsidP="00672509">
      <w:pPr>
        <w:rPr>
          <w:b/>
          <w:szCs w:val="22"/>
        </w:rPr>
      </w:pPr>
    </w:p>
    <w:p w:rsidR="00327730" w:rsidRPr="007929FB" w:rsidRDefault="007B749D" w:rsidP="00672509">
      <w:pPr>
        <w:rPr>
          <w:szCs w:val="22"/>
        </w:rPr>
      </w:pPr>
      <w:r>
        <w:rPr>
          <w:szCs w:val="22"/>
        </w:rPr>
        <w:t>02/2016</w:t>
      </w:r>
    </w:p>
    <w:p w:rsidR="00327730" w:rsidRPr="007929FB" w:rsidRDefault="00327730" w:rsidP="00672509">
      <w:pPr>
        <w:rPr>
          <w:szCs w:val="22"/>
        </w:rPr>
      </w:pPr>
    </w:p>
    <w:p w:rsidR="00327730" w:rsidRPr="00971CD6" w:rsidRDefault="00327730" w:rsidP="00672509">
      <w:pPr>
        <w:rPr>
          <w:b/>
          <w:szCs w:val="22"/>
        </w:rPr>
      </w:pPr>
    </w:p>
    <w:p w:rsidR="00793DAC" w:rsidRDefault="00793DAC" w:rsidP="00B120EC">
      <w:pPr>
        <w:rPr>
          <w:iCs/>
          <w:szCs w:val="22"/>
          <w:u w:val="single"/>
        </w:rPr>
      </w:pPr>
    </w:p>
    <w:sectPr w:rsidR="00793DAC" w:rsidSect="00B120EC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C20" w:rsidRDefault="000C1C20">
      <w:r>
        <w:separator/>
      </w:r>
    </w:p>
  </w:endnote>
  <w:endnote w:type="continuationSeparator" w:id="0">
    <w:p w:rsidR="000C1C20" w:rsidRDefault="000C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608447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5C470C" w:rsidRPr="00B120EC" w:rsidRDefault="00E62D06">
        <w:pPr>
          <w:pStyle w:val="Pta"/>
          <w:jc w:val="center"/>
          <w:rPr>
            <w:sz w:val="18"/>
          </w:rPr>
        </w:pPr>
        <w:r w:rsidRPr="00B120EC">
          <w:rPr>
            <w:sz w:val="18"/>
          </w:rPr>
          <w:fldChar w:fldCharType="begin"/>
        </w:r>
        <w:r w:rsidRPr="00B120EC">
          <w:rPr>
            <w:sz w:val="18"/>
          </w:rPr>
          <w:instrText>PAGE   \* MERGEFORMAT</w:instrText>
        </w:r>
        <w:r w:rsidRPr="00B120EC">
          <w:rPr>
            <w:sz w:val="18"/>
          </w:rPr>
          <w:fldChar w:fldCharType="separate"/>
        </w:r>
        <w:r w:rsidR="00B120EC">
          <w:rPr>
            <w:noProof/>
            <w:sz w:val="18"/>
          </w:rPr>
          <w:t>9</w:t>
        </w:r>
        <w:r w:rsidRPr="00B120EC">
          <w:rPr>
            <w:sz w:val="18"/>
          </w:rPr>
          <w:fldChar w:fldCharType="end"/>
        </w:r>
      </w:p>
    </w:sdtContent>
  </w:sdt>
  <w:p w:rsidR="005C470C" w:rsidRDefault="005C470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5507006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5C470C" w:rsidRPr="00B120EC" w:rsidRDefault="00E62D06">
        <w:pPr>
          <w:pStyle w:val="Pta"/>
          <w:jc w:val="center"/>
          <w:rPr>
            <w:sz w:val="18"/>
            <w:szCs w:val="18"/>
          </w:rPr>
        </w:pPr>
        <w:r w:rsidRPr="00B120EC">
          <w:rPr>
            <w:sz w:val="18"/>
            <w:szCs w:val="18"/>
          </w:rPr>
          <w:fldChar w:fldCharType="begin"/>
        </w:r>
        <w:r w:rsidRPr="00B120EC">
          <w:rPr>
            <w:sz w:val="18"/>
            <w:szCs w:val="18"/>
          </w:rPr>
          <w:instrText>PAGE   \* MERGEFORMAT</w:instrText>
        </w:r>
        <w:r w:rsidRPr="00B120EC">
          <w:rPr>
            <w:sz w:val="18"/>
            <w:szCs w:val="18"/>
          </w:rPr>
          <w:fldChar w:fldCharType="separate"/>
        </w:r>
        <w:r w:rsidR="00B120EC">
          <w:rPr>
            <w:noProof/>
            <w:sz w:val="18"/>
            <w:szCs w:val="18"/>
          </w:rPr>
          <w:t>1</w:t>
        </w:r>
        <w:r w:rsidRPr="00B120EC">
          <w:rPr>
            <w:sz w:val="18"/>
            <w:szCs w:val="18"/>
          </w:rPr>
          <w:fldChar w:fldCharType="end"/>
        </w:r>
      </w:p>
    </w:sdtContent>
  </w:sdt>
  <w:p w:rsidR="005C470C" w:rsidRDefault="005C470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C20" w:rsidRDefault="000C1C20">
      <w:r>
        <w:separator/>
      </w:r>
    </w:p>
  </w:footnote>
  <w:footnote w:type="continuationSeparator" w:id="0">
    <w:p w:rsidR="000C1C20" w:rsidRDefault="000C1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EC" w:rsidRPr="00964897" w:rsidRDefault="00B120EC" w:rsidP="00B120EC">
    <w:pPr>
      <w:pStyle w:val="Hlavika"/>
      <w:rPr>
        <w:sz w:val="18"/>
        <w:szCs w:val="18"/>
      </w:rPr>
    </w:pPr>
    <w:r w:rsidRPr="00964897">
      <w:rPr>
        <w:sz w:val="18"/>
        <w:szCs w:val="18"/>
      </w:rPr>
      <w:t>P</w:t>
    </w:r>
    <w:r>
      <w:rPr>
        <w:sz w:val="18"/>
        <w:szCs w:val="18"/>
      </w:rPr>
      <w:t>ríloha č.1</w:t>
    </w:r>
    <w:r w:rsidRPr="00964897">
      <w:rPr>
        <w:sz w:val="18"/>
        <w:szCs w:val="18"/>
      </w:rPr>
      <w:t xml:space="preserve"> k notifikácii o zmene, ev. č.: 2015/03034-Z1B, 2015/02634-Z1B</w:t>
    </w:r>
  </w:p>
  <w:p w:rsidR="005C470C" w:rsidRDefault="005C470C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0700"/>
    <w:multiLevelType w:val="hybridMultilevel"/>
    <w:tmpl w:val="9B26A03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86AFD"/>
    <w:multiLevelType w:val="hybridMultilevel"/>
    <w:tmpl w:val="54EA2B6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F9193E"/>
    <w:multiLevelType w:val="hybridMultilevel"/>
    <w:tmpl w:val="4A4E035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046F9"/>
    <w:multiLevelType w:val="hybridMultilevel"/>
    <w:tmpl w:val="1FEAD84E"/>
    <w:lvl w:ilvl="0" w:tplc="DC08C9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97"/>
    <w:rsid w:val="0000549A"/>
    <w:rsid w:val="00014321"/>
    <w:rsid w:val="00023ED7"/>
    <w:rsid w:val="000411BE"/>
    <w:rsid w:val="0005206F"/>
    <w:rsid w:val="000609DC"/>
    <w:rsid w:val="00067202"/>
    <w:rsid w:val="000723F5"/>
    <w:rsid w:val="00084BAC"/>
    <w:rsid w:val="000A2C28"/>
    <w:rsid w:val="000B4ECC"/>
    <w:rsid w:val="000C1C20"/>
    <w:rsid w:val="000D7047"/>
    <w:rsid w:val="000E05E1"/>
    <w:rsid w:val="000E1AC0"/>
    <w:rsid w:val="0010662E"/>
    <w:rsid w:val="00110DAC"/>
    <w:rsid w:val="00120D50"/>
    <w:rsid w:val="00141ED6"/>
    <w:rsid w:val="00196587"/>
    <w:rsid w:val="001B03C0"/>
    <w:rsid w:val="001B6C1D"/>
    <w:rsid w:val="001C65C0"/>
    <w:rsid w:val="001C6FA6"/>
    <w:rsid w:val="001D1B64"/>
    <w:rsid w:val="001D1D1B"/>
    <w:rsid w:val="001F4397"/>
    <w:rsid w:val="00212691"/>
    <w:rsid w:val="00235F93"/>
    <w:rsid w:val="00253425"/>
    <w:rsid w:val="002668B6"/>
    <w:rsid w:val="0029451A"/>
    <w:rsid w:val="00302B83"/>
    <w:rsid w:val="00314794"/>
    <w:rsid w:val="0031597F"/>
    <w:rsid w:val="00316CD4"/>
    <w:rsid w:val="003204B5"/>
    <w:rsid w:val="0032188E"/>
    <w:rsid w:val="00327730"/>
    <w:rsid w:val="003456B3"/>
    <w:rsid w:val="00375F2E"/>
    <w:rsid w:val="00392EB2"/>
    <w:rsid w:val="003C5DD8"/>
    <w:rsid w:val="003E5CF9"/>
    <w:rsid w:val="003E7C3F"/>
    <w:rsid w:val="004013CA"/>
    <w:rsid w:val="00423BBD"/>
    <w:rsid w:val="00424DF2"/>
    <w:rsid w:val="004272F4"/>
    <w:rsid w:val="00437743"/>
    <w:rsid w:val="00437A77"/>
    <w:rsid w:val="0044019B"/>
    <w:rsid w:val="004565C1"/>
    <w:rsid w:val="00464A8A"/>
    <w:rsid w:val="00484573"/>
    <w:rsid w:val="0048563A"/>
    <w:rsid w:val="0049323F"/>
    <w:rsid w:val="004A6511"/>
    <w:rsid w:val="004B592F"/>
    <w:rsid w:val="004C036F"/>
    <w:rsid w:val="004C0966"/>
    <w:rsid w:val="004D52C6"/>
    <w:rsid w:val="004E2AA6"/>
    <w:rsid w:val="004F413B"/>
    <w:rsid w:val="005334A5"/>
    <w:rsid w:val="005356CB"/>
    <w:rsid w:val="00542BBE"/>
    <w:rsid w:val="00543F39"/>
    <w:rsid w:val="00546301"/>
    <w:rsid w:val="00562955"/>
    <w:rsid w:val="005678EF"/>
    <w:rsid w:val="00574A94"/>
    <w:rsid w:val="005821AA"/>
    <w:rsid w:val="005823F9"/>
    <w:rsid w:val="00593E21"/>
    <w:rsid w:val="0059425A"/>
    <w:rsid w:val="005B62D8"/>
    <w:rsid w:val="005C470C"/>
    <w:rsid w:val="005D77A9"/>
    <w:rsid w:val="006064D9"/>
    <w:rsid w:val="0060661F"/>
    <w:rsid w:val="0062124A"/>
    <w:rsid w:val="006270E9"/>
    <w:rsid w:val="00642D07"/>
    <w:rsid w:val="0065072C"/>
    <w:rsid w:val="00656C12"/>
    <w:rsid w:val="00663CFF"/>
    <w:rsid w:val="00664F24"/>
    <w:rsid w:val="00672509"/>
    <w:rsid w:val="006747CD"/>
    <w:rsid w:val="006C412D"/>
    <w:rsid w:val="006C50E9"/>
    <w:rsid w:val="006E3E00"/>
    <w:rsid w:val="006F04F2"/>
    <w:rsid w:val="006F4BF3"/>
    <w:rsid w:val="007119E1"/>
    <w:rsid w:val="00721294"/>
    <w:rsid w:val="007417C1"/>
    <w:rsid w:val="00752F6A"/>
    <w:rsid w:val="0075566F"/>
    <w:rsid w:val="00761D97"/>
    <w:rsid w:val="00763218"/>
    <w:rsid w:val="00776B6E"/>
    <w:rsid w:val="00787180"/>
    <w:rsid w:val="007929FB"/>
    <w:rsid w:val="00793DAC"/>
    <w:rsid w:val="00794D3B"/>
    <w:rsid w:val="0079500A"/>
    <w:rsid w:val="00795A6C"/>
    <w:rsid w:val="007A08DB"/>
    <w:rsid w:val="007A69AC"/>
    <w:rsid w:val="007B749D"/>
    <w:rsid w:val="007D3EFD"/>
    <w:rsid w:val="007E13DF"/>
    <w:rsid w:val="008109CC"/>
    <w:rsid w:val="00811D61"/>
    <w:rsid w:val="008267BE"/>
    <w:rsid w:val="00833DAB"/>
    <w:rsid w:val="00853A8F"/>
    <w:rsid w:val="008608DA"/>
    <w:rsid w:val="00871BF8"/>
    <w:rsid w:val="00872B88"/>
    <w:rsid w:val="00882222"/>
    <w:rsid w:val="00895341"/>
    <w:rsid w:val="008A50E5"/>
    <w:rsid w:val="008B378A"/>
    <w:rsid w:val="008B4253"/>
    <w:rsid w:val="008B5C58"/>
    <w:rsid w:val="008C3242"/>
    <w:rsid w:val="008D4189"/>
    <w:rsid w:val="008F070C"/>
    <w:rsid w:val="008F5659"/>
    <w:rsid w:val="00900643"/>
    <w:rsid w:val="0090254B"/>
    <w:rsid w:val="00935674"/>
    <w:rsid w:val="00935A73"/>
    <w:rsid w:val="00945200"/>
    <w:rsid w:val="009619F1"/>
    <w:rsid w:val="00971734"/>
    <w:rsid w:val="00971CD6"/>
    <w:rsid w:val="009802E2"/>
    <w:rsid w:val="0099343F"/>
    <w:rsid w:val="00995576"/>
    <w:rsid w:val="009C2511"/>
    <w:rsid w:val="009D7075"/>
    <w:rsid w:val="009E5AC7"/>
    <w:rsid w:val="00A03D10"/>
    <w:rsid w:val="00A06450"/>
    <w:rsid w:val="00A11226"/>
    <w:rsid w:val="00A17756"/>
    <w:rsid w:val="00A211F4"/>
    <w:rsid w:val="00A26540"/>
    <w:rsid w:val="00A331AA"/>
    <w:rsid w:val="00A42354"/>
    <w:rsid w:val="00A446AA"/>
    <w:rsid w:val="00A60E21"/>
    <w:rsid w:val="00A92CD9"/>
    <w:rsid w:val="00AB2417"/>
    <w:rsid w:val="00AD15D9"/>
    <w:rsid w:val="00AE034A"/>
    <w:rsid w:val="00AF0E98"/>
    <w:rsid w:val="00B120EC"/>
    <w:rsid w:val="00B1334D"/>
    <w:rsid w:val="00B24FC6"/>
    <w:rsid w:val="00B80CD4"/>
    <w:rsid w:val="00B8528A"/>
    <w:rsid w:val="00B90B51"/>
    <w:rsid w:val="00B91794"/>
    <w:rsid w:val="00BA0A7C"/>
    <w:rsid w:val="00BB2499"/>
    <w:rsid w:val="00BB7098"/>
    <w:rsid w:val="00BD30FD"/>
    <w:rsid w:val="00BE7D50"/>
    <w:rsid w:val="00BF1D67"/>
    <w:rsid w:val="00BF3072"/>
    <w:rsid w:val="00C015FB"/>
    <w:rsid w:val="00C04C13"/>
    <w:rsid w:val="00C07023"/>
    <w:rsid w:val="00C07A2A"/>
    <w:rsid w:val="00C237FF"/>
    <w:rsid w:val="00C47925"/>
    <w:rsid w:val="00C53107"/>
    <w:rsid w:val="00C53C69"/>
    <w:rsid w:val="00C83AAA"/>
    <w:rsid w:val="00CA1B66"/>
    <w:rsid w:val="00CB304C"/>
    <w:rsid w:val="00CC3CFD"/>
    <w:rsid w:val="00CD0DBE"/>
    <w:rsid w:val="00CD2E2D"/>
    <w:rsid w:val="00D04A38"/>
    <w:rsid w:val="00D17BB0"/>
    <w:rsid w:val="00D25E95"/>
    <w:rsid w:val="00D3761E"/>
    <w:rsid w:val="00D46D8B"/>
    <w:rsid w:val="00D7583F"/>
    <w:rsid w:val="00D858C4"/>
    <w:rsid w:val="00DA2618"/>
    <w:rsid w:val="00DB2435"/>
    <w:rsid w:val="00DC2F33"/>
    <w:rsid w:val="00DF7CB0"/>
    <w:rsid w:val="00E24226"/>
    <w:rsid w:val="00E25E72"/>
    <w:rsid w:val="00E62D06"/>
    <w:rsid w:val="00EA193B"/>
    <w:rsid w:val="00EB045D"/>
    <w:rsid w:val="00ED0F5E"/>
    <w:rsid w:val="00F06205"/>
    <w:rsid w:val="00F06DB1"/>
    <w:rsid w:val="00F06FCF"/>
    <w:rsid w:val="00F2276D"/>
    <w:rsid w:val="00F24C0B"/>
    <w:rsid w:val="00F51232"/>
    <w:rsid w:val="00F73BA8"/>
    <w:rsid w:val="00FB0EE6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List Continue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761D97"/>
    <w:pPr>
      <w:ind w:left="567" w:hanging="567"/>
    </w:pPr>
    <w:rPr>
      <w:sz w:val="22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MEAEnBodyText">
    <w:name w:val="EMEA En Body Text"/>
    <w:basedOn w:val="Normlny"/>
    <w:rsid w:val="00761D97"/>
    <w:pPr>
      <w:spacing w:before="120" w:after="120"/>
      <w:ind w:left="0" w:firstLine="0"/>
      <w:jc w:val="both"/>
    </w:pPr>
    <w:rPr>
      <w:szCs w:val="20"/>
      <w:lang w:val="en-US" w:eastAsia="en-US"/>
    </w:rPr>
  </w:style>
  <w:style w:type="paragraph" w:styleId="Zkladntext">
    <w:name w:val="Body Text"/>
    <w:basedOn w:val="Normlny"/>
    <w:rsid w:val="00761D97"/>
    <w:pPr>
      <w:ind w:left="0" w:firstLine="0"/>
    </w:pPr>
  </w:style>
  <w:style w:type="table" w:styleId="Mriekatabuky">
    <w:name w:val="Table Grid"/>
    <w:basedOn w:val="Normlnatabuka"/>
    <w:rsid w:val="00320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rsid w:val="007A69AC"/>
    <w:pPr>
      <w:spacing w:after="120" w:line="480" w:lineRule="auto"/>
    </w:pPr>
  </w:style>
  <w:style w:type="paragraph" w:styleId="Pta">
    <w:name w:val="footer"/>
    <w:basedOn w:val="Normlny"/>
    <w:link w:val="PtaChar"/>
    <w:uiPriority w:val="99"/>
    <w:rsid w:val="001D1D1B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1D1D1B"/>
  </w:style>
  <w:style w:type="paragraph" w:styleId="Hlavika">
    <w:name w:val="header"/>
    <w:basedOn w:val="Normlny"/>
    <w:link w:val="HlavikaChar"/>
    <w:rsid w:val="009C2511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link w:val="TextbublinyChar"/>
    <w:rsid w:val="005823F9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rsid w:val="005823F9"/>
    <w:rPr>
      <w:rFonts w:ascii="Tahoma" w:hAnsi="Tahoma" w:cs="Tahoma"/>
      <w:sz w:val="16"/>
      <w:szCs w:val="16"/>
    </w:rPr>
  </w:style>
  <w:style w:type="character" w:customStyle="1" w:styleId="HlavikaChar">
    <w:name w:val="Hlavička Char"/>
    <w:link w:val="Hlavika"/>
    <w:rsid w:val="00787180"/>
    <w:rPr>
      <w:sz w:val="22"/>
      <w:szCs w:val="24"/>
    </w:rPr>
  </w:style>
  <w:style w:type="paragraph" w:styleId="Pokraovaniezoznamu">
    <w:name w:val="List Continue"/>
    <w:basedOn w:val="Normlny"/>
    <w:uiPriority w:val="99"/>
    <w:rsid w:val="00D17BB0"/>
    <w:pPr>
      <w:spacing w:after="120"/>
      <w:ind w:left="283" w:firstLine="0"/>
    </w:pPr>
    <w:rPr>
      <w:sz w:val="20"/>
      <w:szCs w:val="20"/>
      <w:lang w:val="en-GB" w:eastAsia="de-DE"/>
    </w:rPr>
  </w:style>
  <w:style w:type="character" w:styleId="Odkaznakomentr">
    <w:name w:val="annotation reference"/>
    <w:rsid w:val="00C015FB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C015FB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rsid w:val="00C015FB"/>
  </w:style>
  <w:style w:type="paragraph" w:styleId="Predmetkomentra">
    <w:name w:val="annotation subject"/>
    <w:basedOn w:val="Textkomentra"/>
    <w:next w:val="Textkomentra"/>
    <w:link w:val="PredmetkomentraChar"/>
    <w:rsid w:val="00C015FB"/>
    <w:rPr>
      <w:b/>
      <w:bCs/>
    </w:rPr>
  </w:style>
  <w:style w:type="character" w:customStyle="1" w:styleId="PredmetkomentraChar">
    <w:name w:val="Predmet komentára Char"/>
    <w:link w:val="Predmetkomentra"/>
    <w:rsid w:val="00C015FB"/>
    <w:rPr>
      <w:b/>
      <w:bCs/>
    </w:rPr>
  </w:style>
  <w:style w:type="paragraph" w:styleId="Nzov">
    <w:name w:val="Title"/>
    <w:basedOn w:val="Normlny"/>
    <w:next w:val="Normlny"/>
    <w:link w:val="NzovChar"/>
    <w:qFormat/>
    <w:rsid w:val="000143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rsid w:val="000143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ruktradokumentu">
    <w:name w:val="Document Map"/>
    <w:basedOn w:val="Normlny"/>
    <w:semiHidden/>
    <w:rsid w:val="00A03D1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textovprepojenie">
    <w:name w:val="Hyperlink"/>
    <w:basedOn w:val="Predvolenpsmoodseku"/>
    <w:uiPriority w:val="99"/>
    <w:rsid w:val="00945200"/>
    <w:rPr>
      <w:rFonts w:cs="Times New Roman"/>
      <w:color w:val="000080"/>
      <w:u w:val="single"/>
    </w:rPr>
  </w:style>
  <w:style w:type="character" w:customStyle="1" w:styleId="PtaChar">
    <w:name w:val="Päta Char"/>
    <w:basedOn w:val="Predvolenpsmoodseku"/>
    <w:link w:val="Pta"/>
    <w:uiPriority w:val="99"/>
    <w:rsid w:val="006270E9"/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List Continue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761D97"/>
    <w:pPr>
      <w:ind w:left="567" w:hanging="567"/>
    </w:pPr>
    <w:rPr>
      <w:sz w:val="22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MEAEnBodyText">
    <w:name w:val="EMEA En Body Text"/>
    <w:basedOn w:val="Normlny"/>
    <w:rsid w:val="00761D97"/>
    <w:pPr>
      <w:spacing w:before="120" w:after="120"/>
      <w:ind w:left="0" w:firstLine="0"/>
      <w:jc w:val="both"/>
    </w:pPr>
    <w:rPr>
      <w:szCs w:val="20"/>
      <w:lang w:val="en-US" w:eastAsia="en-US"/>
    </w:rPr>
  </w:style>
  <w:style w:type="paragraph" w:styleId="Zkladntext">
    <w:name w:val="Body Text"/>
    <w:basedOn w:val="Normlny"/>
    <w:rsid w:val="00761D97"/>
    <w:pPr>
      <w:ind w:left="0" w:firstLine="0"/>
    </w:pPr>
  </w:style>
  <w:style w:type="table" w:styleId="Mriekatabuky">
    <w:name w:val="Table Grid"/>
    <w:basedOn w:val="Normlnatabuka"/>
    <w:rsid w:val="00320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rsid w:val="007A69AC"/>
    <w:pPr>
      <w:spacing w:after="120" w:line="480" w:lineRule="auto"/>
    </w:pPr>
  </w:style>
  <w:style w:type="paragraph" w:styleId="Pta">
    <w:name w:val="footer"/>
    <w:basedOn w:val="Normlny"/>
    <w:link w:val="PtaChar"/>
    <w:uiPriority w:val="99"/>
    <w:rsid w:val="001D1D1B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1D1D1B"/>
  </w:style>
  <w:style w:type="paragraph" w:styleId="Hlavika">
    <w:name w:val="header"/>
    <w:basedOn w:val="Normlny"/>
    <w:link w:val="HlavikaChar"/>
    <w:rsid w:val="009C2511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link w:val="TextbublinyChar"/>
    <w:rsid w:val="005823F9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rsid w:val="005823F9"/>
    <w:rPr>
      <w:rFonts w:ascii="Tahoma" w:hAnsi="Tahoma" w:cs="Tahoma"/>
      <w:sz w:val="16"/>
      <w:szCs w:val="16"/>
    </w:rPr>
  </w:style>
  <w:style w:type="character" w:customStyle="1" w:styleId="HlavikaChar">
    <w:name w:val="Hlavička Char"/>
    <w:link w:val="Hlavika"/>
    <w:rsid w:val="00787180"/>
    <w:rPr>
      <w:sz w:val="22"/>
      <w:szCs w:val="24"/>
    </w:rPr>
  </w:style>
  <w:style w:type="paragraph" w:styleId="Pokraovaniezoznamu">
    <w:name w:val="List Continue"/>
    <w:basedOn w:val="Normlny"/>
    <w:uiPriority w:val="99"/>
    <w:rsid w:val="00D17BB0"/>
    <w:pPr>
      <w:spacing w:after="120"/>
      <w:ind w:left="283" w:firstLine="0"/>
    </w:pPr>
    <w:rPr>
      <w:sz w:val="20"/>
      <w:szCs w:val="20"/>
      <w:lang w:val="en-GB" w:eastAsia="de-DE"/>
    </w:rPr>
  </w:style>
  <w:style w:type="character" w:styleId="Odkaznakomentr">
    <w:name w:val="annotation reference"/>
    <w:rsid w:val="00C015FB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C015FB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rsid w:val="00C015FB"/>
  </w:style>
  <w:style w:type="paragraph" w:styleId="Predmetkomentra">
    <w:name w:val="annotation subject"/>
    <w:basedOn w:val="Textkomentra"/>
    <w:next w:val="Textkomentra"/>
    <w:link w:val="PredmetkomentraChar"/>
    <w:rsid w:val="00C015FB"/>
    <w:rPr>
      <w:b/>
      <w:bCs/>
    </w:rPr>
  </w:style>
  <w:style w:type="character" w:customStyle="1" w:styleId="PredmetkomentraChar">
    <w:name w:val="Predmet komentára Char"/>
    <w:link w:val="Predmetkomentra"/>
    <w:rsid w:val="00C015FB"/>
    <w:rPr>
      <w:b/>
      <w:bCs/>
    </w:rPr>
  </w:style>
  <w:style w:type="paragraph" w:styleId="Nzov">
    <w:name w:val="Title"/>
    <w:basedOn w:val="Normlny"/>
    <w:next w:val="Normlny"/>
    <w:link w:val="NzovChar"/>
    <w:qFormat/>
    <w:rsid w:val="000143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rsid w:val="000143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ruktradokumentu">
    <w:name w:val="Document Map"/>
    <w:basedOn w:val="Normlny"/>
    <w:semiHidden/>
    <w:rsid w:val="00A03D1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textovprepojenie">
    <w:name w:val="Hyperlink"/>
    <w:basedOn w:val="Predvolenpsmoodseku"/>
    <w:uiPriority w:val="99"/>
    <w:rsid w:val="00945200"/>
    <w:rPr>
      <w:rFonts w:cs="Times New Roman"/>
      <w:color w:val="000080"/>
      <w:u w:val="single"/>
    </w:rPr>
  </w:style>
  <w:style w:type="character" w:customStyle="1" w:styleId="PtaChar">
    <w:name w:val="Päta Char"/>
    <w:basedOn w:val="Predvolenpsmoodseku"/>
    <w:link w:val="Pta"/>
    <w:uiPriority w:val="99"/>
    <w:rsid w:val="006270E9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a.europa.eu/docs/en_GB/document_library/Template_or_form/2013/03/WC500139752.doc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2627</Words>
  <Characters>14975</Characters>
  <Application>Microsoft Office Word</Application>
  <DocSecurity>0</DocSecurity>
  <Lines>124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SÚHRN CHARAKTERISTICKÝCH VLASTNOSTÍ LIEKU</vt:lpstr>
    </vt:vector>
  </TitlesOfParts>
  <Company>Ewopharma</Company>
  <LinksUpToDate>false</LinksUpToDate>
  <CharactersWithSpaces>17567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SÚHRN CHARAKTERISTICKÝCH VLASTNOSTÍ LIEKU</dc:title>
  <dc:creator>Knapikova</dc:creator>
  <cp:lastModifiedBy>Dočolomanská, Petra</cp:lastModifiedBy>
  <cp:revision>2</cp:revision>
  <cp:lastPrinted>2016-02-15T10:09:00Z</cp:lastPrinted>
  <dcterms:created xsi:type="dcterms:W3CDTF">2016-02-15T10:12:00Z</dcterms:created>
  <dcterms:modified xsi:type="dcterms:W3CDTF">2016-02-15T10:12:00Z</dcterms:modified>
</cp:coreProperties>
</file>