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EA31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EA31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EA31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EA31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EA31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EA31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EA31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EA31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0DB4136" w14:textId="740E37C8" w:rsidR="0034451F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EA31C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EA31C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EA31C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EA31C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EA31C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EA31C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o uso do software através de elementos </w:t>
            </w:r>
            <w:proofErr w:type="spellStart"/>
            <w:r>
              <w:rPr>
                <w:sz w:val="24"/>
                <w:szCs w:val="24"/>
              </w:rPr>
              <w:t>gamificados</w:t>
            </w:r>
            <w:proofErr w:type="spellEnd"/>
            <w:r>
              <w:rPr>
                <w:sz w:val="24"/>
                <w:szCs w:val="24"/>
              </w:rPr>
              <w:t xml:space="preserve">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96283777"/>
      <w:r>
        <w:t xml:space="preserve">Figura </w:t>
      </w:r>
      <w:r w:rsidR="00EA31C4">
        <w:fldChar w:fldCharType="begin"/>
      </w:r>
      <w:r w:rsidR="00EA31C4">
        <w:instrText xml:space="preserve"> SEQ Figura \* ARABIC </w:instrText>
      </w:r>
      <w:r w:rsidR="00EA31C4">
        <w:fldChar w:fldCharType="separate"/>
      </w:r>
      <w:r>
        <w:rPr>
          <w:noProof/>
        </w:rPr>
        <w:t>1</w:t>
      </w:r>
      <w:r w:rsidR="00EA31C4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</w:t>
            </w:r>
            <w:proofErr w:type="spellStart"/>
            <w:r>
              <w:rPr>
                <w:sz w:val="24"/>
                <w:szCs w:val="24"/>
              </w:rPr>
              <w:t>gamificada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96283778"/>
      <w:r>
        <w:t xml:space="preserve">Figura </w:t>
      </w:r>
      <w:r w:rsidR="00EA31C4">
        <w:fldChar w:fldCharType="begin"/>
      </w:r>
      <w:r w:rsidR="00EA31C4">
        <w:instrText xml:space="preserve"> SEQ Figura \* ARABIC </w:instrText>
      </w:r>
      <w:r w:rsidR="00EA31C4">
        <w:fldChar w:fldCharType="separate"/>
      </w:r>
      <w:r>
        <w:rPr>
          <w:noProof/>
        </w:rPr>
        <w:t>2</w:t>
      </w:r>
      <w:r w:rsidR="00EA31C4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96283779"/>
      <w:r>
        <w:t xml:space="preserve">Figura </w:t>
      </w:r>
      <w:r w:rsidR="00EA31C4">
        <w:fldChar w:fldCharType="begin"/>
      </w:r>
      <w:r w:rsidR="00EA31C4">
        <w:instrText xml:space="preserve"> SEQ Figura \* ARABIC </w:instrText>
      </w:r>
      <w:r w:rsidR="00EA31C4">
        <w:fldChar w:fldCharType="separate"/>
      </w:r>
      <w:r>
        <w:rPr>
          <w:noProof/>
        </w:rPr>
        <w:t>3</w:t>
      </w:r>
      <w:r w:rsidR="00EA31C4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</w:t>
      </w:r>
      <w:proofErr w:type="spellStart"/>
      <w:r>
        <w:t>C</w:t>
      </w:r>
      <w:r w:rsidR="00F76475">
        <w:t>anvas</w:t>
      </w:r>
      <w:proofErr w:type="spellEnd"/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77A7C26D" w:rsidR="007C2471" w:rsidRDefault="00391B45" w:rsidP="007C2471">
      <w:pPr>
        <w:keepNext/>
        <w:jc w:val="center"/>
      </w:pPr>
      <w:r>
        <w:rPr>
          <w:noProof/>
        </w:rPr>
        <w:drawing>
          <wp:inline distT="0" distB="0" distL="0" distR="0" wp14:anchorId="457DB494" wp14:editId="4969B73F">
            <wp:extent cx="5400040" cy="2954020"/>
            <wp:effectExtent l="0" t="0" r="0" b="0"/>
            <wp:docPr id="4" name="Imagem 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Legenda"/>
        <w:rPr>
          <w:lang w:val="en-US"/>
        </w:rPr>
      </w:pPr>
      <w:bookmarkStart w:id="12" w:name="_Toc9628378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4F3CBADB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3F5155">
              <w:t>L</w:t>
            </w:r>
            <w:r w:rsidR="0013596A" w:rsidRPr="0013596A">
              <w:t>ocadora</w:t>
            </w:r>
            <w:r w:rsidR="0013596A">
              <w:t xml:space="preserve"> logado no sistema</w:t>
            </w:r>
          </w:p>
          <w:p w14:paraId="268C4FFE" w14:textId="17C704A5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</w:t>
            </w:r>
            <w:r w:rsidR="003F5155">
              <w:t>s</w:t>
            </w:r>
            <w:r w:rsidR="005F6DD0">
              <w:t xml:space="preserve"> veículo</w:t>
            </w:r>
            <w:r w:rsidR="003F5155">
              <w:t>s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19F59B1B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</w:p>
          <w:p w14:paraId="29CEB57E" w14:textId="334C9CA2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</w:p>
          <w:p w14:paraId="7A15708C" w14:textId="1D9D7A94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</w:t>
            </w:r>
            <w:r w:rsidR="003F5155">
              <w:t>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192F898B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</w:p>
          <w:p w14:paraId="65CB98F4" w14:textId="6939AD3D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 xml:space="preserve">preencher </w:t>
            </w:r>
            <w:r w:rsidR="003F5155">
              <w:t>a placa já existente</w:t>
            </w:r>
          </w:p>
          <w:p w14:paraId="09BF40E1" w14:textId="1A57ADF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 xml:space="preserve">já </w:t>
            </w:r>
            <w:r w:rsidR="003F5155">
              <w:t>cadastrada.</w:t>
            </w:r>
          </w:p>
        </w:tc>
      </w:tr>
    </w:tbl>
    <w:p w14:paraId="464C1A34" w14:textId="77777777" w:rsidR="00F76475" w:rsidRDefault="00F76475" w:rsidP="00C44832">
      <w:pPr>
        <w:pStyle w:val="Legenda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r w:rsidR="00EA31C4">
        <w:fldChar w:fldCharType="begin"/>
      </w:r>
      <w:r w:rsidR="00EA31C4">
        <w:instrText xml:space="preserve"> SEQ Figura \* ARABIC </w:instrText>
      </w:r>
      <w:r w:rsidR="00EA31C4">
        <w:fldChar w:fldCharType="separate"/>
      </w:r>
      <w:r>
        <w:rPr>
          <w:noProof/>
        </w:rPr>
        <w:t>5</w:t>
      </w:r>
      <w:r w:rsidR="00EA31C4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p w14:paraId="70961142" w14:textId="77777777" w:rsidR="00F76475" w:rsidRPr="003D488D" w:rsidRDefault="00F76475" w:rsidP="00F76475">
      <w:pPr>
        <w:pStyle w:val="CorpodeTexto"/>
        <w:ind w:left="708"/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Ttulo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48592C54" w:rsidR="0089163D" w:rsidRDefault="00405DB1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CD44E7" wp14:editId="1DF7D954">
                  <wp:extent cx="5391150" cy="246697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Ttulo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0" w:name="_Toc96277162"/>
      <w:bookmarkStart w:id="21" w:name="_Toc96283783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Ttulo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F135" w14:textId="77777777" w:rsidR="00EA31C4" w:rsidRDefault="00EA31C4" w:rsidP="004E16B3">
      <w:pPr>
        <w:spacing w:after="0" w:line="240" w:lineRule="auto"/>
      </w:pPr>
      <w:r>
        <w:separator/>
      </w:r>
    </w:p>
  </w:endnote>
  <w:endnote w:type="continuationSeparator" w:id="0">
    <w:p w14:paraId="4D4D15A9" w14:textId="77777777" w:rsidR="00EA31C4" w:rsidRDefault="00EA31C4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36D2" w14:textId="77777777" w:rsidR="00EA31C4" w:rsidRDefault="00EA31C4" w:rsidP="004E16B3">
      <w:pPr>
        <w:spacing w:after="0" w:line="240" w:lineRule="auto"/>
      </w:pPr>
      <w:r>
        <w:separator/>
      </w:r>
    </w:p>
  </w:footnote>
  <w:footnote w:type="continuationSeparator" w:id="0">
    <w:p w14:paraId="7A7C3713" w14:textId="77777777" w:rsidR="00EA31C4" w:rsidRDefault="00EA31C4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1B45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07EB"/>
    <w:rsid w:val="007C2471"/>
    <w:rsid w:val="007C3290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EAF"/>
    <w:rsid w:val="00C76FF2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1C4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10</Pages>
  <Words>985</Words>
  <Characters>5321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Lucas Silva</cp:lastModifiedBy>
  <cp:revision>14</cp:revision>
  <dcterms:created xsi:type="dcterms:W3CDTF">2022-03-10T13:31:00Z</dcterms:created>
  <dcterms:modified xsi:type="dcterms:W3CDTF">2022-05-19T23:31:00Z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