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FACULDADE DE INFORMÁTICA E ADMINISTRAÇÃO PAULISTA (FIAP)</w:t>
      </w:r>
    </w:p>
    <w:p>
      <w:pPr>
        <w:ind w:firstLine="0"/>
        <w:jc w:val="center"/>
      </w:pPr>
      <w:r>
        <w:rPr>
          <w:b/>
        </w:rPr>
        <w:t>TECNÓLOGO EM INTELIGÊNCIA ARTIFICIAL</w:t>
      </w:r>
    </w:p>
    <w:p>
      <w:pPr/>
    </w:p>
    <w:p>
      <w:pPr/>
    </w:p>
    <w:p>
      <w:pPr/>
    </w:p>
    <w:p>
      <w:pPr>
        <w:ind w:firstLine="0"/>
        <w:jc w:val="center"/>
      </w:pPr>
      <w:r>
        <w:rPr/>
        <w:t>MATHEUS CARDOSO GOMES</w:t>
      </w:r>
    </w:p>
    <w:p>
      <w:pPr>
        <w:ind w:firstLine="0"/>
        <w:jc w:val="center"/>
      </w:pPr>
      <w:r>
        <w:rPr/>
        <w:t>CAIQUE SOUSA</w:t>
      </w:r>
    </w:p>
    <w:p>
      <w:pPr/>
    </w:p>
    <w:p>
      <w:pPr/>
    </w:p>
    <w:p>
      <w:pPr/>
    </w:p>
    <w:p>
      <w:pPr/>
    </w:p>
    <w:p>
      <w:pPr/>
    </w:p>
    <w:p>
      <w:pPr/>
    </w:p>
    <w:p>
      <w:pPr>
        <w:ind w:firstLine="0"/>
        <w:jc w:val="center"/>
      </w:pPr>
      <w:r>
        <w:rPr>
          <w:b/>
        </w:rPr>
        <w:t>OBSERVABILIDADE DE UM ENDPOINT DE IA:</w:t>
      </w:r>
      <w:r>
        <w:t xml:space="preserve"> Sensor Monitoring API do Forzy Digital Twin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ind w:firstLine="0"/>
        <w:jc w:val="center"/>
      </w:pPr>
      <w:r>
        <w:rPr/>
        <w:t>SÃO PAULO</w:t>
      </w:r>
    </w:p>
    <w:p>
      <w:pPr>
        <w:ind w:firstLine="0"/>
        <w:jc w:val="center"/>
      </w:pPr>
      <w:r>
        <w:rPr/>
        <w:t>2026</w:t>
      </w:r>
    </w:p>
    <w:p>
      <w:pPr>
        <w:sectPr>
          <w:pgSz w:w="11906" w:h="16838"/>
          <w:pgMar w:top="1701" w:right="1134" w:bottom="1134" w:left="1701" w:header="1134" w:footer="709" w:gutter="0"/>
          <w:cols w:space="720"/>
          <w:docGrid w:linePitch="360"/>
        </w:sectPr>
      </w:pPr>
    </w:p>
    <w:p>
      <w:pPr>
        <w:ind w:firstLine="0"/>
        <w:jc w:val="center"/>
      </w:pPr>
      <w:r>
        <w:rPr/>
        <w:t>MATHEUS CARDOSO GOMES (RM 564898)</w:t>
      </w:r>
    </w:p>
    <w:p>
      <w:pPr>
        <w:ind w:firstLine="0"/>
        <w:jc w:val="center"/>
      </w:pPr>
      <w:r>
        <w:rPr/>
        <w:t>CAIQUE SOUSA (RM 563621)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ind w:firstLine="0"/>
        <w:jc w:val="center"/>
      </w:pPr>
      <w:r>
        <w:rPr>
          <w:b/>
        </w:rPr>
        <w:t>OBSERVABILIDADE DE UM ENDPOINT DE IA:</w:t>
      </w:r>
      <w:r>
        <w:t xml:space="preserve"> Sensor Monitoring API do Forzy Digital Twin</w:t>
      </w:r>
    </w:p>
    <w:p>
      <w:pPr/>
    </w:p>
    <w:p>
      <w:pPr/>
    </w:p>
    <w:p>
      <w:pPr/>
    </w:p>
    <w:p>
      <w:pPr>
        <w:spacing w:line="240" w:lineRule="auto"/>
        <w:ind w:firstLine="0" w:left="4535"/>
      </w:pPr>
      <w:r>
        <w:rPr/>
        <w:t>Checkpoint apresentado à disciplina de Governança em IA do curso Tecnólogo em Inteligência Artificial da FIAP, integrado à disciplina de Front-end, como requisito parcial de avaliação.</w:t>
      </w:r>
    </w:p>
    <w:p>
      <w:pPr>
        <w:spacing w:line="240" w:lineRule="auto"/>
        <w:ind w:firstLine="0" w:left="4535"/>
      </w:pPr>
    </w:p>
    <w:p>
      <w:pPr>
        <w:spacing w:line="240" w:lineRule="auto"/>
        <w:ind w:firstLine="0" w:left="4535"/>
      </w:pPr>
      <w:r>
        <w:rPr/>
        <w:t>Professor(a): [NOME DO PROFESSOR]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ind w:firstLine="0"/>
        <w:jc w:val="center"/>
      </w:pPr>
      <w:r>
        <w:rPr/>
        <w:t>SÃO PAULO</w:t>
      </w:r>
    </w:p>
    <w:p>
      <w:pPr>
        <w:ind w:firstLine="0"/>
        <w:jc w:val="center"/>
      </w:pPr>
      <w:r>
        <w:rPr/>
        <w:t>2026</w:t>
      </w:r>
    </w:p>
    <w:p>
      <w:r>
        <w:br w:type="page"/>
      </w:r>
    </w:p>
    <w:p>
      <w:pPr>
        <w:pStyle w:val="Titulosemnumero"/>
      </w:pPr>
      <w:r>
        <w:rPr/>
        <w:t>RESUMO</w:t>
      </w:r>
    </w:p>
    <w:p>
      <w:pPr>
        <w:ind w:firstLine="0"/>
      </w:pPr>
      <w:r>
        <w:rPr/>
        <w:t>Este trabalho define e valida um contrato mínimo de observabilidade para o endpoint de sensores do Forzy Digital Twin, que acompanha os sensores S1 e S2 de um motor WEG W22. O grupo expôs o provider de Sensores como uma API FastAPI com rotas de leitura atual, histórico e observabilidade, e implementou um middleware que grava em SQLite, a cada chamada, os headers de contexto X-Session-Id e X-Feature, o instante em UTC, a latência, o código de status, a idade do dado e a completude do payload. A partir desses campos mapeamos 16 indicadores, entre eles latência p95, disponibilidade, freshness, taxa de completude de freshness, tempo de atualização e cobertura de headers. Cada indicador recebeu definição, fórmula, baseline, limiar de alerta, limiar crítico, visualização recomendada e ação de resposta, reunidos num arquivo YAML versionado junto com o código e alinhados ao Metric Contract da Sprint 3. As leituras servidas pela API vêm do histórico real dos dois sensores, repetido sobre o relógio atual, e só a coleta é simulada. A baseline foi medida sobre 300 chamadas de operação normal, sem problemas de cliente, e a conformidade foi avaliada sobre 600 chamadas de um cenário misto, que inclui um cliente legado sem headers, consultas a sensores inexistentes e maior concorrência. Na avaliação, 10 indicadores ficaram dentro dos limiares, 2 em alerta e 2 em nível crítico (taxa de erro 4xx, proporção de leituras críticas). A interface em Streamlit consome os três endpoints com a biblioteca requests e mostra os indicadores com os mesmos gráficos propostos neste documento. Os registros permitiram identificar pelo user agent o cliente que chamava sem contexto, separar erros de cliente de falhas de coleta e mostrar que, com os limiares da Sprint 3, o motor em operação cai quase sempre na zona crítica de vibração, ponto que pede revisão do contrato.</w:t>
      </w:r>
    </w:p>
    <w:p>
      <w:pPr/>
    </w:p>
    <w:p>
      <w:pPr>
        <w:ind w:firstLine="0"/>
      </w:pPr>
      <w:r>
        <w:rPr>
          <w:b/>
        </w:rPr>
        <w:t>Palavras-chave:</w:t>
      </w:r>
      <w:r>
        <w:t xml:space="preserve"> Observabilidade. Governança de IA. Qualidade de dados. FastAPI. Metric contract.</w:t>
      </w:r>
    </w:p>
    <w:p>
      <w:r>
        <w:br w:type="page"/>
      </w:r>
    </w:p>
    <w:p>
      <w:pPr>
        <w:pStyle w:val="Titulosemnumero"/>
      </w:pPr>
      <w:r>
        <w:rPr/>
        <w:t>LISTA DE ILUSTRAÇÕES</w:t>
      </w:r>
    </w:p>
    <w:p>
      <w:pPr>
        <w:ind w:firstLine="0" w:left="0"/>
        <w:jc w:val="left"/>
      </w:pPr>
      <w:r>
        <w:fldChar w:fldCharType="begin"/>
      </w:r>
      <w:r>
        <w:instrText xml:space="preserve"> TOC \h \z \c "Figura" </w:instrText>
      </w:r>
      <w:r>
        <w:fldChar w:fldCharType="separate"/>
      </w:r>
      <w:r>
        <w:rPr/>
        <w:t>Figura 1 - Arquitetura da solução e fluxo do registro de observabilidade</w:t>
      </w:r>
    </w:p>
    <w:p>
      <w:pPr>
        <w:ind w:firstLine="0" w:left="0"/>
        <w:jc w:val="left"/>
      </w:pPr>
      <w:r>
        <w:rPr/>
        <w:t>Figura 2 - Latência p50, p95 e p99 por janela de 1 minuto</w:t>
      </w:r>
    </w:p>
    <w:p>
      <w:pPr>
        <w:ind w:firstLine="0" w:left="0"/>
        <w:jc w:val="left"/>
      </w:pPr>
      <w:r>
        <w:rPr/>
        <w:t>Figura 3 - Distribuição da latência na janela de avaliação</w:t>
      </w:r>
    </w:p>
    <w:p>
      <w:pPr>
        <w:ind w:firstLine="0" w:left="0"/>
        <w:jc w:val="left"/>
      </w:pPr>
      <w:r>
        <w:rPr/>
        <w:t>Figura 4 - Chamadas por rota e código de status</w:t>
      </w:r>
    </w:p>
    <w:p>
      <w:pPr>
        <w:ind w:firstLine="0" w:left="0"/>
        <w:jc w:val="left"/>
      </w:pPr>
      <w:r>
        <w:rPr/>
        <w:t>Figura 5 - Disponibilidade por janela de 1 minuto</w:t>
      </w:r>
    </w:p>
    <w:p>
      <w:pPr>
        <w:ind w:firstLine="0" w:left="0"/>
        <w:jc w:val="left"/>
      </w:pPr>
      <w:r>
        <w:rPr/>
        <w:t>Figura 6 - Idade da leitura atual no momento da resposta</w:t>
      </w:r>
    </w:p>
    <w:p>
      <w:pPr>
        <w:ind w:firstLine="0" w:left="0"/>
        <w:jc w:val="left"/>
      </w:pPr>
      <w:r>
        <w:rPr/>
        <w:t>Figura 7 - Taxa de completude de freshness por janela de 2 minutos</w:t>
      </w:r>
    </w:p>
    <w:p>
      <w:pPr>
        <w:ind w:firstLine="0" w:left="0"/>
        <w:jc w:val="left"/>
      </w:pPr>
      <w:r>
        <w:rPr/>
        <w:t>Figura 8 - Completude do payload por janela de 1 minuto</w:t>
      </w:r>
    </w:p>
    <w:p>
      <w:pPr>
        <w:ind w:firstLine="0" w:left="0"/>
        <w:jc w:val="left"/>
      </w:pPr>
      <w:r>
        <w:rPr/>
        <w:t>Figura 9 - Distribuição dos intervalos entre leituras consecutivas</w:t>
      </w:r>
    </w:p>
    <w:p>
      <w:pPr>
        <w:ind w:firstLine="0" w:left="0"/>
        <w:jc w:val="left"/>
      </w:pPr>
      <w:r>
        <w:rPr/>
        <w:t>Figura 10 - Cobertura de headers por funcionalidade</w:t>
      </w:r>
    </w:p>
    <w:p>
      <w:pPr>
        <w:ind w:firstLine="0" w:left="0"/>
        <w:jc w:val="left"/>
      </w:pPr>
      <w:r>
        <w:rPr/>
        <w:t>Figura 11 - Volume de chamadas por minuto</w:t>
      </w:r>
    </w:p>
    <w:p>
      <w:pPr>
        <w:ind w:firstLine="0" w:left="0"/>
        <w:jc w:val="left"/>
      </w:pPr>
      <w:r>
        <w:rPr/>
        <w:t>Figura 12 - Uso por funcionalidade</w:t>
      </w:r>
    </w:p>
    <w:p>
      <w:pPr>
        <w:ind w:firstLine="0" w:left="0"/>
        <w:jc w:val="left"/>
      </w:pPr>
      <w:r>
        <w:rPr/>
        <w:t>Figura 13 - Proporção de leituras críticas por janela de 2 minutos</w:t>
      </w:r>
      <w:r>
        <w:fldChar w:fldCharType="end"/>
      </w:r>
    </w:p>
    <w:p>
      <w:r>
        <w:br w:type="page"/>
      </w:r>
    </w:p>
    <w:p>
      <w:pPr>
        <w:pStyle w:val="Titulosemnumero"/>
      </w:pPr>
      <w:r>
        <w:rPr/>
        <w:t>LISTA DE QUADROS</w:t>
      </w:r>
    </w:p>
    <w:p>
      <w:pPr>
        <w:ind w:firstLine="0" w:left="0"/>
        <w:jc w:val="left"/>
      </w:pPr>
      <w:r>
        <w:fldChar w:fldCharType="begin"/>
      </w:r>
      <w:r>
        <w:instrText xml:space="preserve"> TOC \h \z \c "Quadro" </w:instrText>
      </w:r>
      <w:r>
        <w:fldChar w:fldCharType="separate"/>
      </w:r>
      <w:r>
        <w:rPr/>
        <w:t>Quadro 1 - Campos do registro de observabilidade</w:t>
      </w:r>
    </w:p>
    <w:p>
      <w:pPr>
        <w:ind w:firstLine="0" w:left="0"/>
        <w:jc w:val="left"/>
      </w:pPr>
      <w:r>
        <w:rPr/>
        <w:t>Quadro 2 - Indicadores do metric contract</w:t>
      </w:r>
    </w:p>
    <w:p>
      <w:pPr>
        <w:ind w:firstLine="0" w:left="0"/>
        <w:jc w:val="left"/>
      </w:pPr>
      <w:r>
        <w:rPr/>
        <w:t>Quadro 3 - Visualização escolhida por indicador</w:t>
      </w:r>
    </w:p>
    <w:p>
      <w:pPr>
        <w:ind w:firstLine="0" w:left="0"/>
        <w:jc w:val="left"/>
      </w:pPr>
      <w:r>
        <w:rPr/>
        <w:t>Quadro 4 - Ações por indicador e nível de limiar</w:t>
      </w:r>
      <w:r>
        <w:fldChar w:fldCharType="end"/>
      </w:r>
    </w:p>
    <w:p>
      <w:r>
        <w:br w:type="page"/>
      </w:r>
    </w:p>
    <w:p>
      <w:pPr>
        <w:pStyle w:val="Titulosemnumero"/>
      </w:pPr>
      <w:r>
        <w:rPr/>
        <w:t>LISTA DE TABELAS</w:t>
      </w:r>
    </w:p>
    <w:p>
      <w:pPr>
        <w:ind w:firstLine="0" w:left="0"/>
        <w:jc w:val="left"/>
      </w:pPr>
      <w:r>
        <w:fldChar w:fldCharType="begin"/>
      </w:r>
      <w:r>
        <w:instrText xml:space="preserve"> TOC \h \z \c "Tabela" </w:instrText>
      </w:r>
      <w:r>
        <w:fldChar w:fldCharType="separate"/>
      </w:r>
      <w:r>
        <w:rPr/>
        <w:t>Tabela 1 - Baseline medida e limiares por indicador</w:t>
      </w:r>
    </w:p>
    <w:p>
      <w:pPr>
        <w:ind w:firstLine="0" w:left="0"/>
        <w:jc w:val="left"/>
      </w:pPr>
      <w:r>
        <w:rPr/>
        <w:t>Tabela 2 - Conformidade dos indicadores na janela de avaliação</w:t>
      </w:r>
      <w:r>
        <w:fldChar w:fldCharType="end"/>
      </w:r>
    </w:p>
    <w:p>
      <w:r>
        <w:br w:type="page"/>
      </w:r>
    </w:p>
    <w:p>
      <w:pPr>
        <w:pStyle w:val="Titulosemnumero"/>
      </w:pPr>
      <w:r>
        <w:rPr/>
        <w:t>LISTA DE ABREVIATURAS E SIGLAS</w:t>
      </w:r>
    </w:p>
    <w:p>
      <w:pPr>
        <w:tabs>
          <w:tab w:pos="1417" w:val="left"/>
        </w:tabs>
        <w:ind w:firstLine="0"/>
        <w:jc w:val="left"/>
      </w:pPr>
      <w:r>
        <w:t>ABNT</w:t>
        <w:tab/>
        <w:t>Associação Brasileira de Normas Técnicas</w:t>
      </w:r>
    </w:p>
    <w:p>
      <w:pPr>
        <w:tabs>
          <w:tab w:pos="1417" w:val="left"/>
        </w:tabs>
        <w:ind w:firstLine="0"/>
        <w:jc w:val="left"/>
      </w:pPr>
      <w:r>
        <w:t>API</w:t>
        <w:tab/>
        <w:t>Application Programming Interface</w:t>
      </w:r>
    </w:p>
    <w:p>
      <w:pPr>
        <w:tabs>
          <w:tab w:pos="1417" w:val="left"/>
        </w:tabs>
        <w:ind w:firstLine="0"/>
        <w:jc w:val="left"/>
      </w:pPr>
      <w:r>
        <w:t>HTTP</w:t>
        <w:tab/>
        <w:t>Hypertext Transfer Protocol</w:t>
      </w:r>
    </w:p>
    <w:p>
      <w:pPr>
        <w:tabs>
          <w:tab w:pos="1417" w:val="left"/>
        </w:tabs>
        <w:ind w:firstLine="0"/>
        <w:jc w:val="left"/>
      </w:pPr>
      <w:r>
        <w:t>IA</w:t>
        <w:tab/>
        <w:t>Inteligência Artificial</w:t>
      </w:r>
    </w:p>
    <w:p>
      <w:pPr>
        <w:tabs>
          <w:tab w:pos="1417" w:val="left"/>
        </w:tabs>
        <w:ind w:firstLine="0"/>
        <w:jc w:val="left"/>
      </w:pPr>
      <w:r>
        <w:t>IEC</w:t>
        <w:tab/>
        <w:t>International Electrotechnical Commission</w:t>
      </w:r>
    </w:p>
    <w:p>
      <w:pPr>
        <w:tabs>
          <w:tab w:pos="1417" w:val="left"/>
        </w:tabs>
        <w:ind w:firstLine="0"/>
        <w:jc w:val="left"/>
      </w:pPr>
      <w:r>
        <w:t>ISO</w:t>
        <w:tab/>
        <w:t>International Organization for Standardization</w:t>
      </w:r>
    </w:p>
    <w:p>
      <w:pPr>
        <w:tabs>
          <w:tab w:pos="1417" w:val="left"/>
        </w:tabs>
        <w:ind w:firstLine="0"/>
        <w:jc w:val="left"/>
      </w:pPr>
      <w:r>
        <w:t>JSON</w:t>
        <w:tab/>
        <w:t>JavaScript Object Notation</w:t>
      </w:r>
    </w:p>
    <w:p>
      <w:pPr>
        <w:tabs>
          <w:tab w:pos="1417" w:val="left"/>
        </w:tabs>
        <w:ind w:firstLine="0"/>
        <w:jc w:val="left"/>
      </w:pPr>
      <w:r>
        <w:t>KPI</w:t>
        <w:tab/>
        <w:t>Key Performance Indicator</w:t>
      </w:r>
    </w:p>
    <w:p>
      <w:pPr>
        <w:tabs>
          <w:tab w:pos="1417" w:val="left"/>
        </w:tabs>
        <w:ind w:firstLine="0"/>
        <w:jc w:val="left"/>
      </w:pPr>
      <w:r>
        <w:t>MES</w:t>
        <w:tab/>
        <w:t>Manufacturing Execution System</w:t>
      </w:r>
    </w:p>
    <w:p>
      <w:pPr>
        <w:tabs>
          <w:tab w:pos="1417" w:val="left"/>
        </w:tabs>
        <w:ind w:firstLine="0"/>
        <w:jc w:val="left"/>
      </w:pPr>
      <w:r>
        <w:t>NBR</w:t>
        <w:tab/>
        <w:t>Norma Brasileira</w:t>
      </w:r>
    </w:p>
    <w:p>
      <w:pPr>
        <w:tabs>
          <w:tab w:pos="1417" w:val="left"/>
        </w:tabs>
        <w:ind w:firstLine="0"/>
        <w:jc w:val="left"/>
      </w:pPr>
      <w:r>
        <w:t>NIST</w:t>
        <w:tab/>
        <w:t>National Institute of Standards and Technology</w:t>
      </w:r>
    </w:p>
    <w:p>
      <w:pPr>
        <w:tabs>
          <w:tab w:pos="1417" w:val="left"/>
        </w:tabs>
        <w:ind w:firstLine="0"/>
        <w:jc w:val="left"/>
      </w:pPr>
      <w:r>
        <w:t>RBAC</w:t>
        <w:tab/>
        <w:t>Role-Based Access Control</w:t>
      </w:r>
    </w:p>
    <w:p>
      <w:pPr>
        <w:tabs>
          <w:tab w:pos="1417" w:val="left"/>
        </w:tabs>
        <w:ind w:firstLine="0"/>
        <w:jc w:val="left"/>
      </w:pPr>
      <w:r>
        <w:t>RM</w:t>
        <w:tab/>
        <w:t>Registro de Matrícula</w:t>
      </w:r>
    </w:p>
    <w:p>
      <w:pPr>
        <w:tabs>
          <w:tab w:pos="1417" w:val="left"/>
        </w:tabs>
        <w:ind w:firstLine="0"/>
        <w:jc w:val="left"/>
      </w:pPr>
      <w:r>
        <w:t>RMS</w:t>
        <w:tab/>
        <w:t>Root Mean Square</w:t>
      </w:r>
    </w:p>
    <w:p>
      <w:pPr>
        <w:tabs>
          <w:tab w:pos="1417" w:val="left"/>
        </w:tabs>
        <w:ind w:firstLine="0"/>
        <w:jc w:val="left"/>
      </w:pPr>
      <w:r>
        <w:t>RMF</w:t>
        <w:tab/>
        <w:t>Risk Management Framework</w:t>
      </w:r>
    </w:p>
    <w:p>
      <w:pPr>
        <w:tabs>
          <w:tab w:pos="1417" w:val="left"/>
        </w:tabs>
        <w:ind w:firstLine="0"/>
        <w:jc w:val="left"/>
      </w:pPr>
      <w:r>
        <w:t>SLI</w:t>
        <w:tab/>
        <w:t>Service Level Indicator</w:t>
      </w:r>
    </w:p>
    <w:p>
      <w:pPr>
        <w:tabs>
          <w:tab w:pos="1417" w:val="left"/>
        </w:tabs>
        <w:ind w:firstLine="0"/>
        <w:jc w:val="left"/>
      </w:pPr>
      <w:r>
        <w:t>SLO</w:t>
        <w:tab/>
        <w:t>Service Level Objective</w:t>
      </w:r>
    </w:p>
    <w:p>
      <w:pPr>
        <w:tabs>
          <w:tab w:pos="1417" w:val="left"/>
        </w:tabs>
        <w:ind w:firstLine="0"/>
        <w:jc w:val="left"/>
      </w:pPr>
      <w:r>
        <w:t>SQL</w:t>
        <w:tab/>
        <w:t>Structured Query Language</w:t>
      </w:r>
    </w:p>
    <w:p>
      <w:pPr>
        <w:tabs>
          <w:tab w:pos="1417" w:val="left"/>
        </w:tabs>
        <w:ind w:firstLine="0"/>
        <w:jc w:val="left"/>
      </w:pPr>
      <w:r>
        <w:t>SRE</w:t>
        <w:tab/>
        <w:t>Site Reliability Engineering</w:t>
      </w:r>
    </w:p>
    <w:p>
      <w:pPr>
        <w:tabs>
          <w:tab w:pos="1417" w:val="left"/>
        </w:tabs>
        <w:ind w:firstLine="0"/>
        <w:jc w:val="left"/>
      </w:pPr>
      <w:r>
        <w:t>UTC</w:t>
        <w:tab/>
        <w:t>Tempo Universal Coordenado</w:t>
      </w:r>
    </w:p>
    <w:p>
      <w:pPr>
        <w:tabs>
          <w:tab w:pos="1417" w:val="left"/>
        </w:tabs>
        <w:ind w:firstLine="0"/>
        <w:jc w:val="left"/>
      </w:pPr>
      <w:r>
        <w:t>UUID</w:t>
        <w:tab/>
        <w:t>Universally Unique Identifier</w:t>
      </w:r>
    </w:p>
    <w:p>
      <w:pPr>
        <w:tabs>
          <w:tab w:pos="1417" w:val="left"/>
        </w:tabs>
        <w:ind w:firstLine="0"/>
        <w:jc w:val="left"/>
      </w:pPr>
      <w:r>
        <w:t>YAML</w:t>
        <w:tab/>
        <w:t>YAML Ain't Markup Language</w:t>
      </w:r>
    </w:p>
    <w:p>
      <w:r>
        <w:br w:type="page"/>
      </w:r>
    </w:p>
    <w:p>
      <w:pPr>
        <w:pStyle w:val="Titulosemnumero"/>
      </w:pPr>
      <w:r>
        <w:rPr/>
        <w:t>SUMÁRIO</w:t>
      </w:r>
    </w:p>
    <w:p>
      <w:pPr>
        <w:ind w:firstLine="0" w:left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b/>
        </w:rPr>
        <w:t>1 INTRODUÇÃO</w:t>
      </w:r>
    </w:p>
    <w:p>
      <w:pPr>
        <w:ind w:firstLine="0" w:left="0"/>
        <w:jc w:val="left"/>
      </w:pPr>
      <w:r>
        <w:rPr>
          <w:b/>
        </w:rPr>
        <w:t>2 FUNDAMENTAÇÃO TEÓRICA</w:t>
      </w:r>
    </w:p>
    <w:p>
      <w:pPr>
        <w:ind w:firstLine="0" w:left="283"/>
        <w:jc w:val="left"/>
      </w:pPr>
      <w:r>
        <w:rPr/>
        <w:t>2.1 OBSERVABILIDADE</w:t>
      </w:r>
    </w:p>
    <w:p>
      <w:pPr>
        <w:ind w:firstLine="0" w:left="283"/>
        <w:jc w:val="left"/>
      </w:pPr>
      <w:r>
        <w:rPr/>
        <w:t>2.2 INDICADORES E OBJETIVOS DE NÍVEL DE SERVIÇO</w:t>
      </w:r>
    </w:p>
    <w:p>
      <w:pPr>
        <w:ind w:firstLine="0" w:left="283"/>
        <w:jc w:val="left"/>
      </w:pPr>
      <w:r>
        <w:rPr/>
        <w:t>2.3 QUALIDADE DE DADOS: FRESHNESS E COMPLETUDE</w:t>
      </w:r>
    </w:p>
    <w:p>
      <w:pPr>
        <w:ind w:firstLine="0" w:left="283"/>
        <w:jc w:val="left"/>
      </w:pPr>
      <w:r>
        <w:rPr/>
        <w:t>2.4 GOVERNANÇA DE IA E RASTREABILIDADE</w:t>
      </w:r>
    </w:p>
    <w:p>
      <w:pPr>
        <w:ind w:firstLine="0" w:left="0"/>
        <w:jc w:val="left"/>
      </w:pPr>
      <w:r>
        <w:rPr>
          <w:b/>
        </w:rPr>
        <w:t>3 ARQUITETURA E COLETA</w:t>
      </w:r>
    </w:p>
    <w:p>
      <w:pPr>
        <w:ind w:firstLine="0" w:left="283"/>
        <w:jc w:val="left"/>
      </w:pPr>
      <w:r>
        <w:rPr/>
        <w:t>3.1 DESENHO DA API</w:t>
      </w:r>
    </w:p>
    <w:p>
      <w:pPr>
        <w:ind w:firstLine="0" w:left="283"/>
        <w:jc w:val="left"/>
      </w:pPr>
      <w:r>
        <w:rPr/>
        <w:t>3.2 HEADERS DE CONTEXTO E CHAMADAS SEM HEADER</w:t>
      </w:r>
    </w:p>
    <w:p>
      <w:pPr>
        <w:ind w:firstLine="0" w:left="283"/>
        <w:jc w:val="left"/>
      </w:pPr>
      <w:r>
        <w:rPr/>
        <w:t>3.3 CAMPOS REGISTRADOS</w:t>
      </w:r>
    </w:p>
    <w:p>
      <w:pPr>
        <w:ind w:firstLine="0" w:left="283"/>
        <w:jc w:val="left"/>
      </w:pPr>
      <w:r>
        <w:rPr/>
        <w:t>3.4 ORIGEM DOS DADOS: HISTÓRICO REAL E COLETA SIMULADA</w:t>
      </w:r>
    </w:p>
    <w:p>
      <w:pPr>
        <w:ind w:firstLine="0" w:left="0"/>
        <w:jc w:val="left"/>
      </w:pPr>
      <w:r>
        <w:rPr>
          <w:b/>
        </w:rPr>
        <w:t>4 METRIC CONTRACT</w:t>
      </w:r>
    </w:p>
    <w:p>
      <w:pPr>
        <w:ind w:firstLine="0" w:left="0"/>
        <w:jc w:val="left"/>
      </w:pPr>
      <w:r>
        <w:rPr>
          <w:b/>
        </w:rPr>
        <w:t>5 BASELINES E LIMIARES</w:t>
      </w:r>
    </w:p>
    <w:p>
      <w:pPr>
        <w:ind w:firstLine="0" w:left="283"/>
        <w:jc w:val="left"/>
      </w:pPr>
      <w:r>
        <w:rPr/>
        <w:t>5.1 OBTENÇÃO DA BASELINE</w:t>
      </w:r>
    </w:p>
    <w:p>
      <w:pPr>
        <w:ind w:firstLine="0" w:left="283"/>
        <w:jc w:val="left"/>
      </w:pPr>
      <w:r>
        <w:rPr/>
        <w:t>5.2 LIMIARES E JUSTIFICATIVAS</w:t>
      </w:r>
    </w:p>
    <w:p>
      <w:pPr>
        <w:ind w:firstLine="0" w:left="0"/>
        <w:jc w:val="left"/>
      </w:pPr>
      <w:r>
        <w:rPr>
          <w:b/>
        </w:rPr>
        <w:t>6 CAMADA DE VISUALIZAÇÃO</w:t>
      </w:r>
    </w:p>
    <w:p>
      <w:pPr>
        <w:ind w:firstLine="0" w:left="0"/>
        <w:jc w:val="left"/>
      </w:pPr>
      <w:r>
        <w:rPr>
          <w:b/>
        </w:rPr>
        <w:t>7 PLANO DE RESPOSTA A VIOLAÇÕES</w:t>
      </w:r>
    </w:p>
    <w:p>
      <w:pPr>
        <w:ind w:firstLine="0" w:left="0"/>
        <w:jc w:val="left"/>
      </w:pPr>
      <w:r>
        <w:rPr>
          <w:b/>
        </w:rPr>
        <w:t>8 RESULTADOS</w:t>
      </w:r>
    </w:p>
    <w:p>
      <w:pPr>
        <w:ind w:firstLine="0" w:left="0"/>
        <w:jc w:val="left"/>
      </w:pPr>
      <w:r>
        <w:rPr>
          <w:b/>
        </w:rPr>
        <w:t>9 USO DE INTELIGÊNCIA ARTIFICIAL</w:t>
      </w:r>
    </w:p>
    <w:p>
      <w:pPr>
        <w:ind w:firstLine="0" w:left="0"/>
        <w:jc w:val="left"/>
      </w:pPr>
      <w:r>
        <w:rPr>
          <w:b/>
        </w:rPr>
        <w:t>10 CONCLUSÃO</w:t>
      </w:r>
    </w:p>
    <w:p>
      <w:pPr>
        <w:ind w:firstLine="0" w:left="0"/>
        <w:jc w:val="left"/>
      </w:pPr>
      <w:r>
        <w:rPr>
          <w:b/>
        </w:rPr>
        <w:t>REFERÊNCIAS</w:t>
      </w:r>
      <w:r>
        <w:fldChar w:fldCharType="end"/>
      </w:r>
    </w:p>
    <w:p>
      <w:pPr>
        <w:sectPr>
          <w:headerReference w:type="default" r:id="rId9"/>
          <w:pgSz w:w="11906" w:h="16838"/>
          <w:pgMar w:top="1701" w:right="1134" w:bottom="1134" w:left="1701" w:header="1134" w:footer="709" w:gutter="0"/>
          <w:pgNumType w:start="1"/>
          <w:cols w:space="720"/>
          <w:docGrid w:linePitch="360"/>
        </w:sectPr>
      </w:pPr>
    </w:p>
    <w:p>
      <w:pPr>
        <w:pStyle w:val="Heading1"/>
        <w:pageBreakBefore w:val="0"/>
      </w:pPr>
      <w:r>
        <w:t>1 INTRODUÇÃO</w:t>
      </w:r>
    </w:p>
    <w:p>
      <w:pPr/>
      <w:r>
        <w:rPr/>
        <w:t>O Forzy Digital Twin é a solução que o grupo vem desenvolvendo no Challenge da Forzy para acompanhar motores industriais a partir de leituras de sensores. O ativo de referência é um motor WEG W22 de 2,2 kW com dois sensores, S1 e S2, que medem velocidade de vibração, aceleração e temperatura. No forzy-api, um poller consulta os dois sensores a cada 10 s e grava as leituras no banco; o provider de Sensores devolve a leitura mais recente e o histórico de cada um. Essas leituras alimentam a classificação de severidade mostrada ao operador e os modelos de IA do gêmeo digital (Isolation Forest e LSTM Autoencoder).</w:t>
      </w:r>
    </w:p>
    <w:p>
      <w:pPr/>
      <w:r>
        <w:rPr/>
        <w:t>Até este checkpoint o provider não deixava rastro de uso. Não era possível responder quem consultou uma tag, a partir de qual tela, quanto tempo a resposta levou ou se o dado entregue já estava velho. Sem esse registro não há como auditar o comportamento do serviço nem perceber que um coletor parou antes que alguém tome decisão com base numa leitura antiga.</w:t>
      </w:r>
    </w:p>
    <w:p>
      <w:pPr/>
      <w:r>
        <w:rPr/>
        <w:t>O objetivo do trabalho é definir um contrato mínimo de observabilidade para o endpoint de sensores e verificar, com os registros efetivamente coletados pelo back-end, se esse contrato está sendo cumprido. Para isso o grupo construiu a API em FastAPI, um middleware de registro, uma interface em Streamlit, um gerador de tráfego e um script de análise que compara os números medidos com os limiares definidos.</w:t>
      </w:r>
    </w:p>
    <w:p>
      <w:pPr/>
      <w:r>
        <w:rPr/>
        <w:t>O escopo segue o enunciado do checkpoint e fica menor que o da Sprint 4. Só o provider de Sensores (leitura atual e histórico) foi exposto, sem autenticação e sem migrar os providers de Equipamentos e Plantas. Os valores servidos são o histórico real dos sensores e só a coleta é simulada, como explica a seção 3.4. Os limiares de condição do motor e as regras de qualidade de dado foram herdados do Metric Contract da Sprint 3 (GOMES et al., 2026), e este checkpoint acrescenta a camada que faltava: medir a própria API e o dado que ela entrega. O tema também deve entrar no próximo entregável do Challenge, como recomenda o enunciado. O código completo (back-end, front-end, scripts, análise e o gerador deste documento) está em https://github.com/MathCG19/forzy-observabilidade.</w:t>
      </w:r>
    </w:p>
    <w:p>
      <w:pPr/>
      <w:r>
        <w:rPr/>
        <w:t>O documento está organizado assim: a seção 2 traz os conceitos usados; a seção 3 descreve a arquitetura e o que é registrado; as seções 4 a 7 apresentam o metric contract, as baselines e limiares, a camada de visualização e o plano de resposta; a seção 8 mostra os resultados medidos; a seção 9 relata o uso de IA no trabalho e a seção 10 traz a conclusão do grupo.</w:t>
      </w:r>
    </w:p>
    <w:p>
      <w:pPr>
        <w:pStyle w:val="Heading1"/>
      </w:pPr>
      <w:r>
        <w:t>2 FUNDAMENTAÇÃO TEÓRICA</w:t>
      </w:r>
    </w:p>
    <w:p>
      <w:pPr>
        <w:pStyle w:val="Heading2"/>
      </w:pPr>
      <w:r>
        <w:t>2.1 Observabilidade</w:t>
      </w:r>
    </w:p>
    <w:p>
      <w:pPr/>
      <w:r>
        <w:rPr/>
        <w:t>A documentação do OpenTelemetry define observabilidade como a capacidade de entender um sistema pelo lado de fora, fazendo perguntas sobre ele sem conhecer seu funcionamento interno, e coloca os sinais emitidos pela aplicação (traces, métricas e logs) como matéria-prima dessas perguntas (OPENTELEMETRY, 2026). O registro por chamada deste trabalho é um log estruturado: cada linha tem campos fixos que podem ser filtrados e agregados depois.</w:t>
      </w:r>
    </w:p>
    <w:p>
      <w:pPr/>
      <w:r>
        <w:rPr/>
        <w:t>No capítulo sobre monitoramento de sistemas distribuídos, Beyer et al. (2016) propõem quatro sinais para começar a monitorar qualquer serviço voltado ao usuário: latência, tráfego, erros e saturação. Os três primeiros aparecem diretamente no contrato (latência em percentis, volume por minuto e taxas de erro). Saturação ficou de fora porque a API roda num único processo local e não há recurso compartilhado relevante para medir neste escopo.</w:t>
      </w:r>
    </w:p>
    <w:p>
      <w:pPr>
        <w:pStyle w:val="Heading2"/>
      </w:pPr>
      <w:r>
        <w:t>2.2 Indicadores e objetivos de nível de serviço</w:t>
      </w:r>
    </w:p>
    <w:p>
      <w:pPr/>
      <w:r>
        <w:rPr/>
        <w:t>Beyer et al. (2016) distinguem o indicador de nível de serviço (SLI), que é uma medida quantitativa de algum aspecto do serviço, do objetivo de nível de serviço (SLO), que é o valor ou faixa desejada para esse indicador. Os autores recomendam trabalhar com percentis em vez de média para latência, porque a média esconde a cauda lenta que o usuário de fato sente, e sugerem tratar a diferença entre 100% e a meta como uma margem de erro (error budget) que pode ser gasta. O contrato usa essa linguagem: cada indicador é um SLI, os limiares de alerta e crítico funcionam como dois níveis de SLO, e a meta de disponibilidade foi escolhida pensando na margem mensal que ela deixa.</w:t>
      </w:r>
    </w:p>
    <w:p>
      <w:pPr>
        <w:pStyle w:val="Heading2"/>
      </w:pPr>
      <w:r>
        <w:t>2.3 Qualidade de dados: freshness e completude</w:t>
      </w:r>
    </w:p>
    <w:p>
      <w:pPr/>
      <w:r>
        <w:rPr/>
        <w:t>A ISO/IEC 25012 descreve um modelo de qualidade de dados com quinze características. Duas delas guiam os indicadores de dado deste trabalho. Completude é o grau em que os dados têm valores para todos os atributos esperados num contexto de uso. Atualidade (currentness) é o grau em que os dados têm a idade certa para aquele contexto (INTERNATIONAL ORGANIZATION FOR STANDARDIZATION, 2008). No vocabulário de engenharia de dados a atualidade costuma ser chamada de freshness, termo usado no restante do texto.</w:t>
      </w:r>
    </w:p>
    <w:p>
      <w:pPr/>
      <w:r>
        <w:rPr/>
        <w:t>Para um gêmeo digital, uma leitura com dez minutos de atraso pode ter valor normal e esconder um equipamento já em falha. Por isso o contrato mede a idade de cada leitura entregue e não só se a API respondeu.</w:t>
      </w:r>
    </w:p>
    <w:p>
      <w:pPr/>
      <w:r>
        <w:rPr/>
        <w:t>A severidade de cada leitura segue a ISO 10816-1, que divide a velocidade de vibração RMS em zonas de A a D conforme a classe da máquina (INTERNATIONAL ORGANIZATION FOR STANDARDIZATION, 1995). O motor de 2,2 kW é Classe I, e o Metric Contract da Sprint 3 adotou 1,8 mm/s (início da zona C) como atenção e 4,5 mm/s (zona D) como crítico, além de 70 °C e 90 °C para temperatura e 2 g e 4 g para aceleração (GOMES et al., 2026). Cabe uma ressalva: a ISO 10816-1 foi substituída pela ISO 20816-1 em 2016, e uma revisão futura do contrato deveria conferir os limiares na norma vigente.</w:t>
      </w:r>
    </w:p>
    <w:p>
      <w:pPr>
        <w:pStyle w:val="Heading2"/>
      </w:pPr>
      <w:r>
        <w:t>2.4 Governança de IA e rastreabilidade</w:t>
      </w:r>
    </w:p>
    <w:p>
      <w:pPr/>
      <w:r>
        <w:rPr/>
        <w:t>O NIST AI RMF 1.0 organiza a gestão de riscos de IA em quatro funções (Govern, Map, Measure e Manage) e lista características de sistemas confiáveis, entre elas ser responsabilizável e transparente (accountable and transparent). A função Measure trata de acompanhar o sistema com métricas definidas e documentadas, e a Manage trata da resposta quando um risco se concretiza (NATIONAL INSTITUTE OF STANDARDS AND TECHNOLOGY, 2023). O metric contract cobre as duas: define o que medir e diz o que fazer quando o limiar estoura.</w:t>
      </w:r>
    </w:p>
    <w:p>
      <w:pPr/>
      <w:r>
        <w:rPr/>
        <w:t>A ISO/IEC 42001 especifica requisitos para um sistema de gestão de IA dentro da organização, com políticas, objetivos e processos para desenvolver ou usar sistemas de IA de forma responsável (INTERNATIONAL ORGANIZATION FOR STANDARDIZATION, 2023). Este checkpoint não pretende atender a norma, mas os registros de uso e o plano de resposta são o tipo de evidência que um processo desses pede.</w:t>
      </w:r>
    </w:p>
    <w:p>
      <w:pPr/>
      <w:r>
        <w:rPr/>
        <w:t>Sculley et al. (2015) mostram que, em sistemas de aprendizado de máquina reais, o código do modelo é uma parte pequena do total e boa parte da dívida técnica está nas dependências de dados e nos consumidores não declarados de um serviço. O header X-Feature ataca exatamente esse segundo ponto: toda funcionalidade que consome a API passa a se identificar, e um consumidor sem identificação aparece no relatório como ausente.</w:t>
      </w:r>
    </w:p>
    <w:p>
      <w:pPr>
        <w:pStyle w:val="Heading1"/>
      </w:pPr>
      <w:r>
        <w:t>3 ARQUITETURA E COLETA</w:t>
      </w:r>
    </w:p>
    <w:p>
      <w:pPr>
        <w:pStyle w:val="Heading2"/>
      </w:pPr>
      <w:r>
        <w:t>3.1 Desenho da API</w:t>
      </w:r>
    </w:p>
    <w:p>
      <w:pPr/>
      <w:r>
        <w:rPr/>
        <w:t>A API foi escrita em FastAPI e tem duas famílias de rotas. As de sensores são GET /v1/sensores (lista de tags), GET /v1/sensores/{tag}/leitura-atual e GET /v1/sensores/{tag}/historico, que aceita os parâmetros inicio, fim e limite. As de observabilidade são GET /v1/observabilidade, com filtros por feature, session_id, desde e limite, e GET /v1/observabilidade/resumo, que devolve os indicadores já calculados e o status de cada um frente ao contrato. Os parâmetros são validados com Pydantic. Tag inexistente devolve 404 com mensagem indicando a rota que lista as tags válidas, e intervalo inválido devolve 422.</w:t>
      </w:r>
    </w:p>
    <w:p>
      <w:pPr/>
      <w:r>
        <w:rPr/>
        <w:t>A leitura atual devolve, para S1 ou S2, a velocidade de vibração (mm/s), a aceleração (g), a temperatura (°C), o timestamp da leitura, a severidade de cada grandeza e a geral (a pior das três), se o motor está ligado (vibração a partir de 0,3 mm/s), a idade do dado em segundos e um campo offline, verdadeiro quando a idade passa de 30 s. Esse campo implementa na API o circuit breaker da Sprint 3, que proíbe decidir pelo último valor quando o sensor está offline. A Figura 1 resume o fluxo.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- Arquitetura da solução e fluxo do registro de observabilidade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6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/>
      <w:r>
        <w:rPr/>
        <w:t>O middleware, registrado com o decorador de middleware HTTP do FastAPI, envolve só as rotas que começam com /v1/sensores. Ele mede a latência com time.perf_counter, como sugere a própria documentação do framework (FASTAPI, 2026), e grava uma linha na tabela chamadas do SQLite depois que a resposta fica pronta. As rotas de observabilidade não são registradas para que a consulta aos registros não altere os indicadores do endpoint observado. Se a gravação falhar, o erro vai para o log e a requisição segue, porque a observabilidade não pode derrubar o serviço que observa.</w:t>
      </w:r>
    </w:p>
    <w:p>
      <w:pPr>
        <w:pStyle w:val="Heading2"/>
      </w:pPr>
      <w:r>
        <w:t>3.2 Headers de contexto e chamadas sem header</w:t>
      </w:r>
    </w:p>
    <w:p>
      <w:pPr/>
      <w:r>
        <w:rPr/>
        <w:t>Todo cliente da API deve enviar dois headers. X-Session-Id identifica a sessão: a interface Streamlit gera um UUID por sessão do navegador e guarda no session_state (STREAMLIT, 2026), e o script de consumo gera um por execução. X-Feature identifica a funcionalidade de origem, com valores como tela-leitura-atual, tela-historico, tela-observabilidade e script-historico. O forzy-api já gravava um session_id fixo (poller) na tabela de leituras brutas; aqui o identificador passa a vir de quem consulta.</w:t>
      </w:r>
    </w:p>
    <w:p>
      <w:pPr/>
      <w:r>
        <w:rPr/>
        <w:t>O grupo decidiu não rejeitar chamadas sem esses headers. A chamada é atendida e o campo que faltou é gravado como ausente, com headers_completos igual a falso. Se a API respondesse 400, o cliente problemático deixaria de aparecer nos registros e a cobertura de headers ficaria artificialmente em 100%, justamente o indicador que precisa revelar o problema. Atendendo e registrando, dá para medir a cobertura e achar o cliente pelo user agent. O contrato prevê endurecer a regra (passar a recusar) se a cobertura ficar abaixo do limiar crítico por mais de uma sprint.</w:t>
      </w:r>
    </w:p>
    <w:p>
      <w:pPr>
        <w:pStyle w:val="Heading2"/>
      </w:pPr>
      <w:r>
        <w:t>3.3 Campos registrados</w:t>
      </w:r>
    </w:p>
    <w:p>
      <w:pPr/>
      <w:r>
        <w:rPr/>
        <w:t>O Quadro 1 lista os campos gravados em cada chamada. Os campos de domínio (idade do dado, completude, intervalos) são calculados pela rota e passados ao middleware pelo request.state, então o middleware não precisa ler o corpo da resposta.</w:t>
      </w:r>
    </w:p>
    <w:p>
      <w:pPr>
        <w:pStyle w:val="LegendaABNT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- Campos do registro de observabilidade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3118"/>
          </w:tcPr>
          <w:p>
            <w:pPr>
              <w:pStyle w:val="Celula"/>
            </w:pPr>
            <w:r>
              <w:rPr>
                <w:b/>
              </w:rPr>
              <w:t>Campo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rPr>
                <w:b/>
              </w:rPr>
              <w:t>Conteúdo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id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Sequencial do registro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timestamp_utc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Instante da resposta, ISO 8601 em UTC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session_id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Valor de X-Session-Id ou ausente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feature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Valor de X-Feature ou ausente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headers_completos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Verdadeiro se os dois headers vieram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metodo, rota, tag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Método HTTP, template da rota e tag consultada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status_code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Código HTTP devolvido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latencia_ms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Tempo dentro da API, medido com time.perf_counter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idade_dado_s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Leitura atual: segundos entre a leitura do sensor e a resposta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completude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Proporção de campos não nulos no payload, de 0 a 1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qtd_registros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Histórico: quantidade de leituras devolvidas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intervalo_medio_s, intervalo_max_s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Histórico: intervalo médio e maior intervalo entre leituras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severidade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Leitura atual: severidade devolvida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tamanho_resposta_bytes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Tamanho do corpo da resposta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erro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Mensagem de erro quando o status é 4xx ou 5xx</w:t>
            </w:r>
          </w:p>
        </w:tc>
      </w:tr>
      <w:tr>
        <w:tc>
          <w:tcPr>
            <w:tcW w:type="dxa" w:w="3118"/>
          </w:tcPr>
          <w:p>
            <w:pPr>
              <w:pStyle w:val="Celula"/>
            </w:pPr>
            <w:r>
              <w:t>user_agent</w:t>
            </w:r>
          </w:p>
        </w:tc>
        <w:tc>
          <w:tcPr>
            <w:tcW w:type="dxa" w:w="5669"/>
          </w:tcPr>
          <w:p>
            <w:pPr>
              <w:pStyle w:val="Celula"/>
            </w:pPr>
            <w:r>
              <w:t>Header User-Agent do cliente</w:t>
            </w:r>
          </w:p>
        </w:tc>
      </w:tr>
    </w:tbl>
    <w:p>
      <w:pPr>
        <w:pStyle w:val="FonteABNT"/>
      </w:pPr>
      <w:r>
        <w:rPr/>
        <w:t>Fonte: elaborado pelos autores (2026).</w:t>
      </w:r>
    </w:p>
    <w:p>
      <w:pPr>
        <w:pStyle w:val="Heading2"/>
      </w:pPr>
      <w:r>
        <w:t>3.4 Origem dos dados: histórico real e coleta simulada</w:t>
      </w:r>
    </w:p>
    <w:p>
      <w:pPr/>
      <w:r>
        <w:rPr/>
        <w:t>Os sensores da Forzy hoje devolvem dado zerado, defeito confirmado pelo fabricante, e nos dias em que funcionaram mandaram cerca de 10 minutos de dados no total (GOMES et al., 2026). Por isso o provider deste checkpoint usa o mesmo recurso do modo demonstração do forzy-api: o histórico real exportado do mestre IO-Link em 19/05/2026, com 7.183 linhas e 3,95 horas de velocidade, aceleração e temperatura das portas 1 (S1) e 2 (S2). O arquivo foi copiado sem alteração para o repositório.</w:t>
      </w:r>
    </w:p>
    <w:p>
      <w:pPr/>
      <w:r>
        <w:rPr/>
        <w:t>O registrador do IO-Link grava uma linha quando o valor muda, então com o motor parado aparecem intervalos de até 228 s sem linha, que não são falha de coleta. Para não confundir as duas coisas, o provider imita o pipeline real: a cada 10 s um poller lê o último valor de cada sensor, como faz o forzy_poller.py, e grava a leitura. O histórico é repetido em laço sobre o relógio atual, a partir de um ponto configurável (padrão 13:38, ajustável pela variável FORZY_REPLAY_INICIO), e valores fora da faixa física válida da Sprint 3 são anulados.</w:t>
      </w:r>
    </w:p>
    <w:p>
      <w:pPr/>
      <w:r>
        <w:rPr/>
        <w:t>O que é simulado é a coleta e o custo da consulta. Em cada janela de 4 minutos há 10% de chance de o endpoint dos sensores ficar fora do ar por 1 a 7 minutos, derrubando S1 e S2 juntos, e 2% dos polls se perdem individualmente. A consulta ao banco tem latência variável, com 2% de consultas lentas (250 a 600 ms a mais), e falha com 0,4% de probabilidade, o que gera 503. Com isso os indicadores de dado têm o que medir, e os valores do motor, que alimentam a severidade, continuam sendo os medidos de fato.</w:t>
      </w:r>
    </w:p>
    <w:p>
      <w:pPr>
        <w:pStyle w:val="Heading1"/>
      </w:pPr>
      <w:r>
        <w:t>4 METRIC CONTRACT</w:t>
      </w:r>
    </w:p>
    <w:p>
      <w:pPr/>
      <w:r>
        <w:rPr/>
        <w:t>O Metric Contract da Sprint 3 normatizou a interpretação dos sensores: limiares de vibração, temperatura e aceleração, faixas físicas válidas e o circuit breaker para dado offline ou lacuna. O contrato deste checkpoint parte dele e cobre o que ficou de fora: o comportamento da API e a qualidade do dado no momento em que é entregue a quem consulta. Ele fica no arquivo governanca/metric_contract.yaml, versionado junto com o código. Para cada indicador ele traz nome, definição, fórmula, campo de origem no registro, janela de medição, unidade, direção (se valor maior ou menor é pior), baseline, limiar de alerta, limiar crítico, justificativa, visualização recomendada, ação em cada nível e responsável. O mesmo arquivo é lido pela rota de resumo da API, pela interface e pelo script de análise, então mudar um limiar no YAML muda o status em todos os lugares.</w:t>
      </w:r>
    </w:p>
    <w:p>
      <w:pPr/>
      <w:r>
        <w:rPr/>
        <w:t>Foram mapeados 16 indicadores. Desses, 14 têm limiares; uso por funcionalidade e sessões únicas são indicadores de contexto, sem limiar, que ajudam a explicar variações nos outros. O Quadro 2 mostra a definição e a fórmula de cada um.</w:t>
      </w:r>
    </w:p>
    <w:p>
      <w:pPr>
        <w:pStyle w:val="LegendaABNT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2</w:t>
      </w:r>
      <w:r>
        <w:fldChar w:fldCharType="end"/>
      </w:r>
      <w:r>
        <w:t xml:space="preserve"> - Indicadores do metric contract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587"/>
          </w:tcPr>
          <w:p>
            <w:pPr>
              <w:pStyle w:val="Celula"/>
            </w:pPr>
            <w:r>
              <w:rPr>
                <w:b/>
              </w:rPr>
              <w:t>Indicador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/>
              </w:rPr>
              <w:t>Definição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rPr>
                <w:b/>
              </w:rPr>
              <w:t>Fórmula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rPr>
                <w:b/>
              </w:rPr>
              <w:t>Campo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rPr>
                <w:b/>
              </w:rPr>
              <w:t>Janela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Latência p95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Tempo de resposta abaixo do qual ficam 95% das chamadas.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percentil 95 de latencia_ms, interpolação linear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latencia_ms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5 minutos, deslizante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Latência p50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Mediana do tempo de resposta.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percentil 50 de latencia_ms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latencia_ms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5 minutos, deslizante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Latência p99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Tempo de resposta abaixo do qual ficam 99% das chamadas.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percentil 99 de latencia_ms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latencia_ms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15 minutos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Taxa de erro 5xx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Percentual de chamadas que falharam do lado do servidor.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chamadas com status &gt;= 500 / total de chamadas x 100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status_code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15 minutos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Taxa de erro 4xx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Percentual de chamadas recusadas por erro do cliente (tag inexistente, parâmetro inválido).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chamadas com 400 &lt;= status &lt; 500 / total x 100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status_code, erro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 hora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Disponibilidade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Percentual de chamadas atendidas sem erro de servidor.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chamadas com status &lt; 500 / total x 100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status_code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30 dias para o SLO, 1 hora para acompanhamento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Freshness (idade do dado)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Atraso entre o instante da leitura do sensor e o instante em que a API a devolveu.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percentil 95 de idade_dado_s nas chamadas de leitura atual com status 200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idade_dado_s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15 minutos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Taxa de completude de freshness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Percentual de leituras atuais entregues dentro do prazo de 30 s (sensor online).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leituras com idade_dado_s &lt;= 30 / leituras atuais com status 200 x 100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idade_dado_s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 hora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Completude do payload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Proporção média de campos preenchidos (não nulos) nas respostas.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média de completude, onde completude = campos não nulos / campos esperados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completude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 hora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Tempo de atualização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Intervalo médio entre leituras consecutivas devolvidas pelo histórico.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média de intervalo_medio_s nas chamadas de histórico com status 200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intervalo_medio_s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 hora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Maior lacuna no histórico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Maior intervalo sem leitura observado nas respostas de histórico.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máximo de intervalo_max_s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intervalo_max_s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 hora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Cobertura de headers (rastreabilidade)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Percentual de chamadas que trouxeram X-Session-Id e X-Feature.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chamadas com headers_completos = true / total x 100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headers_completos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 dia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Volume (throughput)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Chamadas por minuto no período.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total de chamadas / duração do período em minutos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timestamp_utc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5 minutos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Uso por funcionalidade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Quantidade de chamadas por valor de X-Feature.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contagem agrupada por feature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feature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 dia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Sessões únicas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Quantidade de valores distintos de X-Session-Id, sem contar "ausente".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contagem distinta de session_id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session_id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 dia</w:t>
            </w:r>
          </w:p>
        </w:tc>
      </w:tr>
      <w:tr>
        <w:tc>
          <w:tcPr>
            <w:tcW w:type="dxa" w:w="1587"/>
          </w:tcPr>
          <w:p>
            <w:pPr>
              <w:pStyle w:val="Celula"/>
            </w:pPr>
            <w:r>
              <w:t>Proporção de leituras críticas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Percentual de leituras atuais com severidade crítica (zona D da ISO 10816-1 ou temperatura acima de 90 °C).</w:t>
            </w:r>
          </w:p>
        </w:tc>
        <w:tc>
          <w:tcPr>
            <w:tcW w:type="dxa" w:w="2381"/>
          </w:tcPr>
          <w:p>
            <w:pPr>
              <w:pStyle w:val="Celula"/>
            </w:pPr>
            <w:r>
              <w:t>leituras atuais com severidade = critico / leituras atuais com status 200 x 100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severidade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 hora</w:t>
            </w:r>
          </w:p>
        </w:tc>
      </w:tr>
    </w:tbl>
    <w:p>
      <w:pPr>
        <w:pStyle w:val="FonteABNT"/>
      </w:pPr>
      <w:r>
        <w:rPr/>
        <w:t>Fonte: elaborado pelos autores (2026).</w:t>
      </w:r>
    </w:p>
    <w:p>
      <w:pPr/>
      <w:r>
        <w:rPr/>
        <w:t>Alguns indicadores do enunciado precisaram de interpretação. Tempo de atualização foi entendido como o intervalo entre leituras consecutivas que o histórico devolve, e por isso só existe nas chamadas de histórico. Taxa de completude de freshness foi entendida como a fração de leituras atuais entregues dentro do prazo de 30 s, o critério de sensor online da Sprint 3, que complementa o p95 da idade: o p95 mostra o tamanho do atraso na cauda e a taxa mostra com que frequência o sensor estava offline. A cobertura mínima de cinco leituras válidas em 5 minutos, também da Sprint 3, aparece aqui pelo tempo de atualização e pela maior lacuna, e a faixa física válida aparece pela completude.</w:t>
      </w:r>
    </w:p>
    <w:p>
      <w:pPr>
        <w:pStyle w:val="Heading1"/>
      </w:pPr>
      <w:r>
        <w:t>5 BASELINES E LIMIARES</w:t>
      </w:r>
    </w:p>
    <w:p>
      <w:pPr>
        <w:pStyle w:val="Heading2"/>
      </w:pPr>
      <w:r>
        <w:t>5.1 Obtenção da baseline</w:t>
      </w:r>
    </w:p>
    <w:p>
      <w:pPr/>
      <w:r>
        <w:rPr/>
        <w:t>A baseline foi calculada sobre registros reais gravados pela API, gerados pelo script scripts/gerar_trafego.py no cenário baseline. Esse cenário simula o uso normal: seis sessões da interface, todas com os dois headers, só os sensores S1 e S2 e uma chamada por vez. A API foi iniciada logo antes, com o replay no trecho das 13:38 do histórico, então a baseline coincidiu com o motor parado e a avaliação pegou a partida das 13:44 e a operação plena que vem depois. A execução ocorreu em 05/10/2026, das 00:54:44 às 00:59:43 (UTC), e produziu 300 registros. As falhas do provider simulado (perda de amostra, parada do endpoint, 503 ocasional) continuaram ativas, porque fazem parte da operação normal da coleta. O que o cenário baseline não tem são os problemas de cliente.</w:t>
      </w:r>
    </w:p>
    <w:p>
      <w:pPr/>
      <w:r>
        <w:rPr/>
        <w:t>Em seguida rodamos o cenário avaliacao, das 00:59:44 às 01:07:42, com 600 chamadas e concorrência 3. Nele entram, além das telas, uma integração com o MES que faz polling da leitura atual, um cliente legado sem headers, chamadas com só um header, consultas a sensores inexistentes e parâmetros fora da faixa. A conformidade da seção 8 é medida sobre esse segundo período. O script governanca/analise.py separa as duas janelas pelo arquivo data/execucoes.json e, com a opção --gravar-baseline, escreve os valores medidos no próprio contrato.</w:t>
      </w:r>
    </w:p>
    <w:p>
      <w:pPr/>
      <w:r>
        <w:rPr/>
        <w:t>Há uma limitação: são poucos minutos de tráfego sintético num computador pessoal. A baseline serve para mostrar o método e calibrar a ordem de grandeza dos limiares; em produção ela precisaria ser recalculada sobre semanas de uso real, separando turnos.</w:t>
      </w:r>
    </w:p>
    <w:p>
      <w:pPr>
        <w:pStyle w:val="Heading2"/>
      </w:pPr>
      <w:r>
        <w:t>5.2 Limiares e justificativas</w:t>
      </w:r>
    </w:p>
    <w:p>
      <w:pPr/>
      <w:r>
        <w:rPr/>
        <w:t>Os limiares foram definidos antes de olhar os resultados da avaliação, a partir de três referências: a experiência do operador na interface (tempo de resposta percebido), as regras de qualidade de dado do Metric Contract da Sprint 3 (poll de 10 s, offline acima de 30 s, janela de diagnóstico de 5 minutos) e a prática de SLO descrita por Beyer et al. (2016). A Tabela 1 mostra a baseline medida ao lado dos dois níveis de limiar.</w:t>
      </w:r>
    </w:p>
    <w:p>
      <w:pPr>
        <w:pStyle w:val="LegendaABNT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- Baseline medida e limiares por indicador</w:t>
      </w:r>
    </w:p>
    <w:tbl>
      <w:tblPr>
        <w:tblW w:type="auto" w:w="0"/>
        <w:jc w:val="center"/>
        <w:tblBorders>
          <w:top w:val="single" w:sz="6" w:color="000000"/>
          <w:left w:val="nil"/>
          <w:bottom w:val="single" w:sz="6" w:color="000000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3061"/>
            <w:tcBorders>
              <w:bottom w:val="single" w:sz="6" w:color="000000"/>
            </w:tcBorders>
          </w:tcPr>
          <w:p>
            <w:pPr>
              <w:pStyle w:val="Celula"/>
            </w:pPr>
            <w:r>
              <w:rPr>
                <w:b/>
              </w:rPr>
              <w:t>Indicador</w:t>
            </w:r>
          </w:p>
        </w:tc>
        <w:tc>
          <w:tcPr>
            <w:tcW w:type="dxa" w:w="1361"/>
            <w:tcBorders>
              <w:bottom w:val="single" w:sz="6" w:color="000000"/>
            </w:tcBorders>
          </w:tcPr>
          <w:p>
            <w:pPr>
              <w:pStyle w:val="Celula"/>
            </w:pPr>
            <w:r>
              <w:rPr>
                <w:b/>
              </w:rPr>
              <w:t>Unidade</w:t>
            </w:r>
          </w:p>
        </w:tc>
        <w:tc>
          <w:tcPr>
            <w:tcW w:type="dxa" w:w="1361"/>
            <w:tcBorders>
              <w:bottom w:val="single" w:sz="6" w:color="000000"/>
            </w:tcBorders>
          </w:tcPr>
          <w:p>
            <w:pPr>
              <w:pStyle w:val="Celula"/>
            </w:pPr>
            <w:r>
              <w:rPr>
                <w:b/>
              </w:rPr>
              <w:t>Baseline</w:t>
            </w:r>
          </w:p>
        </w:tc>
        <w:tc>
          <w:tcPr>
            <w:tcW w:type="dxa" w:w="1701"/>
            <w:tcBorders>
              <w:bottom w:val="single" w:sz="6" w:color="000000"/>
            </w:tcBorders>
          </w:tcPr>
          <w:p>
            <w:pPr>
              <w:pStyle w:val="Celula"/>
            </w:pPr>
            <w:r>
              <w:rPr>
                <w:b/>
              </w:rPr>
              <w:t>Alerta</w:t>
            </w:r>
          </w:p>
        </w:tc>
        <w:tc>
          <w:tcPr>
            <w:tcW w:type="dxa" w:w="1701"/>
            <w:tcBorders>
              <w:bottom w:val="single" w:sz="6" w:color="000000"/>
            </w:tcBorders>
          </w:tcPr>
          <w:p>
            <w:pPr>
              <w:pStyle w:val="Celula"/>
            </w:pPr>
            <w:r>
              <w:rPr>
                <w:b/>
              </w:rPr>
              <w:t>Crítico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Latência p95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ms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50,55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250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1.000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Latência p50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ms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17,61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80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300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Latência p99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ms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120,56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800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2.000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Taxa de erro 5xx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%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0,00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0,5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1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Taxa de erro 4xx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%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0,00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3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8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Disponibilidade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%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100,00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&lt; 99,5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&lt; 99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Freshness (idade do dado)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9,90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30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300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Taxa de completude de freshness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%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100,00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&lt; 95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&lt; 90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Completude do payload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%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100,00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&lt; 98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&lt; 95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Tempo de atualização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10,40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12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15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Maior lacuna no histórico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160,00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30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300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Cobertura de headers (rastreabilidade)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%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100,00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&lt; 95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&lt; 90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Volume (throughput)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chamadas/min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60,20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50% da baseline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20% da baseline</w:t>
            </w:r>
          </w:p>
        </w:tc>
      </w:tr>
      <w:tr>
        <w:tc>
          <w:tcPr>
            <w:tcW w:type="dxa" w:w="3061"/>
          </w:tcPr>
          <w:p>
            <w:pPr>
              <w:pStyle w:val="Celula"/>
            </w:pPr>
            <w:r>
              <w:t>Proporção de leituras críticas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%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0,00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5</w:t>
            </w:r>
          </w:p>
        </w:tc>
        <w:tc>
          <w:tcPr>
            <w:tcW w:type="dxa" w:w="1701"/>
          </w:tcPr>
          <w:p>
            <w:pPr>
              <w:pStyle w:val="Celula"/>
            </w:pPr>
            <w:r>
              <w:t>&gt; 10</w:t>
            </w:r>
          </w:p>
        </w:tc>
      </w:tr>
    </w:tbl>
    <w:p>
      <w:pPr>
        <w:pStyle w:val="FonteABNT"/>
      </w:pPr>
      <w:r>
        <w:rPr/>
        <w:t>Fonte: elaborado pelos autores (2026).</w:t>
      </w:r>
    </w:p>
    <w:p>
      <w:pPr/>
      <w:r>
        <w:rPr/>
        <w:t>Latência. Na interface cada interação dispara até três chamadas. Com p95 de 250 ms por chamada a soma fica abaixo de 1 s, faixa em que a resposta ainda parece imediata; acima de 1 s por chamada a tela trava de forma visível. A baseline de p95 ficou em 50,5 ms, bem abaixo do alerta, o que é esperado num ambiente local. O p99 tem janela de 15 minutos porque, com poucas chamadas, o p99 de 5 minutos oscila demais.</w:t>
      </w:r>
    </w:p>
    <w:p>
      <w:pPr/>
      <w:r>
        <w:rPr/>
        <w:t>Erros e disponibilidade. A meta de 99,5% deixa cerca de 3,6 horas de margem por mês, aceitável para um painel de apoio à manutenção que não comanda equipamento. Abaixo de 99% o problema deixa de ser pontual. O 4xx foi separado do 5xx porque a causa e o responsável mudam: 4xx quase sempre é cliente montando a URL errada, e a interface só oferece tags válidas, então 3% já é anormal.</w:t>
      </w:r>
    </w:p>
    <w:p>
      <w:pPr/>
      <w:r>
        <w:rPr/>
        <w:t>Freshness e tempo de atualização. Com poll a cada 10 s, uma leitura saudável tem até cerca de 11 s de idade. O alerta em 30 s é o critério de sensor offline da Sprint 3, e o crítico em 300 s corresponde a uma janela de diagnóstico de 5 minutos inteira sem dado novo. Para o intervalo entre leituras, a média 20% acima do nominal (12 s) indica perda frequente de polls; com 15 s, uma em cada três leituras se perdeu. A maior lacuna usa os mesmos 30 s e 300 s.</w:t>
      </w:r>
    </w:p>
    <w:p>
      <w:pPr/>
      <w:r>
        <w:rPr/>
        <w:t>Completude e cobertura. A completude tolera 2% de campos faltando antes do alerta porque um campo nulo isolado, como a qualidade, não impede a leitura. A cobertura de headers tem meta de 95% e não de 100% para aceitar chamadas manuais de teste pelo /docs. Volume não tem valor certo, depende do turno, então o limiar é relativo à baseline: o que preocupa é a queda brusca, sinal de cliente parado. A proporção de leituras críticas é um indicador do equipamento e não da API. Ela usa a severidade calculada com os limiares da Sprint 3, e 5% e 10% são pontos de partida que o Técnico N2 e o Gestor N3 deveriam revisar.</w:t>
      </w:r>
    </w:p>
    <w:p>
      <w:pPr>
        <w:pStyle w:val="Heading1"/>
      </w:pPr>
      <w:r>
        <w:t>6 CAMADA DE VISUALIZAÇÃO</w:t>
      </w:r>
    </w:p>
    <w:p>
      <w:pPr/>
      <w:r>
        <w:rPr/>
        <w:t>A escolha do gráfico partiu da pergunta que cada indicador responde. Indicadores que mudam no tempo viraram linhas, distribuições viraram histogramas, comparações entre categorias viraram barras e números únicos viraram cards. Os limiares aparecem sempre como linhas tracejadas em amarelo (alerta) e vermelho (crítico), cores reservadas para isso e que não são usadas em séries. O Quadro 3 resume a escolha, e as figuras a seguir foram geradas pelo script de análise com os dados coletados. Nas séries temporais a linha pontilhada vertical marca o início do cenário de avaliação; o que vem antes é a baseline.</w:t>
      </w:r>
    </w:p>
    <w:p>
      <w:pPr>
        <w:pStyle w:val="LegendaABNT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3</w:t>
      </w:r>
      <w:r>
        <w:fldChar w:fldCharType="end"/>
      </w:r>
      <w:r>
        <w:t xml:space="preserve"> - Visualização escolhida por indicador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</w:tcPr>
          <w:p>
            <w:pPr>
              <w:pStyle w:val="Celula"/>
            </w:pPr>
            <w:r>
              <w:rPr>
                <w:b/>
              </w:rPr>
              <w:t>Indicador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rPr>
                <w:b/>
              </w:rPr>
              <w:t>Visualização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Latência p95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Linha no tempo de p50, p95 e p99, com os limiares tracejados (Figura 2), e histograma (Figura 3)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A linha mostra quando a degradação começou; o histograma mostra se a cauda é feita de poucos casos extremos ou de um deslocamento geral.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Taxa de erro 4xx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Barras horizontais empilhadas por rota e código de status (Figura 4)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Empilhar deixa ver a proporção de cada código dentro da rota e separa 404 de 422 e de 503.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Disponibilidade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Card de KPI com a meta na interface e linha por janela de 1 minuto (Figura 5)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O card responde se a meta está sendo cumprida; a linha mostra se as falhas se concentram num momento.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Freshness (idade do dado)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Pontos de cada leitura no tempo, com mediana e faixas de alerta e crítico pintadas (Figura 6)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Cada ponto é uma resposta real; as faixas deixam claro em que momento e por quanto tempo o dado ficou velho.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Taxa de completude de freshness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Linha da evolução da taxa por janela de 2 minutos (Figura 7)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É a forma sugerida no enunciado para acompanhar a evolução da taxa de completude de freshness.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Completude do payload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Linha da média por janela (Figura 8) e gauge no resumo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A completude muda devagar; a linha mostra tendência e a queda fica visível contra o limiar.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Tempo de atualização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Histograma dos intervalos entre leituras, em escala logarítmica (Figura 9)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A maior parte dos intervalos é de 30 s; a escala log deixa ver as lacunas raras de vários minutos.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Cobertura de headers (rastreabilidade)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KPI com meta e barras de cobertura por feature (Figura 10)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As barras apontam direto qual funcionalidade ou cliente chama sem contexto.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Volume (throughput)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Linha de chamadas por minuto (Figura 11)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Volume é uma série temporal; o interesse está em quedas e picos.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Uso por funcionalidade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Barras horizontais ordenadas (Figura 12)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Comparação de magnitude entre categorias com nomes longos fica mais legível na horizontal.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Sessões únicas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Card de KPI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É um número único de contexto; um gráfico não acrescentaria nada.</w:t>
            </w:r>
          </w:p>
        </w:tc>
      </w:tr>
      <w:tr>
        <w:tc>
          <w:tcPr>
            <w:tcW w:type="dxa" w:w="1928"/>
          </w:tcPr>
          <w:p>
            <w:pPr>
              <w:pStyle w:val="Celula"/>
            </w:pPr>
            <w:r>
              <w:t>Proporção de leituras críticas</w:t>
            </w:r>
          </w:p>
        </w:tc>
        <w:tc>
          <w:tcPr>
            <w:tcW w:type="dxa" w:w="3402"/>
          </w:tcPr>
          <w:p>
            <w:pPr>
              <w:pStyle w:val="Celula"/>
            </w:pPr>
            <w:r>
              <w:t>Linha da proporção por janela de 2 minutos (Figura 13)</w:t>
            </w:r>
          </w:p>
        </w:tc>
        <w:tc>
          <w:tcPr>
            <w:tcW w:type="dxa" w:w="3458"/>
          </w:tcPr>
          <w:p>
            <w:pPr>
              <w:pStyle w:val="Celula"/>
            </w:pPr>
            <w:r>
              <w:t>Mostra se as leituras críticas são pontuais ou se formam uma sequência, o que muda a ação.</w:t>
            </w:r>
          </w:p>
        </w:tc>
      </w:tr>
    </w:tbl>
    <w:p>
      <w:pPr>
        <w:pStyle w:val="FonteABNT"/>
      </w:pPr>
      <w:r>
        <w:rPr/>
        <w:t>Fonte: elaborado pelos autores (2026).</w:t>
      </w:r>
    </w:p>
    <w:p>
      <w:pPr/>
      <w:r>
        <w:rPr/>
        <w:t>Na interface Streamlit, a aba Observabilidade mostra seis cards (chamadas, latência p95, disponibilidade, cobertura de headers, freshness no prazo e sessões únicas), a tabela de conformidade devolvida pela API e os gráficos de latência, volume, status, cobertura, freshness e uso por feature, com opção de atualizar a cada 5 segundos. As figuras deste documento seguem o mesmo desenho.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</w:t>
      </w:r>
      <w:r>
        <w:fldChar w:fldCharType="end"/>
      </w:r>
      <w:r>
        <w:t xml:space="preserve"> - Latência p50, p95 e p99 por janela de 1 minuto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82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latencia_percent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r>
        <w:t xml:space="preserve"> - Distribuição da latência na janela de avaliação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86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histograma_lat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6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4</w:t>
      </w:r>
      <w:r>
        <w:fldChar w:fldCharType="end"/>
      </w:r>
      <w:r>
        <w:t xml:space="preserve"> - Chamadas por rota e código de status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75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tatus_por_ro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5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5</w:t>
      </w:r>
      <w:r>
        <w:fldChar w:fldCharType="end"/>
      </w:r>
      <w:r>
        <w:t xml:space="preserve"> - Disponibilidade por janela de 1 minuto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651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disponibilid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6</w:t>
      </w:r>
      <w:r>
        <w:fldChar w:fldCharType="end"/>
      </w:r>
      <w:r>
        <w:t xml:space="preserve"> - Idade da leitura atual no momento da resposta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70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fresh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7</w:t>
      </w:r>
      <w:r>
        <w:fldChar w:fldCharType="end"/>
      </w:r>
      <w:r>
        <w:t xml:space="preserve"> - Taxa de completude de freshness por janela de 2 minutos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897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freshness_no_praz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9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8</w:t>
      </w:r>
      <w:r>
        <w:fldChar w:fldCharType="end"/>
      </w:r>
      <w:r>
        <w:t xml:space="preserve"> - Completude do payload por janela de 1 minuto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897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completu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9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9</w:t>
      </w:r>
      <w:r>
        <w:fldChar w:fldCharType="end"/>
      </w:r>
      <w:r>
        <w:t xml:space="preserve"> - Distribuição dos intervalos entre leituras consecutivas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01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intervalo_atualiz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1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10</w:t>
      </w:r>
      <w:r>
        <w:fldChar w:fldCharType="end"/>
      </w:r>
      <w:r>
        <w:t xml:space="preserve"> - Cobertura de headers por funcionalidade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599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bertura_head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9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11</w:t>
      </w:r>
      <w:r>
        <w:fldChar w:fldCharType="end"/>
      </w:r>
      <w:r>
        <w:t xml:space="preserve"> - Volume de chamadas por minuto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681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hroughp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12</w:t>
      </w:r>
      <w:r>
        <w:fldChar w:fldCharType="end"/>
      </w:r>
      <w:r>
        <w:t xml:space="preserve"> - Uso por funcionalidade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333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uso_por_fea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3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>
        <w:pStyle w:val="LegendaABN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13</w:t>
      </w:r>
      <w:r>
        <w:fldChar w:fldCharType="end"/>
      </w:r>
      <w:r>
        <w:t xml:space="preserve"> - Proporção de leituras críticas por janela de 2 minutos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123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proporcao_critic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ABNT"/>
      </w:pPr>
      <w:r>
        <w:rPr/>
        <w:t>Fonte: elaborado pelos autores (2026).</w:t>
      </w:r>
    </w:p>
    <w:p>
      <w:pPr/>
      <w:r>
        <w:rPr/>
        <w:t>A Figura 9 é a única que não sai direto da tabela de registros. O registro guarda só o intervalo médio e o máximo de cada chamada de histórico; para desenhar a distribuição completa, o script consulta o provider na mesma janela que o histórico devolveu. Como o provider é determinístico, os intervalos reconstruídos são os mesmos que a API entregou.</w:t>
      </w:r>
    </w:p>
    <w:p>
      <w:pPr>
        <w:pStyle w:val="Heading1"/>
      </w:pPr>
      <w:r>
        <w:t>7 PLANO DE RESPOSTA A VIOLAÇÕES</w:t>
      </w:r>
    </w:p>
    <w:p>
      <w:pPr/>
      <w:r>
        <w:rPr/>
        <w:t>Cada indicador com limiar tem uma ação para o nível de alerta e outra para o crítico, além de um responsável. A lógica geral é que o alerta pede investigação e o crítico pede uma medida que proteja quem usa o dado, mesmo antes da causa ser encontrada. O Quadro 4 traz o plano completo.</w:t>
      </w:r>
    </w:p>
    <w:p>
      <w:pPr>
        <w:pStyle w:val="LegendaABNT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4</w:t>
      </w:r>
      <w:r>
        <w:fldChar w:fldCharType="end"/>
      </w:r>
      <w:r>
        <w:t xml:space="preserve"> - Ações por indicador e nível de limiar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</w:tcPr>
          <w:p>
            <w:pPr>
              <w:pStyle w:val="Celula"/>
            </w:pPr>
            <w:r>
              <w:rPr>
                <w:b/>
              </w:rPr>
              <w:t>Indicador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rPr>
                <w:b/>
              </w:rPr>
              <w:t>Alerta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rPr>
                <w:b/>
              </w:rPr>
              <w:t>Crítico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rPr>
                <w:b/>
              </w:rPr>
              <w:t>Responsável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Latência p95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Abrir chamado para o time de plataforma, verificar se a lentidão vem do historiador (rota de histórico) ou da própria API, olhando latência por rota.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Acionar o plantão. Reduzir o limite padrão do histórico na interface e desligar a atualização automática da tela até a latência voltar ao alerta.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Time de plataforma (back-end)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Latência p50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Comparar com a última versão implantada e com a carga do momento.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Reverter a última implantação se a degradação começou depois dela.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Time de plataforma (back-end)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Latência p99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Listar as chamadas acima de 800 ms e agrupar por rota e tag.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Abrir incidente com o time do historiador de dados.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Time de plataforma (back-end)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Taxa de erro 5xx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Ler o campo erro dos registros 5xx e verificar a conexão com o historiador.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Acionar o plantão e avisar na interface que os dados podem estar incompletos.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Time de plataforma (back-end)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Taxa de erro 4xx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Agrupar os 4xx por feature e user_agent para achar o cliente de origem.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Contatar o dono do cliente identificado. Se for integração automática, pedir a suspensão das chamadas até a correção.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Time de front-end e donos das integrações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Disponibilidade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Congelar mudanças não urgentes na API até a margem se recuperar.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Abrir incidente, registrar causa raiz e revisar a meta com a área de manutenção.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Time de plataforma (back-end)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Freshness (idade do dado)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Marcar o sensor como offline na interface (circuit breaker do CS3: não decidir pelo último valor) e verificar a conectividade do endpoint dos sensores, não o motor.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Suspender o diagnóstico do motor, não usar a leitura para severidade nem para inferência do modelo e abrir chamado de conectividade IoT.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Engenharia de dados (poller e endpoints)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Taxa de completude de freshness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Levantar em quais horários e sensores o dado ficou offline e checar o endpoint e o poller.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Registrar incidente de qualidade de dado e rebaixar os alertas automáticos do período para revisão humana.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Engenharia de dados (poller e endpoints)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Completude do payload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Identificar qual grandeza está saindo da faixa válida e em qual sensor.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Bloquear a inferência do modelo com payload incompleto e registrar incidente de qualidade de dado.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Engenharia de dados (poller e endpoints)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Tempo de atualização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Verificar o log do poller (falhas de GET nos endpoints dos sensores).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Sinalizar no gráfico de histórico os trechos com lacuna e abrir chamado para o coletor.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Engenharia de dados (poller e endpoints)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Maior lacuna no histórico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Cruzar o horário da lacuna com o log do poller.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Registrar a parada como incidente de coleta e marcar o trecho no gráfico de histórico.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Engenharia de dados (poller e endpoints)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Cobertura de headers (rastreabilidade)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Revisar o cliente que está chamando sem contexto (filtrar feature = ausente e ver o user_agent).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Notificar o dono do cliente e, se não houver correção em uma sprint, passar a recusar chamadas sem header com 400.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Governança de IA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Volume (throughput)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Confirmar com a operação se houve parada programada.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Testar a API de fora (curl no endpoint de leitura) para separar falha do cliente de falha da API.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Time de plataforma (back-end)</w:t>
            </w:r>
          </w:p>
        </w:tc>
      </w:tr>
      <w:tr>
        <w:tc>
          <w:tcPr>
            <w:tcW w:type="dxa" w:w="1701"/>
          </w:tcPr>
          <w:p>
            <w:pPr>
              <w:pStyle w:val="Celula"/>
            </w:pPr>
            <w:r>
              <w:t>Proporção de leituras críticas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Notificar o Técnico N2 e conferir se o motor estava em teste de carga ou partida.</w:t>
            </w:r>
          </w:p>
        </w:tc>
        <w:tc>
          <w:tcPr>
            <w:tcW w:type="dxa" w:w="2948"/>
          </w:tcPr>
          <w:p>
            <w:pPr>
              <w:pStyle w:val="Celula"/>
            </w:pPr>
            <w:r>
              <w:t>Abrir ordem de serviço; qualquer parada exige aprovação do Gestor N3, como no CS3.</w:t>
            </w:r>
          </w:p>
        </w:tc>
        <w:tc>
          <w:tcPr>
            <w:tcW w:type="dxa" w:w="1361"/>
          </w:tcPr>
          <w:p>
            <w:pPr>
              <w:pStyle w:val="Celula"/>
            </w:pPr>
            <w:r>
              <w:t>Técnico N2 (manutenção) e Gestor N3</w:t>
            </w:r>
          </w:p>
        </w:tc>
      </w:tr>
    </w:tbl>
    <w:p>
      <w:pPr>
        <w:pStyle w:val="FonteABNT"/>
      </w:pPr>
      <w:r>
        <w:rPr/>
        <w:t>Fonte: elaborado pelos autores (2026).</w:t>
      </w:r>
    </w:p>
    <w:p>
      <w:pPr/>
      <w:r>
        <w:rPr/>
        <w:t>Três ações já estão implementadas no código. A leitura atual traz o campo offline quando a idade passa de 30 s, e a interface avisa que, pelo circuit breaker, a severidade não deve ser usada para decisão. Com o motor abaixo de 0,3 mm/s a interface informa que o diagnóstico não se aplica, como manda a Sprint 3. Valores fora da faixa física válida são anulados antes de chegar ao cliente. As demais ações dependem de processo (chamado, plantão, contato com o dono do cliente) e ficam como proposta para a Sprint 4, quando houver alertas automáticos. Os papéis Técnico N2 e Gestor N3 são os do RBAC definido na Sprint 1.</w:t>
      </w:r>
    </w:p>
    <w:p>
      <w:pPr/>
      <w:r>
        <w:rPr/>
        <w:t>No caso da completude, a ação crítica de bloquear a inferência do modelo com payload incompleto é a ligação mais direta com IA. Um modelo que recebe valor nulo ou leitura velha devolve uma previsão com aparência de confiável, e o registro de observabilidade é o que permite barrar essa entrada antes.</w:t>
      </w:r>
    </w:p>
    <w:p>
      <w:pPr>
        <w:pStyle w:val="Heading1"/>
      </w:pPr>
      <w:r>
        <w:t>8 RESULTADOS</w:t>
      </w:r>
    </w:p>
    <w:p>
      <w:pPr/>
      <w:r>
        <w:rPr/>
        <w:t>A Tabela 2 compara os indicadores medidos na janela de avaliação (600 chamadas) com os limiares do contrato. Os valores foram calculados pelo script governanca/analise.py sobre a tabela chamadas e coincidem com os devolvidos pela rota /v1/observabilidade/resumo para a mesma janela.</w:t>
      </w:r>
    </w:p>
    <w:p>
      <w:pPr>
        <w:pStyle w:val="LegendaABNT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2</w:t>
      </w:r>
      <w:r>
        <w:fldChar w:fldCharType="end"/>
      </w:r>
      <w:r>
        <w:t xml:space="preserve"> - Conformidade dos indicadores na janela de avaliação</w:t>
      </w:r>
    </w:p>
    <w:tbl>
      <w:tblPr>
        <w:tblW w:type="auto" w:w="0"/>
        <w:jc w:val="center"/>
        <w:tblBorders>
          <w:top w:val="single" w:sz="6" w:color="000000"/>
          <w:left w:val="nil"/>
          <w:bottom w:val="single" w:sz="6" w:color="000000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2494"/>
            <w:tcBorders>
              <w:bottom w:val="single" w:sz="6" w:color="000000"/>
            </w:tcBorders>
          </w:tcPr>
          <w:p>
            <w:pPr>
              <w:pStyle w:val="Celula"/>
            </w:pPr>
            <w:r>
              <w:rPr>
                <w:b/>
              </w:rPr>
              <w:t>Indicador</w:t>
            </w:r>
          </w:p>
        </w:tc>
        <w:tc>
          <w:tcPr>
            <w:tcW w:type="dxa" w:w="1587"/>
            <w:tcBorders>
              <w:bottom w:val="single" w:sz="6" w:color="000000"/>
            </w:tcBorders>
          </w:tcPr>
          <w:p>
            <w:pPr>
              <w:pStyle w:val="Celula"/>
            </w:pPr>
            <w:r>
              <w:rPr>
                <w:b/>
              </w:rPr>
              <w:t>Medido</w:t>
            </w:r>
          </w:p>
        </w:tc>
        <w:tc>
          <w:tcPr>
            <w:tcW w:type="dxa" w:w="1134"/>
            <w:tcBorders>
              <w:bottom w:val="single" w:sz="6" w:color="000000"/>
            </w:tcBorders>
          </w:tcPr>
          <w:p>
            <w:pPr>
              <w:pStyle w:val="Celula"/>
            </w:pPr>
            <w:r>
              <w:rPr>
                <w:b/>
              </w:rPr>
              <w:t>Baseline</w:t>
            </w:r>
          </w:p>
        </w:tc>
        <w:tc>
          <w:tcPr>
            <w:tcW w:type="dxa" w:w="1020"/>
            <w:tcBorders>
              <w:bottom w:val="single" w:sz="6" w:color="000000"/>
            </w:tcBorders>
          </w:tcPr>
          <w:p>
            <w:pPr>
              <w:pStyle w:val="Celula"/>
            </w:pPr>
            <w:r>
              <w:rPr>
                <w:b/>
              </w:rPr>
              <w:t>Alerta</w:t>
            </w:r>
          </w:p>
        </w:tc>
        <w:tc>
          <w:tcPr>
            <w:tcW w:type="dxa" w:w="1020"/>
            <w:tcBorders>
              <w:bottom w:val="single" w:sz="6" w:color="000000"/>
            </w:tcBorders>
          </w:tcPr>
          <w:p>
            <w:pPr>
              <w:pStyle w:val="Celula"/>
            </w:pPr>
            <w:r>
              <w:rPr>
                <w:b/>
              </w:rPr>
              <w:t>Crítico</w:t>
            </w:r>
          </w:p>
        </w:tc>
        <w:tc>
          <w:tcPr>
            <w:tcW w:type="dxa" w:w="1247"/>
            <w:tcBorders>
              <w:bottom w:val="single" w:sz="6" w:color="000000"/>
            </w:tcBorders>
          </w:tcPr>
          <w:p>
            <w:pPr>
              <w:pStyle w:val="Celula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Latência p95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40,05 ms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50,55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250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1.000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Dentro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Latência p50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15,33 ms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17,61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80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300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Dentro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Latência p99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517,13 ms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120,56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800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2.000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Dentro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Taxa de erro 5xx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0,00%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0,00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0,5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1,0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Dentro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Taxa de erro 4xx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9,50%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0,00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3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8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Crítico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Disponibilidade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100,00%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100,00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99,5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99,0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Dentro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Freshness (idade do dado)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10,10 s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9,90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30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300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Dentro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Taxa de completude de freshness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100,00%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100,00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95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90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Dentro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Completude do payload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100,00%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100,00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98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95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Dentro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Tempo de atualização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10,30 s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10,40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12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15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Dentro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Maior lacuna no histórico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160,00 s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160,00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30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300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Alerta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Cobertura de headers (rastreabilidade)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90,17%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100,00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95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90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Alerta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Volume (throughput)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75,29 chamadas/min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60,20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30,1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12,0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Dentro</w:t>
            </w:r>
          </w:p>
        </w:tc>
      </w:tr>
      <w:tr>
        <w:tc>
          <w:tcPr>
            <w:tcW w:type="dxa" w:w="2494"/>
          </w:tcPr>
          <w:p>
            <w:pPr>
              <w:pStyle w:val="Celula"/>
            </w:pPr>
            <w:r>
              <w:t>Proporção de leituras críticas</w:t>
            </w:r>
          </w:p>
        </w:tc>
        <w:tc>
          <w:tcPr>
            <w:tcW w:type="dxa" w:w="1587"/>
          </w:tcPr>
          <w:p>
            <w:pPr>
              <w:pStyle w:val="Celula"/>
            </w:pPr>
            <w:r>
              <w:t>80,47%</w:t>
            </w:r>
          </w:p>
        </w:tc>
        <w:tc>
          <w:tcPr>
            <w:tcW w:type="dxa" w:w="1134"/>
          </w:tcPr>
          <w:p>
            <w:pPr>
              <w:pStyle w:val="Celula"/>
            </w:pPr>
            <w:r>
              <w:t>0,00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5</w:t>
            </w:r>
          </w:p>
        </w:tc>
        <w:tc>
          <w:tcPr>
            <w:tcW w:type="dxa" w:w="1020"/>
          </w:tcPr>
          <w:p>
            <w:pPr>
              <w:pStyle w:val="Celula"/>
            </w:pPr>
            <w:r>
              <w:t>10</w:t>
            </w:r>
          </w:p>
        </w:tc>
        <w:tc>
          <w:tcPr>
            <w:tcW w:type="dxa" w:w="1247"/>
          </w:tcPr>
          <w:p>
            <w:pPr>
              <w:pStyle w:val="Celula"/>
            </w:pPr>
            <w:r>
              <w:t>Crítico</w:t>
            </w:r>
          </w:p>
        </w:tc>
      </w:tr>
    </w:tbl>
    <w:p>
      <w:pPr>
        <w:pStyle w:val="FonteABNT"/>
      </w:pPr>
      <w:r>
        <w:rPr/>
        <w:t>Fonte: elaborado pelos autores (2026).</w:t>
      </w:r>
    </w:p>
    <w:p>
      <w:pPr/>
      <w:r>
        <w:rPr/>
        <w:t>Dos 14 indicadores com limiar, 10 ficaram dentro, 2 em alerta e 2 em nível crítico. Também foram registradas 11 sessões únicas.</w:t>
      </w:r>
    </w:p>
    <w:p>
      <w:pPr/>
      <w:r>
        <w:rPr/>
        <w:t>O resultado mais importante não veio da API, e sim do motor. Na baseline, com o motor parado, as 175 leituras atuais saíram todas normais. Na avaliação o replay chegou à partida das 13:44 e à operação plena, e 309 das 384 leituras saíram críticas, uma proporção de 80,5%, muito acima do limiar de 10% (Figura 13). A causa é só a vibração: no histórico inteiro a temperatura não passou de 47 °C e a aceleração não passou de 0,60 g, longe dos limiares, enquanto o platô de operação fica em 6,61 mm/s no S1 e 6,74 mm/s no S2, dentro da zona D da Classe I (acima de 4,5 mm/s).</w:t>
      </w:r>
    </w:p>
    <w:p>
      <w:pPr/>
      <w:r>
        <w:rPr/>
        <w:t>Contando as linhas do histórico de 19/05 com o motor ligado, 57,6% (S1) e 58,7% (S2) estão na zona D. Esses percentuais são por linha do registrador, que grava mais linhas com o motor em movimento, então servem como ordem de grandeza e não como tempo exato. O documento da Sprint 3 cita cerca de 0,57 mm/s como leitura em operação normal, valor bem abaixo do platô e que, nesse histórico, só aparece fora dele. Ou o motor está de fato numa condição de vibração inaceitável, ou os limiares da Classe I não se aplicam a esta montagem (motor em bancada, posição do sensor), ou o valor de referência da Sprint 3 veio de outro período. O contrato não decide isso sozinho; é exatamente o cenário de assinatura conhecida do ativo que a Sprint 3 deixou para decisão humana, e a alteração de limiar exige o Gestor N3.</w:t>
      </w:r>
    </w:p>
    <w:p>
      <w:pPr/>
      <w:r>
        <w:rPr/>
        <w:t>Nos indicadores de dado, a avaliação não pegou nenhuma queda do endpoint: o p95 da idade ficou em 10,1 s, todas as leituras chegaram dentro dos 30 s e o tempo médio de atualização foi de 10,3 s, perto dos 10 s nominais. Mesmo assim a maior lacuna ficou em 160 s, em alerta, nos dois sensores ao mesmo tempo (S1: 160 s, S2: 160 s). Foi uma queda do endpoint anterior ao teste, que ainda estava na última hora devolvida pelo histórico; como derrubou S1 e S2 juntos, aponta para a conectividade e não para um sensor. Freshness mede só o agora, e a lacuna é o indicador que guarda a memória da última hora, então os dois se completam (Figuras 6 e 9).</w:t>
      </w:r>
    </w:p>
    <w:p>
      <w:pPr/>
      <w:r>
        <w:rPr/>
        <w:t>A taxa de erro 4xx chegou a 9,5%, nível crítico. Foram 35 respostas 404 e 22 respostas 422. Os 404 vieram dos identificadores MOTOR-2 (14), S3 (13), SI (8). O SI tem a letra I no lugar do número 1, erro típico de identificador digitado à mão, e o MOTOR-2 mistura o nome do componente com a tag do sensor. Os 422 foram pedidos de histórico com limite fora da faixa de 1 a 5000. Como essas chamadas traziam o header de feature das telas, o campo feature sozinho não basta para achar a origem; é preciso cruzar com session_id e user_agent, que é o que a ação de alerta do contrato pede.</w:t>
      </w:r>
    </w:p>
    <w:p>
      <w:pPr/>
      <w:r>
        <w:rPr/>
        <w:t>A cobertura de headers ficou em 90,17%, em alerta e a poucos décimos do crítico. A Figura 10 aponta a origem: 42 chamadas do cliente com user agent python-requests/legado não mandaram nenhum header, e 17 chamadas da própria interface mandaram só o X-Feature. Esse resultado sustenta a decisão de não recusar chamadas sem header: se a API tivesse respondido 400, essas chamadas não estariam no banco e não haveria como saber qual cliente corrigir.</w:t>
      </w:r>
    </w:p>
    <w:p>
      <w:pPr/>
      <w:r>
        <w:rPr/>
        <w:t>A latência ficou dentro dos limiares. O p95 foi de 40,0 ms contra 50,5 ms na baseline. O p99, porém, subiu de 120,6 ms para 517,1 ms com a concorrência maior e as consultas lentas (9 chamadas acima de 250 ms). Na Figura 2 o p99 passa do valor de alerta do p95 em alguns minutos enquanto o p95 quase não se move, o que justifica acompanhar os dois. Por rota, o p95 do histórico foi de 49,9 ms e o da leitura atual de 33,2 ms.</w:t>
      </w:r>
    </w:p>
    <w:p>
      <w:pPr/>
      <w:r>
        <w:rPr/>
        <w:t>A disponibilidade foi de 100,00% nas duas janelas, sem nenhuma resposta 5xx, e a completude do payload ficou em 100,0%. Este último número merece cuidado: o histórico real não tem nenhum valor fora da faixa física válida, então a completude não teve como cair aqui. Ela passa a ser útil quando o hardware voltar a mandar dado ao vivo, e o defeito de dado zerado já relatado pela Forzy é o tipo de falha que esse indicador, combinado com a faixa válida, deveria pegar. O volume ficou em 75,3 chamadas por minuto, acima da baseline, porque o cenário de avaliação tem mais clientes.</w:t>
      </w:r>
    </w:p>
    <w:p>
      <w:pPr/>
      <w:r>
        <w:rPr/>
        <w:t>A própria baseline já estava fora do limiar em 1 indicador: maior lacuna no histórico (160,00, nível alerta). Os limiares foram mantidos como estavam, porque ajustá-los para caber na baseline esconderia justamente o que eles devem mostrar. Fica como achado para a revisão do contrato: ou o coletor e a fonte precisam melhorar, ou a meta precisa ser rediscutida com quem usa o dado.</w:t>
      </w:r>
    </w:p>
    <w:p>
      <w:pPr>
        <w:pStyle w:val="Heading1"/>
      </w:pPr>
      <w:r>
        <w:t>9 USO DE INTELIGÊNCIA ARTIFICIAL</w:t>
      </w:r>
    </w:p>
    <w:p>
      <w:pPr/>
      <w:r>
        <w:rPr/>
        <w:t>O grupo usou o Claude Code, assistente de programação da Anthropic, ao longo do trabalho. Ele ajudou na implementação da API FastAPI e do middleware de observabilidade, do provider simulado, da interface Streamlit, dos scripts de consumo, de geração de tráfego e de análise, e na estruturação deste documento, incluindo o script que gera o arquivo no formato ABNT e o rascunho das seções de desenvolvimento.</w:t>
      </w:r>
    </w:p>
    <w:p>
      <w:pPr/>
      <w:r>
        <w:rPr/>
        <w:t>O grupo revisou o código, executou os testes automatizados e a análise, conferiu cada referência bibliográfica na fonte original e escreveu a conclusão sem uso de IA, como pede o critério de avaliação. As escolhas de escopo, os limiares e a interpretação dos resultados foram discutidas e validadas pelo grupo.</w:t>
      </w:r>
    </w:p>
    <w:p>
      <w:pPr/>
      <w:r>
        <w:rPr>
          <w:b/>
          <w:highlight w:val="yellow"/>
        </w:rPr>
        <w:t>[COMPLETAR PELO GRUPO]</w:t>
      </w:r>
    </w:p>
    <w:p>
      <w:pPr>
        <w:ind w:firstLine="0"/>
      </w:pPr>
      <w:r>
        <w:rPr>
          <w:highlight w:val="yellow"/>
        </w:rPr>
        <w:t>Descrever com mais detalhe o que cada integrante fez, quais trechos gerados foram ajustados manualmente, o que foi descartado e como as referências foram conferidas.</w:t>
      </w:r>
    </w:p>
    <w:p>
      <w:pPr>
        <w:pStyle w:val="Heading1"/>
      </w:pPr>
      <w:r>
        <w:t>10 CONCLUSÃO</w:t>
      </w:r>
    </w:p>
    <w:p>
      <w:pPr/>
      <w:r>
        <w:rPr>
          <w:b/>
          <w:highlight w:val="yellow"/>
        </w:rPr>
        <w:t>[ESCREVER PELO GRUPO]</w:t>
      </w:r>
    </w:p>
    <w:p>
      <w:pPr>
        <w:ind w:firstLine="0"/>
      </w:pPr>
      <w:r>
        <w:rPr>
          <w:highlight w:val="yellow"/>
        </w:rPr>
        <w:t>Perguntas-guia (apagar este bloco depois de escrever):</w:t>
      </w:r>
    </w:p>
    <w:p>
      <w:pPr>
        <w:ind w:firstLine="0"/>
      </w:pPr>
      <w:r>
        <w:rPr>
          <w:highlight w:val="yellow"/>
        </w:rPr>
        <w:t>O que os números medidos mostraram que vocês não esperavam?</w:t>
      </w:r>
    </w:p>
    <w:p>
      <w:pPr>
        <w:ind w:firstLine="0"/>
      </w:pPr>
      <w:r>
        <w:rPr>
          <w:highlight w:val="yellow"/>
        </w:rPr>
        <w:t>Qual indicador vocês acham mais útil para a Forzy e por quê?</w:t>
      </w:r>
    </w:p>
    <w:p>
      <w:pPr>
        <w:ind w:firstLine="0"/>
      </w:pPr>
      <w:r>
        <w:rPr>
          <w:highlight w:val="yellow"/>
        </w:rPr>
        <w:t>A decisão de não recusar chamadas sem header se mostrou acertada? Mudariam algo?</w:t>
      </w:r>
    </w:p>
    <w:p>
      <w:pPr>
        <w:ind w:firstLine="0"/>
      </w:pPr>
      <w:r>
        <w:rPr>
          <w:highlight w:val="yellow"/>
        </w:rPr>
        <w:t>Algum limiar pareceu mal calibrado quando vocês viram os dados?</w:t>
      </w:r>
    </w:p>
    <w:p>
      <w:pPr>
        <w:ind w:firstLine="0"/>
      </w:pPr>
      <w:r>
        <w:rPr>
          <w:highlight w:val="yellow"/>
        </w:rPr>
        <w:t>O que foi difícil na implementação?</w:t>
      </w:r>
    </w:p>
    <w:p>
      <w:pPr>
        <w:ind w:firstLine="0"/>
      </w:pPr>
      <w:r>
        <w:rPr>
          <w:highlight w:val="yellow"/>
        </w:rPr>
        <w:t>O que faltou para este contrato funcionar em produção?</w:t>
      </w:r>
    </w:p>
    <w:p>
      <w:pPr>
        <w:ind w:firstLine="0"/>
      </w:pPr>
      <w:r>
        <w:rPr>
          <w:highlight w:val="yellow"/>
        </w:rPr>
        <w:t>O que fariam diferente na Sprint 4?</w:t>
      </w:r>
    </w:p>
    <w:p>
      <w:pPr>
        <w:pStyle w:val="Heading1"/>
        <w:jc w:val="center"/>
      </w:pPr>
      <w:r>
        <w:t>REFERÊNCIAS</w:t>
      </w:r>
    </w:p>
    <w:p>
      <w:pPr>
        <w:pStyle w:val="Referencia"/>
      </w:pPr>
      <w:r>
        <w:t xml:space="preserve">BEYER, Betsy; JONES, Chris; PETOFF, Jennifer; MURPHY, Niall Richard (ed.). </w:t>
      </w:r>
      <w:r>
        <w:rPr>
          <w:b/>
        </w:rPr>
        <w:t>Site reliability engineering</w:t>
      </w:r>
      <w:r>
        <w:t>: how Google runs production systems. Sebastopol: O'Reilly Media, 2016. Disponível em: https://sre.google/sre-book/table-of-contents/. Acesso em: 4 out. 2026.</w:t>
      </w:r>
    </w:p>
    <w:p>
      <w:pPr>
        <w:pStyle w:val="Referencia"/>
      </w:pPr>
      <w:r>
        <w:t xml:space="preserve">FASTAPI. </w:t>
      </w:r>
      <w:r>
        <w:rPr>
          <w:b/>
        </w:rPr>
        <w:t>Middleware</w:t>
      </w:r>
      <w:r>
        <w:t>. [S. l.]: FastAPI, 2026. Disponível em: https://fastapi.tiangolo.com/tutorial/middleware/. Acesso em: 4 out. 2026.</w:t>
      </w:r>
    </w:p>
    <w:p>
      <w:pPr>
        <w:pStyle w:val="Referencia"/>
      </w:pPr>
      <w:r>
        <w:t xml:space="preserve">GOMES, Matheus Cardoso et al. </w:t>
      </w:r>
      <w:r>
        <w:rPr>
          <w:b/>
        </w:rPr>
        <w:t>Forzy</w:t>
      </w:r>
      <w:r>
        <w:t>: gêmeo digital com IA: governança em IA e business analytics: Challenge Sprint 3. São Paulo: FIAP, 2026. Documento interno do grupo.</w:t>
      </w:r>
    </w:p>
    <w:p>
      <w:pPr>
        <w:pStyle w:val="Referencia"/>
      </w:pPr>
      <w:r>
        <w:t xml:space="preserve">INTERNATIONAL ORGANIZATION FOR STANDARDIZATION. </w:t>
      </w:r>
      <w:r>
        <w:rPr>
          <w:b/>
        </w:rPr>
        <w:t>ISO 10816-1</w:t>
      </w:r>
      <w:r>
        <w:t>: mechanical vibration: evaluation of machine vibration by measurements on non-rotating parts: part 1: general guidelines. Geneva: ISO, 1995.</w:t>
      </w:r>
    </w:p>
    <w:p>
      <w:pPr>
        <w:pStyle w:val="Referencia"/>
      </w:pPr>
      <w:r>
        <w:t xml:space="preserve">INTERNATIONAL ORGANIZATION FOR STANDARDIZATION. </w:t>
      </w:r>
      <w:r>
        <w:rPr>
          <w:b/>
        </w:rPr>
        <w:t>ISO/IEC 25012</w:t>
      </w:r>
      <w:r>
        <w:t>: software engineering: software product quality requirements and evaluation (SQuaRE): data quality model. Geneva: ISO, 2008.</w:t>
      </w:r>
    </w:p>
    <w:p>
      <w:pPr>
        <w:pStyle w:val="Referencia"/>
      </w:pPr>
      <w:r>
        <w:t xml:space="preserve">INTERNATIONAL ORGANIZATION FOR STANDARDIZATION. </w:t>
      </w:r>
      <w:r>
        <w:rPr>
          <w:b/>
        </w:rPr>
        <w:t>ISO/IEC 42001</w:t>
      </w:r>
      <w:r>
        <w:t>: information technology: artificial intelligence: management system. Geneva: ISO, 2023.</w:t>
      </w:r>
    </w:p>
    <w:p>
      <w:pPr>
        <w:pStyle w:val="Referencia"/>
      </w:pPr>
      <w:r>
        <w:t xml:space="preserve">NATIONAL INSTITUTE OF STANDARDS AND TECHNOLOGY. </w:t>
      </w:r>
      <w:r>
        <w:rPr>
          <w:b/>
        </w:rPr>
        <w:t>Artificial intelligence risk management framework (AI RMF 1.0)</w:t>
      </w:r>
      <w:r>
        <w:t>. Gaithersburg: NIST, 2023. (NIST AI 100-1). DOI: https://doi.org/10.6028/NIST.AI.100-1.</w:t>
      </w:r>
    </w:p>
    <w:p>
      <w:pPr>
        <w:pStyle w:val="Referencia"/>
      </w:pPr>
      <w:r>
        <w:t xml:space="preserve">OPENTELEMETRY. </w:t>
      </w:r>
      <w:r>
        <w:rPr>
          <w:b/>
        </w:rPr>
        <w:t>Observability primer</w:t>
      </w:r>
      <w:r>
        <w:t>. [S. l.]: OpenTelemetry, 2026. Disponível em: https://opentelemetry.io/docs/concepts/observability-primer/. Acesso em: 4 out. 2026.</w:t>
      </w:r>
    </w:p>
    <w:p>
      <w:pPr>
        <w:pStyle w:val="Referencia"/>
      </w:pPr>
      <w:r>
        <w:t xml:space="preserve">SCULLEY, D. et al. Hidden technical debt in machine learning systems. In: ADVANCES IN NEURAL INFORMATION PROCESSING SYSTEMS 28 (NIPS 2015), 2015, Montreal. </w:t>
      </w:r>
      <w:r>
        <w:rPr>
          <w:b/>
        </w:rPr>
        <w:t>Proceedings</w:t>
      </w:r>
      <w:r>
        <w:t xml:space="preserve"> [...]. [S. l.: s. n.], 2015. p. 2503-2511. Disponível em: https://papers.nips.cc/paper_files/paper/2015/hash/86df7dcfd896fcaf2674f757a2463eba-Abstract.html. Acesso em: 4 out. 2026.</w:t>
      </w:r>
    </w:p>
    <w:p>
      <w:pPr>
        <w:pStyle w:val="Referencia"/>
      </w:pPr>
      <w:r>
        <w:t xml:space="preserve">STREAMLIT. </w:t>
      </w:r>
      <w:r>
        <w:rPr>
          <w:b/>
        </w:rPr>
        <w:t>Add statefulness to apps</w:t>
      </w:r>
      <w:r>
        <w:t>. [S. l.]: Snowflake, 2026. Disponível em: https://docs.streamlit.io/develop/concepts/architecture/session-state. Acesso em: 4 out. 2026.</w:t>
      </w:r>
    </w:p>
    <w:sectPr w:rsidR="00FC693F" w:rsidRPr="0006063C" w:rsidSect="00034616">
      <w:headerReference w:type="default" r:id="rId10"/>
      <w:pgSz w:w="11906" w:h="16838"/>
      <w:pgMar w:top="1701" w:right="1134" w:bottom="1134" w:left="1701" w:header="1134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0"/>
      <w:jc w:val="both"/>
    </w:pPr>
    <w:rPr>
      <w:rFonts w:ascii="Arial" w:hAnsi="Arial" w:eastAsia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360" w:line="360" w:lineRule="auto"/>
      <w:ind w:firstLine="0" w:left="0"/>
      <w:jc w:val="left"/>
      <w:outlineLvl w:val="0"/>
    </w:pPr>
    <w:rPr>
      <w:rFonts w:ascii="Arial" w:hAnsi="Arial" w:eastAsia="Arial" w:cs="Arial"/>
      <w:b/>
      <w:bCs/>
      <w:i w:val="0"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60" w:after="360" w:line="360" w:lineRule="auto"/>
      <w:ind w:firstLine="0" w:left="0"/>
      <w:jc w:val="left"/>
      <w:outlineLvl w:val="1"/>
    </w:pPr>
    <w:rPr>
      <w:rFonts w:ascii="Arial" w:hAnsi="Arial" w:eastAsia="Arial" w:cs="Arial"/>
      <w:b w:val="0"/>
      <w:bCs/>
      <w:i w:val="0"/>
      <w:cap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360" w:after="360" w:line="360" w:lineRule="auto"/>
      <w:ind w:firstLine="0" w:left="0"/>
      <w:jc w:val="left"/>
      <w:outlineLvl w:val="2"/>
    </w:pPr>
    <w:rPr>
      <w:rFonts w:ascii="Arial" w:hAnsi="Arial" w:eastAsia="Arial" w:cs="Arial"/>
      <w:b/>
      <w:bCs/>
      <w:i w:val="0"/>
      <w:caps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semnumero">
    <w:name w:val="Titulo sem numero"/>
    <w:basedOn w:val="Normal"/>
    <w:pPr>
      <w:spacing w:line="360" w:lineRule="auto" w:before="0" w:after="360"/>
      <w:ind w:firstLine="0" w:left="0"/>
      <w:jc w:val="center"/>
    </w:pPr>
    <w:rPr>
      <w:rFonts w:ascii="Arial" w:hAnsi="Arial" w:eastAsia="Arial" w:cs="Arial"/>
      <w:b/>
      <w:caps/>
      <w:color w:val="000000"/>
      <w:sz w:val="24"/>
    </w:rPr>
  </w:style>
  <w:style w:type="paragraph" w:customStyle="1" w:styleId="LegendaABNT">
    <w:name w:val="Legenda ABNT"/>
    <w:basedOn w:val="Normal"/>
    <w:pPr>
      <w:keepNext/>
      <w:spacing w:line="240" w:lineRule="auto" w:before="240" w:after="80"/>
      <w:ind w:firstLine="0" w:left="0"/>
      <w:jc w:val="center"/>
    </w:pPr>
    <w:rPr>
      <w:rFonts w:ascii="Arial" w:hAnsi="Arial" w:eastAsia="Arial" w:cs="Arial"/>
      <w:color w:val="000000"/>
      <w:sz w:val="20"/>
    </w:rPr>
  </w:style>
  <w:style w:type="paragraph" w:customStyle="1" w:styleId="FonteABNT">
    <w:name w:val="Fonte ABNT"/>
    <w:basedOn w:val="Normal"/>
    <w:pPr>
      <w:spacing w:line="240" w:lineRule="auto" w:before="80" w:after="240"/>
      <w:ind w:firstLine="0" w:left="0"/>
      <w:jc w:val="center"/>
    </w:pPr>
    <w:rPr>
      <w:rFonts w:ascii="Arial" w:hAnsi="Arial" w:eastAsia="Arial" w:cs="Arial"/>
      <w:color w:val="000000"/>
      <w:sz w:val="20"/>
    </w:rPr>
  </w:style>
  <w:style w:type="paragraph" w:customStyle="1" w:styleId="Referencia">
    <w:name w:val="Referencia"/>
    <w:basedOn w:val="Normal"/>
    <w:pPr>
      <w:spacing w:line="240" w:lineRule="auto" w:before="0" w:after="240"/>
      <w:ind w:firstLine="0" w:left="0"/>
      <w:jc w:val="left"/>
    </w:pPr>
    <w:rPr>
      <w:rFonts w:ascii="Arial" w:hAnsi="Arial" w:eastAsia="Arial" w:cs="Arial"/>
      <w:color w:val="000000"/>
      <w:sz w:val="24"/>
    </w:rPr>
  </w:style>
  <w:style w:type="paragraph" w:customStyle="1" w:styleId="Celula">
    <w:name w:val="Celula"/>
    <w:basedOn w:val="Normal"/>
    <w:pPr>
      <w:spacing w:line="240" w:lineRule="auto" w:before="0" w:after="0"/>
      <w:ind w:firstLine="0" w:left="0"/>
      <w:jc w:val="left"/>
    </w:pPr>
    <w:rPr>
      <w:rFonts w:ascii="Arial" w:hAnsi="Arial" w:eastAsia="Arial" w:cs="Arial"/>
      <w:color w:val="000000"/>
      <w:sz w:val="20"/>
    </w:rPr>
  </w:style>
  <w:style w:type="paragraph" w:customStyle="1" w:styleId="Itemdelista">
    <w:name w:val="Item de lista"/>
    <w:basedOn w:val="Normal"/>
    <w:pPr>
      <w:spacing w:line="360" w:lineRule="auto" w:before="0" w:after="0"/>
      <w:ind w:firstLine="0" w:left="0"/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