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rFonts w:ascii="Calibri" w:hAnsi="Calibri"/>
          <w:b/>
          <w:bCs/>
          <w:color w:val="17365D"/>
          <w:sz w:val="48"/>
        </w:rPr>
        <w:t xml:space="preserve">AIAP Normative Assurance Standard</w:t>
      </w:r>
    </w:p>
    <w:p>
      <w:pPr>
        <w:pStyle w:val="BodyText"/>
        <w:jc w:val="center"/>
      </w:pPr>
      <w:r>
        <w:rPr>
          <w:rFonts w:ascii="Georgia" w:hAnsi="Georgia"/>
          <w:i/>
          <w:iCs/>
          <w:color w:val="595959"/>
          <w:sz w:val="24"/>
        </w:rPr>
        <w:t xml:space="preserve">Conformance requirements for claim-level assessment assurance in AI-mediated higher education</w:t>
      </w:r>
    </w:p>
    <w:p>
      <w:pPr>
        <w:pStyle w:val="BodyText"/>
        <w:jc w:val="center"/>
      </w:pPr>
      <w:r>
        <w:rPr>
          <w:rFonts w:ascii="Georgia" w:hAnsi="Georgia"/>
          <w:b/>
          <w:bCs/>
          <w:sz w:val="20"/>
        </w:rPr>
        <w:t xml:space="preserve">AIAP Release 6.5 | August 2026</w:t>
      </w:r>
    </w:p>
    <w:p>
      <w:pPr>
        <w:pStyle w:val="BodyText"/>
        <w:jc w:val="center"/>
      </w:pPr>
      <w:r>
        <w:rPr>
          <w:rFonts w:ascii="Georgia" w:hAnsi="Georgia"/>
          <w:sz w:val="20"/>
        </w:rPr>
        <w:t xml:space="preserve">Version-matched to the AIAP Core Working Paper v6.5 (Canonical Edition).</w:t>
      </w:r>
    </w:p>
    <w:bookmarkStart w:id="20" w:name="contents"/>
    <w:p>
      <w:pPr>
        <w:pStyle w:val="Heading1"/>
        <w:keepNext/>
        <w:pageBreakBefore/>
        <w:widowControl/>
        <w:jc w:val="center"/>
      </w:pPr>
      <w:r>
        <w:rPr>
          <w:rFonts w:ascii="Georgia" w:hAnsi="Georgia"/>
          <w:sz w:val="20"/>
        </w:rPr>
        <w:t xml:space="preserve">Contents</w:t>
      </w:r>
    </w:p>
    <w:p>
      <w:pPr>
        <w:pStyle w:val="TOC1"/>
        <w:tabs>
          <w:tab w:val="right" w:leader="dot" w:pos="8856"/>
        </w:tabs>
      </w:pPr>
      <w:hyperlink w:anchor="aiap_c_2000" w:history="1">
        <w:r>
          <w:rPr>
            <w:rStyle w:val="Hyperlink"/>
            <w:b/>
            <w:color w:val="1F4E79"/>
            <w:sz w:val="19"/>
          </w:rPr>
          <w:t>Status and use boundary</w:t>
        </w:r>
      </w:hyperlink>
      <w:r>
        <w:tab/>
      </w:r>
      <w:hyperlink w:anchor="aiap_c_2000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1" w:history="1">
        <w:r>
          <w:rPr>
            <w:rStyle w:val="Hyperlink"/>
            <w:b/>
            <w:color w:val="1F4E79"/>
            <w:sz w:val="19"/>
          </w:rPr>
          <w:t>1. Scope</w:t>
        </w:r>
      </w:hyperlink>
      <w:r>
        <w:tab/>
      </w:r>
      <w:hyperlink w:anchor="aiap_c_2001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2" w:history="1">
        <w:r>
          <w:rPr>
            <w:rStyle w:val="Hyperlink"/>
            <w:b/>
            <w:color w:val="1F4E79"/>
            <w:sz w:val="19"/>
          </w:rPr>
          <w:t>2. Controlling principles</w:t>
        </w:r>
      </w:hyperlink>
      <w:r>
        <w:tab/>
      </w:r>
      <w:hyperlink w:anchor="aiap_c_2002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3" w:history="1">
        <w:r>
          <w:rPr>
            <w:rStyle w:val="Hyperlink"/>
            <w:b/>
            <w:color w:val="1F4E79"/>
            <w:sz w:val="19"/>
          </w:rPr>
          <w:t>3. Required roles and independence</w:t>
        </w:r>
      </w:hyperlink>
      <w:r>
        <w:tab/>
      </w:r>
      <w:hyperlink w:anchor="aiap_c_2003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1"/>
        <w:tabs>
          <w:tab w:val="right" w:leader="dot" w:pos="8856"/>
        </w:tabs>
      </w:pPr>
      <w:hyperlink w:anchor="aiap_c_2004" w:history="1">
        <w:r>
          <w:rPr>
            <w:rStyle w:val="Hyperlink"/>
            <w:b/>
            <w:color w:val="1F4E79"/>
            <w:sz w:val="19"/>
          </w:rPr>
          <w:t>4. Six-stage protocol</w:t>
        </w:r>
      </w:hyperlink>
      <w:r>
        <w:tab/>
      </w:r>
      <w:hyperlink w:anchor="aiap_c_2004" w:history="1">
        <w:r>
          <w:rPr>
            <w:rStyle w:val="Hyperlink"/>
            <w:b/>
            <w:color w:val="1F4E79"/>
            <w:sz w:val="19"/>
          </w:rPr>
          <w:t>3</w:t>
        </w:r>
      </w:hyperlink>
    </w:p>
    <w:p>
      <w:pPr>
        <w:pStyle w:val="TOC2"/>
        <w:tabs>
          <w:tab w:val="right" w:leader="dot" w:pos="8856"/>
        </w:tabs>
      </w:pPr>
      <w:hyperlink w:anchor="aiap_c_2005" w:history="1">
        <w:r>
          <w:rPr>
            <w:rStyle w:val="Hyperlink"/>
            <w:color w:val="1F4E79"/>
            <w:sz w:val="18"/>
          </w:rPr>
          <w:t>Stage 0 — Claim decomposition</w:t>
        </w:r>
      </w:hyperlink>
      <w:r>
        <w:tab/>
      </w:r>
      <w:hyperlink w:anchor="aiap_c_2005" w:history="1">
        <w:r>
          <w:rPr>
            <w:rStyle w:val="Hyperlink"/>
            <w:color w:val="1F4E79"/>
            <w:sz w:val="18"/>
          </w:rPr>
          <w:t>3</w:t>
        </w:r>
      </w:hyperlink>
    </w:p>
    <w:p>
      <w:pPr>
        <w:pStyle w:val="TOC2"/>
        <w:tabs>
          <w:tab w:val="right" w:leader="dot" w:pos="8856"/>
        </w:tabs>
      </w:pPr>
      <w:hyperlink w:anchor="aiap_c_2006" w:history="1">
        <w:r>
          <w:rPr>
            <w:rStyle w:val="Hyperlink"/>
            <w:color w:val="1F4E79"/>
            <w:sz w:val="18"/>
          </w:rPr>
          <w:t>Stage 1 — Learning claim</w:t>
        </w:r>
      </w:hyperlink>
      <w:r>
        <w:tab/>
      </w:r>
      <w:hyperlink w:anchor="aiap_c_2006" w:history="1">
        <w:r>
          <w:rPr>
            <w:rStyle w:val="Hyperlink"/>
            <w:color w:val="1F4E79"/>
            <w:sz w:val="18"/>
          </w:rPr>
          <w:t>3</w:t>
        </w:r>
      </w:hyperlink>
    </w:p>
    <w:p>
      <w:pPr>
        <w:pStyle w:val="TOC2"/>
        <w:tabs>
          <w:tab w:val="right" w:leader="dot" w:pos="8856"/>
        </w:tabs>
      </w:pPr>
      <w:hyperlink w:anchor="aiap_c_2007" w:history="1">
        <w:r>
          <w:rPr>
            <w:rStyle w:val="Hyperlink"/>
            <w:color w:val="1F4E79"/>
            <w:sz w:val="18"/>
          </w:rPr>
          <w:t>Stage 2 — Evidence-producing condition</w:t>
        </w:r>
      </w:hyperlink>
      <w:r>
        <w:tab/>
      </w:r>
      <w:hyperlink w:anchor="aiap_c_2007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2"/>
        <w:tabs>
          <w:tab w:val="right" w:leader="dot" w:pos="8856"/>
        </w:tabs>
      </w:pPr>
      <w:hyperlink w:anchor="aiap_c_2008" w:history="1">
        <w:r>
          <w:rPr>
            <w:rStyle w:val="Hyperlink"/>
            <w:color w:val="1F4E79"/>
            <w:sz w:val="18"/>
          </w:rPr>
          <w:t>Stage 3 — Assurance route</w:t>
        </w:r>
      </w:hyperlink>
      <w:r>
        <w:tab/>
      </w:r>
      <w:hyperlink w:anchor="aiap_c_2008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2"/>
        <w:tabs>
          <w:tab w:val="right" w:leader="dot" w:pos="8856"/>
        </w:tabs>
      </w:pPr>
      <w:hyperlink w:anchor="aiap_c_2009" w:history="1">
        <w:r>
          <w:rPr>
            <w:rStyle w:val="Hyperlink"/>
            <w:color w:val="1F4E79"/>
            <w:sz w:val="18"/>
          </w:rPr>
          <w:t>Stage 4 — Roles and evidence</w:t>
        </w:r>
      </w:hyperlink>
      <w:r>
        <w:tab/>
      </w:r>
      <w:hyperlink w:anchor="aiap_c_2009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2"/>
        <w:tabs>
          <w:tab w:val="right" w:leader="dot" w:pos="8856"/>
        </w:tabs>
      </w:pPr>
      <w:hyperlink w:anchor="aiap_c_2010" w:history="1">
        <w:r>
          <w:rPr>
            <w:rStyle w:val="Hyperlink"/>
            <w:color w:val="1F4E79"/>
            <w:sz w:val="18"/>
          </w:rPr>
          <w:t>Stage 5 — Programme mapping</w:t>
        </w:r>
      </w:hyperlink>
      <w:r>
        <w:tab/>
      </w:r>
      <w:hyperlink w:anchor="aiap_c_2010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1"/>
        <w:tabs>
          <w:tab w:val="right" w:leader="dot" w:pos="8856"/>
        </w:tabs>
      </w:pPr>
      <w:hyperlink w:anchor="aiap_c_2011" w:history="1">
        <w:r>
          <w:rPr>
            <w:rStyle w:val="Hyperlink"/>
            <w:b/>
            <w:color w:val="1F4E79"/>
            <w:sz w:val="19"/>
          </w:rPr>
          <w:t>5. Lane requirements</w:t>
        </w:r>
      </w:hyperlink>
      <w:r>
        <w:tab/>
      </w:r>
      <w:hyperlink w:anchor="aiap_c_2011" w:history="1">
        <w:r>
          <w:rPr>
            <w:rStyle w:val="Hyperlink"/>
            <w:b/>
            <w:color w:val="1F4E79"/>
            <w:sz w:val="19"/>
          </w:rPr>
          <w:t>4</w:t>
        </w:r>
      </w:hyperlink>
    </w:p>
    <w:p>
      <w:pPr>
        <w:pStyle w:val="TOC2"/>
        <w:tabs>
          <w:tab w:val="right" w:leader="dot" w:pos="8856"/>
        </w:tabs>
      </w:pPr>
      <w:hyperlink w:anchor="aiap_c_2012" w:history="1">
        <w:r>
          <w:rPr>
            <w:rStyle w:val="Hyperlink"/>
            <w:color w:val="1F4E79"/>
            <w:sz w:val="18"/>
          </w:rPr>
          <w:t>5.1 Lane 1 — Secured</w:t>
        </w:r>
      </w:hyperlink>
      <w:r>
        <w:tab/>
      </w:r>
      <w:hyperlink w:anchor="aiap_c_2012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2"/>
        <w:tabs>
          <w:tab w:val="right" w:leader="dot" w:pos="8856"/>
        </w:tabs>
      </w:pPr>
      <w:hyperlink w:anchor="aiap_c_2013" w:history="1">
        <w:r>
          <w:rPr>
            <w:rStyle w:val="Hyperlink"/>
            <w:color w:val="1F4E79"/>
            <w:sz w:val="18"/>
          </w:rPr>
          <w:t>5.2 Lane 2A — Competence-authenticated open</w:t>
        </w:r>
      </w:hyperlink>
      <w:r>
        <w:tab/>
      </w:r>
      <w:hyperlink w:anchor="aiap_c_2013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2"/>
        <w:tabs>
          <w:tab w:val="right" w:leader="dot" w:pos="8856"/>
        </w:tabs>
      </w:pPr>
      <w:hyperlink w:anchor="aiap_c_2014" w:history="1">
        <w:r>
          <w:rPr>
            <w:rStyle w:val="Hyperlink"/>
            <w:color w:val="1F4E79"/>
            <w:sz w:val="18"/>
          </w:rPr>
          <w:t>5.3 Lane 2B — Open non-certifying</w:t>
        </w:r>
      </w:hyperlink>
      <w:r>
        <w:tab/>
      </w:r>
      <w:hyperlink w:anchor="aiap_c_2014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2"/>
        <w:tabs>
          <w:tab w:val="right" w:leader="dot" w:pos="8856"/>
        </w:tabs>
      </w:pPr>
      <w:hyperlink w:anchor="aiap_c_2015" w:history="1">
        <w:r>
          <w:rPr>
            <w:rStyle w:val="Hyperlink"/>
            <w:color w:val="1F4E79"/>
            <w:sz w:val="18"/>
          </w:rPr>
          <w:t>5.4 Lane 3 — AI-integrated open</w:t>
        </w:r>
      </w:hyperlink>
      <w:r>
        <w:tab/>
      </w:r>
      <w:hyperlink w:anchor="aiap_c_2015" w:history="1">
        <w:r>
          <w:rPr>
            <w:rStyle w:val="Hyperlink"/>
            <w:color w:val="1F4E79"/>
            <w:sz w:val="18"/>
          </w:rPr>
          <w:t>4</w:t>
        </w:r>
      </w:hyperlink>
    </w:p>
    <w:p>
      <w:pPr>
        <w:pStyle w:val="TOC1"/>
        <w:tabs>
          <w:tab w:val="right" w:leader="dot" w:pos="8856"/>
        </w:tabs>
      </w:pPr>
      <w:hyperlink w:anchor="aiap_c_2016" w:history="1">
        <w:r>
          <w:rPr>
            <w:rStyle w:val="Hyperlink"/>
            <w:b/>
            <w:color w:val="1F4E79"/>
            <w:sz w:val="19"/>
          </w:rPr>
          <w:t>6. Evidence and authentication</w:t>
        </w:r>
      </w:hyperlink>
      <w:r>
        <w:tab/>
      </w:r>
      <w:hyperlink w:anchor="aiap_c_2016" w:history="1">
        <w:r>
          <w:rPr>
            <w:rStyle w:val="Hyperlink"/>
            <w:b/>
            <w:color w:val="1F4E79"/>
            <w:sz w:val="19"/>
          </w:rPr>
          <w:t>5</w:t>
        </w:r>
      </w:hyperlink>
    </w:p>
    <w:p>
      <w:pPr>
        <w:pStyle w:val="TOC2"/>
        <w:tabs>
          <w:tab w:val="right" w:leader="dot" w:pos="8856"/>
        </w:tabs>
      </w:pPr>
      <w:hyperlink w:anchor="aiap_c_2017" w:history="1">
        <w:r>
          <w:rPr>
            <w:rStyle w:val="Hyperlink"/>
            <w:color w:val="1F4E79"/>
            <w:sz w:val="18"/>
          </w:rPr>
          <w:t>6.1 Prompt security, exposure, and form equivalence</w:t>
        </w:r>
      </w:hyperlink>
      <w:r>
        <w:tab/>
      </w:r>
      <w:hyperlink w:anchor="aiap_c_2017" w:history="1">
        <w:r>
          <w:rPr>
            <w:rStyle w:val="Hyperlink"/>
            <w:color w:val="1F4E79"/>
            <w:sz w:val="18"/>
          </w:rPr>
          <w:t>5</w:t>
        </w:r>
      </w:hyperlink>
    </w:p>
    <w:p>
      <w:pPr>
        <w:pStyle w:val="TOC2"/>
        <w:tabs>
          <w:tab w:val="right" w:leader="dot" w:pos="8856"/>
        </w:tabs>
      </w:pPr>
      <w:hyperlink w:anchor="aiap_c_2018" w:history="1">
        <w:r>
          <w:rPr>
            <w:rStyle w:val="Hyperlink"/>
            <w:color w:val="1F4E79"/>
            <w:sz w:val="18"/>
          </w:rPr>
          <w:t>6.2 Evidence and authentication</w:t>
        </w:r>
      </w:hyperlink>
      <w:r>
        <w:tab/>
      </w:r>
      <w:hyperlink w:anchor="aiap_c_2018" w:history="1">
        <w:r>
          <w:rPr>
            <w:rStyle w:val="Hyperlink"/>
            <w:color w:val="1F4E79"/>
            <w:sz w:val="18"/>
          </w:rPr>
          <w:t>5</w:t>
        </w:r>
      </w:hyperlink>
    </w:p>
    <w:p>
      <w:pPr>
        <w:pStyle w:val="TOC1"/>
        <w:tabs>
          <w:tab w:val="right" w:leader="dot" w:pos="8856"/>
        </w:tabs>
      </w:pPr>
      <w:hyperlink w:anchor="aiap_c_2019" w:history="1">
        <w:r>
          <w:rPr>
            <w:rStyle w:val="Hyperlink"/>
            <w:b/>
            <w:color w:val="1F4E79"/>
            <w:sz w:val="19"/>
          </w:rPr>
          <w:t>7. Product–authentication combination</w:t>
        </w:r>
      </w:hyperlink>
      <w:r>
        <w:tab/>
      </w:r>
      <w:hyperlink w:anchor="aiap_c_2019" w:history="1">
        <w:r>
          <w:rPr>
            <w:rStyle w:val="Hyperlink"/>
            <w:b/>
            <w:color w:val="1F4E79"/>
            <w:sz w:val="19"/>
          </w:rPr>
          <w:t>5</w:t>
        </w:r>
      </w:hyperlink>
    </w:p>
    <w:p>
      <w:pPr>
        <w:pStyle w:val="TOC1"/>
        <w:tabs>
          <w:tab w:val="right" w:leader="dot" w:pos="8856"/>
        </w:tabs>
      </w:pPr>
      <w:hyperlink w:anchor="aiap_c_2020" w:history="1">
        <w:r>
          <w:rPr>
            <w:rStyle w:val="Hyperlink"/>
            <w:b/>
            <w:color w:val="1F4E79"/>
            <w:sz w:val="19"/>
          </w:rPr>
          <w:t>8. Dependence and independence</w:t>
        </w:r>
      </w:hyperlink>
      <w:r>
        <w:tab/>
      </w:r>
      <w:hyperlink w:anchor="aiap_c_2020" w:history="1">
        <w:r>
          <w:rPr>
            <w:rStyle w:val="Hyperlink"/>
            <w:b/>
            <w:color w:val="1F4E79"/>
            <w:sz w:val="19"/>
          </w:rPr>
          <w:t>6</w:t>
        </w:r>
      </w:hyperlink>
    </w:p>
    <w:p>
      <w:pPr>
        <w:pStyle w:val="TOC1"/>
        <w:tabs>
          <w:tab w:val="right" w:leader="dot" w:pos="8856"/>
        </w:tabs>
      </w:pPr>
      <w:hyperlink w:anchor="aiap_c_2021" w:history="1">
        <w:r>
          <w:rPr>
            <w:rStyle w:val="Hyperlink"/>
            <w:b/>
            <w:color w:val="1F4E79"/>
            <w:sz w:val="19"/>
          </w:rPr>
          <w:t>9. Modality and threat model</w:t>
        </w:r>
      </w:hyperlink>
      <w:r>
        <w:tab/>
      </w:r>
      <w:hyperlink w:anchor="aiap_c_2021" w:history="1">
        <w:r>
          <w:rPr>
            <w:rStyle w:val="Hyperlink"/>
            <w:b/>
            <w:color w:val="1F4E79"/>
            <w:sz w:val="19"/>
          </w:rPr>
          <w:t>6</w:t>
        </w:r>
      </w:hyperlink>
    </w:p>
    <w:p>
      <w:pPr>
        <w:pStyle w:val="TOC1"/>
        <w:tabs>
          <w:tab w:val="right" w:leader="dot" w:pos="8856"/>
        </w:tabs>
      </w:pPr>
      <w:hyperlink w:anchor="aiap_c_2022" w:history="1">
        <w:r>
          <w:rPr>
            <w:rStyle w:val="Hyperlink"/>
            <w:b/>
            <w:color w:val="1F4E79"/>
            <w:sz w:val="19"/>
          </w:rPr>
          <w:t>10. Programme and public claims</w:t>
        </w:r>
      </w:hyperlink>
      <w:r>
        <w:tab/>
      </w:r>
      <w:hyperlink w:anchor="aiap_c_2022" w:history="1">
        <w:r>
          <w:rPr>
            <w:rStyle w:val="Hyperlink"/>
            <w:b/>
            <w:color w:val="1F4E79"/>
            <w:sz w:val="19"/>
          </w:rPr>
          <w:t>6</w:t>
        </w:r>
      </w:hyperlink>
    </w:p>
    <w:p>
      <w:pPr>
        <w:pStyle w:val="TOC1"/>
        <w:tabs>
          <w:tab w:val="right" w:leader="dot" w:pos="8856"/>
        </w:tabs>
      </w:pPr>
      <w:hyperlink w:anchor="aiap_c_2023" w:history="1">
        <w:r>
          <w:rPr>
            <w:rStyle w:val="Hyperlink"/>
            <w:b/>
            <w:color w:val="1F4E79"/>
            <w:sz w:val="19"/>
          </w:rPr>
          <w:t>11. Capacity, accessibility, and appeals</w:t>
        </w:r>
      </w:hyperlink>
      <w:r>
        <w:tab/>
      </w:r>
      <w:hyperlink w:anchor="aiap_c_2023" w:history="1">
        <w:r>
          <w:rPr>
            <w:rStyle w:val="Hyperlink"/>
            <w:b/>
            <w:color w:val="1F4E79"/>
            <w:sz w:val="19"/>
          </w:rPr>
          <w:t>6</w:t>
        </w:r>
      </w:hyperlink>
    </w:p>
    <w:p>
      <w:pPr>
        <w:pStyle w:val="TOC1"/>
        <w:tabs>
          <w:tab w:val="right" w:leader="dot" w:pos="8856"/>
        </w:tabs>
      </w:pPr>
      <w:hyperlink w:anchor="aiap_c_2024" w:history="1">
        <w:r>
          <w:rPr>
            <w:rStyle w:val="Hyperlink"/>
            <w:b/>
            <w:color w:val="1F4E79"/>
            <w:sz w:val="19"/>
          </w:rPr>
          <w:t>12. Evidence governance</w:t>
        </w:r>
      </w:hyperlink>
      <w:r>
        <w:tab/>
      </w:r>
      <w:hyperlink w:anchor="aiap_c_2024" w:history="1">
        <w:r>
          <w:rPr>
            <w:rStyle w:val="Hyperlink"/>
            <w:b/>
            <w:color w:val="1F4E79"/>
            <w:sz w:val="19"/>
          </w:rPr>
          <w:t>7</w:t>
        </w:r>
      </w:hyperlink>
    </w:p>
    <w:p>
      <w:pPr>
        <w:pStyle w:val="TOC1"/>
        <w:tabs>
          <w:tab w:val="right" w:leader="dot" w:pos="8856"/>
        </w:tabs>
      </w:pPr>
      <w:hyperlink w:anchor="aiap_c_2025" w:history="1">
        <w:r>
          <w:rPr>
            <w:rStyle w:val="Hyperlink"/>
            <w:b/>
            <w:color w:val="1F4E79"/>
            <w:sz w:val="19"/>
          </w:rPr>
          <w:t>13. Temporal requalification</w:t>
        </w:r>
      </w:hyperlink>
      <w:r>
        <w:tab/>
      </w:r>
      <w:hyperlink w:anchor="aiap_c_2025" w:history="1">
        <w:r>
          <w:rPr>
            <w:rStyle w:val="Hyperlink"/>
            <w:b/>
            <w:color w:val="1F4E79"/>
            <w:sz w:val="19"/>
          </w:rPr>
          <w:t>7</w:t>
        </w:r>
      </w:hyperlink>
    </w:p>
    <w:p>
      <w:pPr>
        <w:pStyle w:val="TOC1"/>
        <w:tabs>
          <w:tab w:val="right" w:leader="dot" w:pos="8856"/>
        </w:tabs>
      </w:pPr>
      <w:hyperlink w:anchor="aiap_c_2026" w:history="1">
        <w:r>
          <w:rPr>
            <w:rStyle w:val="Hyperlink"/>
            <w:b/>
            <w:color w:val="1F4E79"/>
            <w:sz w:val="19"/>
          </w:rPr>
          <w:t>14. Validation boundary</w:t>
        </w:r>
      </w:hyperlink>
      <w:r>
        <w:tab/>
      </w:r>
      <w:hyperlink w:anchor="aiap_c_2026" w:history="1">
        <w:r>
          <w:rPr>
            <w:rStyle w:val="Hyperlink"/>
            <w:b/>
            <w:color w:val="1F4E79"/>
            <w:sz w:val="19"/>
          </w:rPr>
          <w:t>7</w:t>
        </w:r>
      </w:hyperlink>
    </w:p>
    <w:p>
      <w:pPr>
        <w:pStyle w:val="TOC1"/>
        <w:tabs>
          <w:tab w:val="right" w:leader="dot" w:pos="8856"/>
        </w:tabs>
      </w:pPr>
      <w:hyperlink w:anchor="aiap_c_2027" w:history="1">
        <w:r>
          <w:rPr>
            <w:rStyle w:val="Hyperlink"/>
            <w:b/>
            <w:color w:val="1F4E79"/>
            <w:sz w:val="19"/>
          </w:rPr>
          <w:t>15. Conformance statuses</w:t>
        </w:r>
      </w:hyperlink>
      <w:r>
        <w:tab/>
      </w:r>
      <w:hyperlink w:anchor="aiap_c_2027" w:history="1">
        <w:r>
          <w:rPr>
            <w:rStyle w:val="Hyperlink"/>
            <w:b/>
            <w:color w:val="1F4E79"/>
            <w:sz w:val="19"/>
          </w:rPr>
          <w:t>7</w:t>
        </w:r>
      </w:hyperlink>
    </w:p>
    <w:p>
      <w:pPr>
        <w:pStyle w:val="TOC1"/>
        <w:tabs>
          <w:tab w:val="right" w:leader="dot" w:pos="8856"/>
        </w:tabs>
      </w:pPr>
      <w:hyperlink w:anchor="aiap_c_2028" w:history="1">
        <w:r>
          <w:rPr>
            <w:rStyle w:val="Hyperlink"/>
            <w:b/>
            <w:color w:val="1F4E79"/>
            <w:sz w:val="19"/>
          </w:rPr>
          <w:t>Appendix A. Required record fields</w:t>
        </w:r>
      </w:hyperlink>
      <w:r>
        <w:tab/>
      </w:r>
      <w:hyperlink w:anchor="aiap_c_2028" w:history="1">
        <w:r>
          <w:rPr>
            <w:rStyle w:val="Hyperlink"/>
            <w:b/>
            <w:color w:val="1F4E79"/>
            <w:sz w:val="19"/>
          </w:rPr>
          <w:t>8</w:t>
        </w:r>
      </w:hyperlink>
    </w:p>
    <w:p>
      <w:pPr>
        <w:pStyle w:val="TOC1"/>
        <w:tabs>
          <w:tab w:val="right" w:leader="dot" w:pos="8856"/>
        </w:tabs>
      </w:pPr>
      <w:hyperlink w:anchor="aiap_c_2029" w:history="1">
        <w:r>
          <w:rPr>
            <w:rStyle w:val="Hyperlink"/>
            <w:b/>
            <w:color w:val="1F4E79"/>
            <w:sz w:val="19"/>
          </w:rPr>
          <w:t>Appendix B. Core-to-standard crosswalk</w:t>
        </w:r>
      </w:hyperlink>
      <w:r>
        <w:tab/>
      </w:r>
      <w:hyperlink w:anchor="aiap_c_2029" w:history="1">
        <w:r>
          <w:rPr>
            <w:rStyle w:val="Hyperlink"/>
            <w:b/>
            <w:color w:val="1F4E79"/>
            <w:sz w:val="19"/>
          </w:rPr>
          <w:t>8</w:t>
        </w:r>
      </w:hyperlink>
    </w:p>
    <w:bookmarkEnd w:id="20"/>
    <w:bookmarkStart w:id="21" w:name="status-and-use-boundary"/>
    <w:p>
      <w:bookmarkStart w:id="2000" w:name="aiap_c_2000"/>
      <w:pPr>
        <w:pStyle w:val="Heading1"/>
        <w:keepNext/>
        <w:pageBreakBefore/>
        <w:widowControl/>
      </w:pPr>
      <w:r>
        <w:t xml:space="preserve">Status and use boundary</w:t>
      </w:r>
      <w:bookmarkEnd w:id="2000"/>
    </w:p>
    <w:p>
      <w:pPr>
        <w:pStyle w:val="FirstParagraph"/>
      </w:pPr>
      <w:r>
        <w:t xml:space="preserve">This standard is the normative companion to the AIAP Core Working Paper.</w:t>
      </w:r>
      <w:r>
        <w:t xml:space="preserve"> </w:t>
      </w:r>
      <w:r>
        <w:t xml:space="preserve">It specifies what an institution</w:t>
      </w:r>
      <w:r>
        <w:t xml:space="preserve"> </w:t>
      </w:r>
      <w:r>
        <w:rPr>
          <w:b/>
          <w:bCs/>
        </w:rPr>
        <w:t xml:space="preserve">shall</w:t>
      </w:r>
      <w:r>
        <w:t xml:space="preserve">,</w:t>
      </w:r>
      <w:r>
        <w:t xml:space="preserve"> </w:t>
      </w:r>
      <w:r>
        <w:rPr>
          <w:b/>
          <w:bCs/>
        </w:rPr>
        <w:t xml:space="preserve">should</w:t>
      </w:r>
      <w:r>
        <w:t xml:space="preserve">, and</w:t>
      </w:r>
      <w:r>
        <w:t xml:space="preserve"> </w:t>
      </w:r>
      <w:r>
        <w:rPr>
          <w:b/>
          <w:bCs/>
        </w:rPr>
        <w:t xml:space="preserve">may</w:t>
      </w:r>
      <w:r>
        <w:t xml:space="preserve"> </w:t>
      </w:r>
      <w:r>
        <w:t xml:space="preserve">do</w:t>
      </w:r>
      <w:r>
        <w:t xml:space="preserve"> </w:t>
      </w:r>
      <w:r>
        <w:t xml:space="preserve">when it claims conformance with AIAP Release 6.5. It does not establish</w:t>
      </w:r>
      <w:r>
        <w:t xml:space="preserve"> </w:t>
      </w:r>
      <w:r>
        <w:t xml:space="preserve">empirical validity, confer legal authority, replace professional</w:t>
      </w:r>
      <w:r>
        <w:t xml:space="preserve"> </w:t>
      </w:r>
      <w:r>
        <w:t xml:space="preserve">accreditation, or certify a programme merely because documents exist.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SHALL</w:t>
      </w:r>
      <w:r>
        <w:t xml:space="preserve"> </w:t>
      </w:r>
      <w:r>
        <w:t xml:space="preserve">indicates a requirement for the claimed scope.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SHOULD</w:t>
      </w:r>
      <w:r>
        <w:t xml:space="preserve"> </w:t>
      </w:r>
      <w:r>
        <w:t xml:space="preserve">indicates a strong default that may be varied only with a</w:t>
      </w:r>
      <w:r>
        <w:t xml:space="preserve"> </w:t>
      </w:r>
      <w:r>
        <w:t xml:space="preserve">recorded rationale and equivalent safeguard.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MAY</w:t>
      </w:r>
      <w:r>
        <w:t xml:space="preserve"> </w:t>
      </w:r>
      <w:r>
        <w:t xml:space="preserve">indicates a permitted option.</w:t>
      </w:r>
    </w:p>
    <w:bookmarkEnd w:id="21"/>
    <w:bookmarkStart w:id="22" w:name="X14dfe8f0b252f4039975e19fb03b37d6f7b59ff"/>
    <w:p>
      <w:bookmarkStart w:id="2001" w:name="aiap_c_2001"/>
      <w:pPr>
        <w:pStyle w:val="Heading1"/>
        <w:keepNext/>
        <w:widowControl/>
      </w:pPr>
      <w:r>
        <w:t xml:space="preserve">1. Scope</w:t>
      </w:r>
      <w:bookmarkEnd w:id="2001"/>
    </w:p>
    <w:p>
      <w:pPr>
        <w:pStyle w:val="FirstParagraph"/>
      </w:pPr>
      <w:r>
        <w:t xml:space="preserve">The standard applies to consequential assessment claims about individual</w:t>
      </w:r>
      <w:r>
        <w:t xml:space="preserve"> </w:t>
      </w:r>
      <w:r>
        <w:t xml:space="preserve">or programme capability where generative or agentic AI may affect</w:t>
      </w:r>
      <w:r>
        <w:t xml:space="preserve"> </w:t>
      </w:r>
      <w:r>
        <w:t xml:space="preserve">production, evidence, authentication, or public interpretation. It</w:t>
      </w:r>
      <w:r>
        <w:t xml:space="preserve"> </w:t>
      </w:r>
      <w:r>
        <w:t xml:space="preserve">governs the validity chain from learning claim to programme or public</w:t>
      </w:r>
      <w:r>
        <w:t xml:space="preserve"> </w:t>
      </w:r>
      <w:r>
        <w:t xml:space="preserve">use.</w:t>
      </w:r>
    </w:p>
    <w:bookmarkEnd w:id="22"/>
    <w:bookmarkStart w:id="23" w:name="X708cd6584fc71d2fdc15dd8f098dcb2c265272f"/>
    <w:p>
      <w:bookmarkStart w:id="2002" w:name="aiap_c_2002"/>
      <w:pPr>
        <w:pStyle w:val="Heading1"/>
        <w:keepNext/>
        <w:widowControl/>
      </w:pPr>
      <w:r>
        <w:t xml:space="preserve">2. Controlling principles</w:t>
      </w:r>
      <w:bookmarkEnd w:id="2002"/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Evidence-plan authority.</w:t>
      </w:r>
      <w:r>
        <w:t xml:space="preserve"> </w:t>
      </w:r>
      <w:r>
        <w:t xml:space="preserve">A lane, role, tier, or modality</w:t>
      </w:r>
      <w:r>
        <w:t xml:space="preserve"> </w:t>
      </w:r>
      <w:r>
        <w:t xml:space="preserve">distinction SHALL have authority only when it changes the evidence</w:t>
      </w:r>
      <w:r>
        <w:t xml:space="preserve"> </w:t>
      </w:r>
      <w:r>
        <w:t xml:space="preserve">plan or claim status needed for the permitted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Claim boundedness.</w:t>
      </w:r>
      <w:r>
        <w:t xml:space="preserve"> </w:t>
      </w:r>
      <w:r>
        <w:t xml:space="preserve">A claim SHALL identify the student or</w:t>
      </w:r>
      <w:r>
        <w:t xml:space="preserve"> </w:t>
      </w:r>
      <w:r>
        <w:t xml:space="preserve">population, capability, scope, version, stakes, evidence-producing</w:t>
      </w:r>
      <w:r>
        <w:t xml:space="preserve"> </w:t>
      </w:r>
      <w:r>
        <w:t xml:space="preserve">condition, evidence cut-off, decision rule, and permitted use.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Non-transfer.</w:t>
      </w:r>
      <w:r>
        <w:t xml:space="preserve"> </w:t>
      </w:r>
      <w:r>
        <w:t xml:space="preserve">Evidence for artifact quality, present competence,</w:t>
      </w:r>
      <w:r>
        <w:t xml:space="preserve"> </w:t>
      </w:r>
      <w:r>
        <w:t xml:space="preserve">production provenance, and AI-integrated capability SHALL NOT be</w:t>
      </w:r>
      <w:r>
        <w:t xml:space="preserve"> </w:t>
      </w:r>
      <w:r>
        <w:t xml:space="preserve">treated as interchangeable.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Fail-closed prerequisites.</w:t>
      </w:r>
      <w:r>
        <w:t xml:space="preserve"> </w:t>
      </w:r>
      <w:r>
        <w:t xml:space="preserve">A missing rights, identity,</w:t>
      </w:r>
      <w:r>
        <w:t xml:space="preserve"> </w:t>
      </w:r>
      <w:r>
        <w:t xml:space="preserve">independence, construct-validity, accessibility, security,</w:t>
      </w:r>
      <w:r>
        <w:t xml:space="preserve"> </w:t>
      </w:r>
      <w:r>
        <w:t xml:space="preserve">governance, or authority prerequisite SHALL NOT be compensated by</w:t>
      </w:r>
      <w:r>
        <w:t xml:space="preserve"> </w:t>
      </w:r>
      <w:r>
        <w:t xml:space="preserve">stronger evidence elsewhere.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Psychometric accumulation.</w:t>
      </w:r>
      <w:r>
        <w:t xml:space="preserve"> </w:t>
      </w:r>
      <w:r>
        <w:t xml:space="preserve">Genuinely informative and</w:t>
      </w:r>
      <w:r>
        <w:t xml:space="preserve"> </w:t>
      </w:r>
      <w:r>
        <w:t xml:space="preserve">sufficiently independent observations MAY increase precision and</w:t>
      </w:r>
      <w:r>
        <w:t xml:space="preserve"> </w:t>
      </w:r>
      <w:r>
        <w:t xml:space="preserve">generalizability when their dependence and construct coverage are</w:t>
      </w:r>
      <w:r>
        <w:t xml:space="preserve"> </w:t>
      </w:r>
      <w:r>
        <w:t xml:space="preserve">declared.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Public-claim integrity.</w:t>
      </w:r>
      <w:r>
        <w:t xml:space="preserve"> </w:t>
      </w:r>
      <w:r>
        <w:t xml:space="preserve">Programme, degree, accreditation,</w:t>
      </w:r>
      <w:r>
        <w:t xml:space="preserve"> </w:t>
      </w:r>
      <w:r>
        <w:t xml:space="preserve">transcript, employer-facing, and public wording SHALL NOT exceed the</w:t>
      </w:r>
      <w:r>
        <w:t xml:space="preserve"> </w:t>
      </w:r>
      <w:r>
        <w:t xml:space="preserve">evidence collected.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Corrigibility.</w:t>
      </w:r>
      <w:r>
        <w:t xml:space="preserve"> </w:t>
      </w:r>
      <w:r>
        <w:t xml:space="preserve">Assurance SHALL expire, narrow, or be requalified</w:t>
      </w:r>
      <w:r>
        <w:t xml:space="preserve"> </w:t>
      </w:r>
      <w:r>
        <w:t xml:space="preserve">after material changes or demonstrated failure.</w:t>
      </w:r>
    </w:p>
    <w:bookmarkEnd w:id="23"/>
    <w:bookmarkStart w:id="24" w:name="X955baea647d7c340866cfd006ca968172bd3120"/>
    <w:p>
      <w:bookmarkStart w:id="2003" w:name="aiap_c_2003"/>
      <w:pPr>
        <w:pStyle w:val="Heading1"/>
        <w:keepNext/>
        <w:widowControl/>
      </w:pPr>
      <w:r>
        <w:t xml:space="preserve">3. Required roles and independence</w:t>
      </w:r>
      <w:bookmarkEnd w:id="2003"/>
    </w:p>
    <w:p>
      <w:pPr>
        <w:pStyle w:val="FirstParagraph"/>
      </w:pPr>
      <w:r>
        <w:t xml:space="preserve">The institution SHALL assign accountable owners for programme assurance,</w:t>
      </w:r>
      <w:r>
        <w:t xml:space="preserve"> </w:t>
      </w:r>
      <w:r>
        <w:t xml:space="preserve">assessment design, delivery, authentication, moderation, accessibility,</w:t>
      </w:r>
      <w:r>
        <w:t xml:space="preserve"> </w:t>
      </w:r>
      <w:r>
        <w:t xml:space="preserve">data governance, appeal, and public wording. Conflicts SHALL be</w:t>
      </w:r>
      <w:r>
        <w:t xml:space="preserve"> </w:t>
      </w:r>
      <w:r>
        <w:t xml:space="preserve">disclosed. For high-consequence claims, the design SHALL include a</w:t>
      </w:r>
      <w:r>
        <w:t xml:space="preserve"> </w:t>
      </w:r>
      <w:r>
        <w:t xml:space="preserve">materially independent review or evidence path appropriate to the threat</w:t>
      </w:r>
      <w:r>
        <w:t xml:space="preserve"> </w:t>
      </w:r>
      <w:r>
        <w:t xml:space="preserve">model.</w:t>
      </w:r>
    </w:p>
    <w:bookmarkEnd w:id="24"/>
    <w:bookmarkStart w:id="31" w:name="X1212e64c97985e8146e256c0309f2e2cd4e1c14"/>
    <w:p>
      <w:bookmarkStart w:id="2004" w:name="aiap_c_2004"/>
      <w:pPr>
        <w:pStyle w:val="Heading1"/>
        <w:keepNext/>
        <w:widowControl/>
      </w:pPr>
      <w:r>
        <w:t xml:space="preserve">4. Six-stage protocol</w:t>
      </w:r>
      <w:bookmarkEnd w:id="2004"/>
    </w:p>
    <w:bookmarkStart w:id="25" w:name="stage-0--claim-decomposition"/>
    <w:p>
      <w:bookmarkStart w:id="2005" w:name="aiap_c_2005"/>
      <w:pPr>
        <w:pStyle w:val="Heading2"/>
        <w:keepNext/>
        <w:widowControl/>
      </w:pPr>
      <w:r>
        <w:t xml:space="preserve">Stage 0 — Claim decomposition</w:t>
      </w:r>
      <w:bookmarkEnd w:id="2005"/>
    </w:p>
    <w:p>
      <w:pPr>
        <w:pStyle w:val="FirstParagraph"/>
      </w:pPr>
      <w:r>
        <w:t xml:space="preserve">Every graded, progression-bearing, accreditation-bearing, or otherwise</w:t>
      </w:r>
      <w:r>
        <w:t xml:space="preserve"> </w:t>
      </w:r>
      <w:r>
        <w:t xml:space="preserve">consequential material claim SHALL be identified separately. A</w:t>
      </w:r>
      <w:r>
        <w:t xml:space="preserve"> </w:t>
      </w:r>
      <w:r>
        <w:t xml:space="preserve">whole-task lane MAY be used only when every material claim shares the</w:t>
      </w:r>
      <w:r>
        <w:t xml:space="preserve"> </w:t>
      </w:r>
      <w:r>
        <w:t xml:space="preserve">same assurance logic.</w:t>
      </w:r>
    </w:p>
    <w:bookmarkEnd w:id="25"/>
    <w:bookmarkStart w:id="26" w:name="stage-1--learning-claim"/>
    <w:p>
      <w:bookmarkStart w:id="2006" w:name="aiap_c_2006"/>
      <w:pPr>
        <w:pStyle w:val="Heading2"/>
        <w:keepNext/>
        <w:widowControl/>
      </w:pPr>
      <w:r>
        <w:t xml:space="preserve">Stage 1 — Learning claim</w:t>
      </w:r>
      <w:bookmarkEnd w:id="2006"/>
    </w:p>
    <w:p>
      <w:pPr>
        <w:pStyle w:val="FirstParagraph"/>
      </w:pPr>
      <w:r>
        <w:t>The capability and intended inference SHALL be explicit. The construct SHALL distinguish four positive assurance objects where relevant: artifact quality, present demonstrable competence, production provenance or unaided authorship, and AI-integrated capability. Lane 1 independent capability SHALL be recorded as a condition-qualified form of present demonstrable competence; Lane 2B non-certifying learning support SHALL be recorded as a claim-status routing value rather than as an additional positive assurance object.</w:t>
      </w:r>
    </w:p>
    <w:bookmarkEnd w:id="26"/>
    <w:bookmarkStart w:id="27" w:name="stage-2--evidence-producing-condition"/>
    <w:p>
      <w:bookmarkStart w:id="2007" w:name="aiap_c_2007"/>
      <w:pPr>
        <w:pStyle w:val="Heading2"/>
        <w:keepNext/>
        <w:widowControl/>
      </w:pPr>
      <w:r>
        <w:t xml:space="preserve">Stage 2 — Evidence-producing condition</w:t>
      </w:r>
      <w:bookmarkEnd w:id="2007"/>
    </w:p>
    <w:p>
      <w:pPr>
        <w:pStyle w:val="FirstParagraph"/>
      </w:pPr>
      <w:r>
        <w:t xml:space="preserve">The condition SHALL be recorded as controlled or open, with modality,</w:t>
      </w:r>
      <w:r>
        <w:t xml:space="preserve"> </w:t>
      </w:r>
      <w:r>
        <w:t xml:space="preserve">assistance channels, identity controls, residual threats, accessibility</w:t>
      </w:r>
      <w:r>
        <w:t xml:space="preserve"> </w:t>
      </w:r>
      <w:r>
        <w:t xml:space="preserve">arrangements, and limitations. “Controlled” SHALL NOT be treated as</w:t>
      </w:r>
      <w:r>
        <w:t xml:space="preserve"> </w:t>
      </w:r>
      <w:r>
        <w:t xml:space="preserve">perfect observation.</w:t>
      </w:r>
    </w:p>
    <w:bookmarkEnd w:id="27"/>
    <w:bookmarkStart w:id="28" w:name="stage-3--assurance-route"/>
    <w:p>
      <w:bookmarkStart w:id="2008" w:name="aiap_c_2008"/>
      <w:pPr>
        <w:pStyle w:val="Heading2"/>
        <w:keepNext/>
        <w:widowControl/>
      </w:pPr>
      <w:r>
        <w:t xml:space="preserve">Stage 3 — Assurance route</w:t>
      </w:r>
      <w:bookmarkEnd w:id="2008"/>
    </w:p>
    <w:p>
      <w:pPr>
        <w:pStyle w:val="FirstParagraph"/>
      </w:pPr>
      <w:r>
        <w:t xml:space="preserve">Each material claim SHALL be assigned Lane 1, Lane 2A, Lane 2B, or Lane</w:t>
      </w:r>
      <w:r>
        <w:t xml:space="preserve"> </w:t>
      </w:r>
      <w:r>
        <w:t xml:space="preserve">3.</w:t>
      </w:r>
    </w:p>
    <w:bookmarkEnd w:id="28"/>
    <w:bookmarkStart w:id="29" w:name="stage-4--roles-and-evidence"/>
    <w:p>
      <w:bookmarkStart w:id="2009" w:name="aiap_c_2009"/>
      <w:pPr>
        <w:pStyle w:val="Heading2"/>
        <w:keepNext/>
        <w:widowControl/>
      </w:pPr>
      <w:r>
        <w:t xml:space="preserve">Stage 4 — Roles and evidence</w:t>
      </w:r>
      <w:bookmarkEnd w:id="2009"/>
    </w:p>
    <w:p>
      <w:pPr>
        <w:pStyle w:val="FirstParagraph"/>
      </w:pPr>
      <w:r>
        <w:t xml:space="preserve">AI roles, required evidence, authentication, combination model,</w:t>
      </w:r>
      <w:r>
        <w:t xml:space="preserve"> </w:t>
      </w:r>
      <w:r>
        <w:t xml:space="preserve">dependence groups, retention, appeal, and reassessment SHALL be</w:t>
      </w:r>
      <w:r>
        <w:t xml:space="preserve"> </w:t>
      </w:r>
      <w:r>
        <w:t xml:space="preserve">predeclared.</w:t>
      </w:r>
    </w:p>
    <w:bookmarkEnd w:id="29"/>
    <w:bookmarkStart w:id="30" w:name="stage-5--programme-mapping"/>
    <w:p>
      <w:bookmarkStart w:id="2010" w:name="aiap_c_2010"/>
      <w:pPr>
        <w:pStyle w:val="Heading2"/>
        <w:keepNext/>
        <w:widowControl/>
      </w:pPr>
      <w:r>
        <w:t xml:space="preserve">Stage 5 — Programme mapping</w:t>
      </w:r>
      <w:bookmarkEnd w:id="2010"/>
    </w:p>
    <w:p>
      <w:pPr>
        <w:pStyle w:val="FirstParagraph"/>
      </w:pPr>
      <w:r>
        <w:t xml:space="preserve">The result SHALL be mapped to module, programme, progression, award,</w:t>
      </w:r>
      <w:r>
        <w:t xml:space="preserve"> </w:t>
      </w:r>
      <w:r>
        <w:t xml:space="preserve">accreditation, and public-claim uses. Under-evidenced claims SHALL be</w:t>
      </w:r>
      <w:r>
        <w:t xml:space="preserve"> </w:t>
      </w:r>
      <w:r>
        <w:t xml:space="preserve">marked and corrected, narrowed, relocated, or withheld.</w:t>
      </w:r>
    </w:p>
    <w:bookmarkEnd w:id="30"/>
    <w:bookmarkEnd w:id="31"/>
    <w:bookmarkStart w:id="36" w:name="Xc7e3f86de861288ce094dea7ae0f645efbb4470"/>
    <w:p>
      <w:bookmarkStart w:id="2011" w:name="aiap_c_2011"/>
      <w:pPr>
        <w:pStyle w:val="Heading1"/>
        <w:keepNext/>
        <w:widowControl/>
      </w:pPr>
      <w:r>
        <w:t xml:space="preserve">5. Lane requirements</w:t>
      </w:r>
      <w:bookmarkEnd w:id="2011"/>
    </w:p>
    <w:bookmarkStart w:id="32" w:name="X6b1cf30a3dc500c7d0cb16e8b4c5e43888071c6"/>
    <w:p>
      <w:bookmarkStart w:id="2012" w:name="aiap_c_2012"/>
      <w:pPr>
        <w:pStyle w:val="Heading2"/>
        <w:keepNext/>
        <w:widowControl/>
      </w:pPr>
      <w:r>
        <w:t xml:space="preserve">5.1 Lane 1 — Secured</w:t>
      </w:r>
      <w:bookmarkEnd w:id="2012"/>
    </w:p>
    <w:p>
      <w:pPr>
        <w:pStyle w:val="FirstParagraph"/>
      </w:pPr>
      <w:r>
        <w:t xml:space="preserve">Lane 1 SHALL use performance under materially constrained conditions</w:t>
      </w:r>
      <w:r>
        <w:t xml:space="preserve"> </w:t>
      </w:r>
      <w:r>
        <w:t xml:space="preserve">when an independent-capability inference is required. Identity,</w:t>
      </w:r>
      <w:r>
        <w:t xml:space="preserve"> </w:t>
      </w:r>
      <w:r>
        <w:t xml:space="preserve">construct validity, accommodations, residual assistance, scoring</w:t>
      </w:r>
      <w:r>
        <w:t xml:space="preserve"> </w:t>
      </w:r>
      <w:r>
        <w:t xml:space="preserve">reliability, and control strength SHALL be recorded. Lane 1 SHALL NOT be</w:t>
      </w:r>
      <w:r>
        <w:t xml:space="preserve"> </w:t>
      </w:r>
      <w:r>
        <w:t xml:space="preserve">represented as absolute proof of unaided production or complete</w:t>
      </w:r>
      <w:r>
        <w:t xml:space="preserve"> </w:t>
      </w:r>
      <w:r>
        <w:t xml:space="preserve">historical provenance.</w:t>
      </w:r>
    </w:p>
    <w:bookmarkEnd w:id="32"/>
    <w:bookmarkStart w:id="33" w:name="X12e5eb7714ce5b5e3b42993903464ec0da3c514"/>
    <w:p>
      <w:bookmarkStart w:id="2013" w:name="aiap_c_2013"/>
      <w:pPr>
        <w:pStyle w:val="Heading2"/>
        <w:keepNext/>
        <w:widowControl/>
      </w:pPr>
      <w:r>
        <w:t xml:space="preserve">5.2 Lane 2A — Competence-authenticated open</w:t>
      </w:r>
      <w:bookmarkEnd w:id="2013"/>
    </w:p>
    <w:p>
      <w:pPr>
        <w:pStyle w:val="FirstParagraph"/>
      </w:pPr>
      <w:r>
        <w:t xml:space="preserve">Lane 2A SHALL pair open work with claim-targeted competence</w:t>
      </w:r>
      <w:r>
        <w:t xml:space="preserve"> </w:t>
      </w:r>
      <w:r>
        <w:t xml:space="preserve">authentication. Present demonstrable competence SHALL be treated as a</w:t>
      </w:r>
      <w:r>
        <w:t xml:space="preserve"> </w:t>
      </w:r>
      <w:r>
        <w:t xml:space="preserve">declared profile rather than a presumed single trait. The programme SHALL</w:t>
      </w:r>
      <w:r>
        <w:t xml:space="preserve"> </w:t>
      </w:r>
      <w:r>
        <w:t xml:space="preserve">name which of</w:t>
      </w:r>
      <w:r>
        <w:t xml:space="preserve"> </w:t>
      </w:r>
      <w:r>
        <w:rPr>
          <w:b/>
          <w:bCs/>
        </w:rPr>
        <w:t xml:space="preserve">explain, defend, verify, adapt, and transfer</w:t>
      </w:r>
      <w:r>
        <w:t xml:space="preserve"> </w:t>
      </w:r>
      <w:r>
        <w:t xml:space="preserve">are</w:t>
      </w:r>
      <w:r>
        <w:t xml:space="preserve"> </w:t>
      </w:r>
      <w:r>
        <w:t xml:space="preserve">load-bearing for the claim. For consequential use, authentication SHALL</w:t>
      </w:r>
      <w:r>
        <w:t xml:space="preserve"> </w:t>
      </w:r>
      <w:r>
        <w:t xml:space="preserve">include at least one materially unseen or meaningfully perturbed element.</w:t>
      </w:r>
      <w:r>
        <w:t xml:space="preserve"> </w:t>
      </w:r>
      <w:r>
        <w:t xml:space="preserve">Rehearsal MAY support learning but SHALL NOT be the sole evidence of</w:t>
      </w:r>
      <w:r>
        <w:t xml:space="preserve"> </w:t>
      </w:r>
      <w:r>
        <w:t xml:space="preserve">transfer. Lane 2A supports the declared competence profile and SHALL NOT</w:t>
      </w:r>
      <w:r>
        <w:t xml:space="preserve"> </w:t>
      </w:r>
      <w:r>
        <w:t xml:space="preserve">be represented as complete production provenance.</w:t>
      </w:r>
    </w:p>
    <w:p>
      <w:pPr>
        <w:pStyle w:val="BodyText"/>
      </w:pPr>
      <w:r>
        <w:t xml:space="preserve">Open-remote Lane 2A SHALL NOT be the sole warrant for a high-consequence</w:t>
      </w:r>
      <w:r>
        <w:t xml:space="preserve"> </w:t>
      </w:r>
      <w:r>
        <w:t xml:space="preserve">claim unless a modality-specific threat model and controls establish</w:t>
      </w:r>
      <w:r>
        <w:t xml:space="preserve"> </w:t>
      </w:r>
      <w:r>
        <w:t xml:space="preserve">sufficient environmental independence. Otherwise the institution SHALL</w:t>
      </w:r>
      <w:r>
        <w:t xml:space="preserve"> </w:t>
      </w:r>
      <w:r>
        <w:t xml:space="preserve">add an independent anchor, reduce stakes, narrow wording, or reclassify</w:t>
      </w:r>
      <w:r>
        <w:t xml:space="preserve"> </w:t>
      </w:r>
      <w:r>
        <w:t xml:space="preserve">the route.</w:t>
      </w:r>
    </w:p>
    <w:bookmarkEnd w:id="33"/>
    <w:bookmarkStart w:id="34" w:name="X598ac97614e93b1f24f5e722a563c0d882dfc92"/>
    <w:p>
      <w:bookmarkStart w:id="2014" w:name="aiap_c_2014"/>
      <w:pPr>
        <w:pStyle w:val="Heading2"/>
        <w:keepNext/>
        <w:widowControl/>
      </w:pPr>
      <w:r>
        <w:t xml:space="preserve">5.3 Lane 2B — Open non-certifying</w:t>
      </w:r>
      <w:bookmarkEnd w:id="2014"/>
    </w:p>
    <w:p>
      <w:pPr>
        <w:pStyle w:val="FirstParagraph"/>
      </w:pPr>
      <w:r>
        <w:t xml:space="preserve">Lane 2B SHALL state explicitly that the task does not carry primary</w:t>
      </w:r>
      <w:r>
        <w:t xml:space="preserve"> </w:t>
      </w:r>
      <w:r>
        <w:t xml:space="preserve">certification authority for the specified capability. The programme map</w:t>
      </w:r>
      <w:r>
        <w:t xml:space="preserve"> </w:t>
      </w:r>
      <w:r>
        <w:t xml:space="preserve">SHALL identify where the consequential claim is assured elsewhere.</w:t>
      </w:r>
      <w:r>
        <w:t xml:space="preserve"> </w:t>
      </w:r>
      <w:r>
        <w:t xml:space="preserve">Repeated, heavily weighted, progression-bearing, or programme-critical</w:t>
      </w:r>
      <w:r>
        <w:t xml:space="preserve"> </w:t>
      </w:r>
      <w:r>
        <w:t xml:space="preserve">use SHALL trigger promotion to Lane 1, 2A, or 3, or removal of the</w:t>
      </w:r>
      <w:r>
        <w:t xml:space="preserve"> </w:t>
      </w:r>
      <w:r>
        <w:t xml:space="preserve">unsupported claim.</w:t>
      </w:r>
    </w:p>
    <w:bookmarkEnd w:id="34"/>
    <w:bookmarkStart w:id="35" w:name="X113f394709d22295fdf55d7fb0ae7ba3502bee7"/>
    <w:p>
      <w:bookmarkStart w:id="2015" w:name="aiap_c_2015"/>
      <w:pPr>
        <w:pStyle w:val="Heading2"/>
        <w:keepNext/>
        <w:widowControl/>
      </w:pPr>
      <w:r>
        <w:t xml:space="preserve">5.4 Lane 3 — AI-integrated open</w:t>
      </w:r>
      <w:bookmarkEnd w:id="2015"/>
    </w:p>
    <w:p>
      <w:pPr>
        <w:pStyle w:val="FirstParagraph"/>
      </w:pPr>
      <w:r>
        <w:t xml:space="preserve">Lane 3 SHALL make accountable AI-mediated practice part of the</w:t>
      </w:r>
      <w:r>
        <w:t xml:space="preserve"> </w:t>
      </w:r>
      <w:r>
        <w:t xml:space="preserve">construct. Evidence SHALL identify delegated functions, retained human</w:t>
      </w:r>
      <w:r>
        <w:t xml:space="preserve"> </w:t>
      </w:r>
      <w:r>
        <w:t xml:space="preserve">decisions, verification, rejected recommendations, override/stop points,</w:t>
      </w:r>
      <w:r>
        <w:t xml:space="preserve"> </w:t>
      </w:r>
      <w:r>
        <w:t xml:space="preserve">risk controls, and responsibility. For high-consequence claims of</w:t>
      </w:r>
      <w:r>
        <w:t xml:space="preserve"> </w:t>
      </w:r>
      <w:r>
        <w:t xml:space="preserve">judgement or oversight, workflow records alone are insufficient; an</w:t>
      </w:r>
      <w:r>
        <w:t xml:space="preserve"> </w:t>
      </w:r>
      <w:r>
        <w:t xml:space="preserve">authenticated judgement or transfer component SHALL be included.</w:t>
      </w:r>
    </w:p>
    <w:bookmarkEnd w:id="35"/>
    <w:bookmarkEnd w:id="36"/>
    <w:bookmarkStart w:id="39" w:name="Xbadcc2aec36194dd0e92c7b714f3789e70e4f15"/>
    <w:p>
      <w:bookmarkStart w:id="2016" w:name="aiap_c_2016"/>
      <w:pPr>
        <w:pStyle w:val="Heading1"/>
        <w:keepNext/>
        <w:widowControl/>
      </w:pPr>
      <w:r>
        <w:t xml:space="preserve">6. Evidence and authentication</w:t>
      </w:r>
      <w:bookmarkEnd w:id="2016"/>
    </w:p>
    <w:bookmarkStart w:id="37" w:name="Xfeca1b77d741237b873daa776c9d0e2aca1317f"/>
    <w:p>
      <w:bookmarkStart w:id="2017" w:name="aiap_c_2017"/>
      <w:pPr>
        <w:pStyle w:val="Heading2"/>
        <w:keepNext/>
        <w:widowControl/>
      </w:pPr>
      <w:r>
        <w:t xml:space="preserve">6.1 Prompt security, exposure, and form equivalence</w:t>
      </w:r>
      <w:bookmarkEnd w:id="2017"/>
    </w:p>
    <w:p>
      <w:pPr>
        <w:pStyle w:val="FirstParagraph"/>
      </w:pPr>
      <w:r>
        <w:t xml:space="preserve">For every consequential Lane 2A event, the institution SHALL declare the</w:t>
      </w:r>
      <w:r>
        <w:t xml:space="preserve"> </w:t>
      </w:r>
      <w:r>
        <w:t xml:space="preserve">cohort and exposure window, prompt or live-perturbation source, allocation</w:t>
      </w:r>
      <w:r>
        <w:t xml:space="preserve"> </w:t>
      </w:r>
      <w:r>
        <w:t xml:space="preserve">method, use count, rotation or retirement rule, exposure-monitoring route,</w:t>
      </w:r>
      <w:r>
        <w:t xml:space="preserve"> </w:t>
      </w:r>
      <w:r>
        <w:t xml:space="preserve">and responsible owner. The unseen element SHOULD be generated through a</w:t>
      </w:r>
      <w:r>
        <w:t xml:space="preserve"> </w:t>
      </w:r>
      <w:r>
        <w:t xml:space="preserve">claim-targeted live perturbation of the student's own artifact where that</w:t>
      </w:r>
      <w:r>
        <w:t xml:space="preserve"> </w:t>
      </w:r>
      <w:r>
        <w:t xml:space="preserve">preserves construct coverage and accessibility. Static banks MAY be used</w:t>
      </w:r>
      <w:r>
        <w:t xml:space="preserve"> </w:t>
      </w:r>
      <w:r>
        <w:t xml:space="preserve">only under governed access and exposure controls.</w:t>
      </w:r>
    </w:p>
    <w:p>
      <w:pPr>
        <w:pStyle w:val="BodyText"/>
      </w:pPr>
      <w:r>
        <w:t xml:space="preserve">Different forms carrying the same hurdle decision SHALL have a common</w:t>
      </w:r>
      <w:r>
        <w:t xml:space="preserve"> </w:t>
      </w:r>
      <w:r>
        <w:t xml:space="preserve">construct blueprint and evidence supporting parallel-form equivalence.</w:t>
      </w:r>
      <w:r>
        <w:t xml:space="preserve"> </w:t>
      </w:r>
      <w:r>
        <w:t xml:space="preserve">Where equivalence is not established, the institution SHALL narrow the</w:t>
      </w:r>
      <w:r>
        <w:t xml:space="preserve"> </w:t>
      </w:r>
      <w:r>
        <w:t xml:space="preserve">inference, use a common equivalent challenge, or treat form as a material</w:t>
      </w:r>
      <w:r>
        <w:t xml:space="preserve"> </w:t>
      </w:r>
      <w:r>
        <w:t xml:space="preserve">source of uncertainty. Credible circulation or compromise SHALL trigger</w:t>
      </w:r>
      <w:r>
        <w:t xml:space="preserve"> </w:t>
      </w:r>
      <w:r>
        <w:t xml:space="preserve">item retirement, incident review, and requalification of affected</w:t>
      </w:r>
      <w:r>
        <w:t xml:space="preserve"> </w:t>
      </w:r>
      <w:r>
        <w:t xml:space="preserve">decisions.</w:t>
      </w:r>
    </w:p>
    <w:p>
      <w:pPr>
        <w:pStyle w:val="BodyText"/>
      </w:pPr>
      <w:r>
        <w:t xml:space="preserve">The interval between submission and authentication SHALL be recorded and</w:t>
      </w:r>
      <w:r>
        <w:t xml:space="preserve"> </w:t>
      </w:r>
      <w:r>
        <w:t xml:space="preserve">justified. A delay that materially changes the relationship between the</w:t>
      </w:r>
      <w:r>
        <w:t xml:space="preserve"> </w:t>
      </w:r>
      <w:r>
        <w:t xml:space="preserve">artifact and present competence SHALL narrow the inference or require a</w:t>
      </w:r>
      <w:r>
        <w:t xml:space="preserve"> </w:t>
      </w:r>
      <w:r>
        <w:t xml:space="preserve">new evidence event.</w:t>
      </w:r>
    </w:p>
    <w:bookmarkEnd w:id="37"/>
    <w:bookmarkStart w:id="38" w:name="X7ca527492674ae607948e69b10c09df8517a2f4"/>
    <w:p>
      <w:bookmarkStart w:id="2018" w:name="aiap_c_2018"/>
      <w:pPr>
        <w:pStyle w:val="Heading2"/>
        <w:keepNext/>
        <w:widowControl/>
      </w:pPr>
      <w:r>
        <w:t xml:space="preserve">6.2 Evidence and authentication</w:t>
      </w:r>
      <w:bookmarkEnd w:id="2018"/>
    </w:p>
    <w:p>
      <w:pPr>
        <w:pStyle w:val="FirstParagraph"/>
      </w:pPr>
      <w:r>
        <w:t xml:space="preserve">The evidence plan SHALL distinguish product, process, source,</w:t>
      </w:r>
      <w:r>
        <w:t xml:space="preserve"> </w:t>
      </w:r>
      <w:r>
        <w:t xml:space="preserve">reflection, identity, competence, provenance, transfer, and judgement</w:t>
      </w:r>
      <w:r>
        <w:t xml:space="preserve"> </w:t>
      </w:r>
      <w:r>
        <w:t xml:space="preserve">evidence. An AI-use record SHALL be required only when it materially</w:t>
      </w:r>
      <w:r>
        <w:t xml:space="preserve"> </w:t>
      </w:r>
      <w:r>
        <w:t xml:space="preserve">serves a declared learning, validity, accountability, or governance</w:t>
      </w:r>
      <w:r>
        <w:t xml:space="preserve"> </w:t>
      </w:r>
      <w:r>
        <w:t xml:space="preserve">purpose. Data SHALL NOT be collected merely because it is available.</w:t>
      </w:r>
    </w:p>
    <w:p>
      <w:pPr>
        <w:pStyle w:val="BodyText"/>
      </w:pPr>
      <w:r>
        <w:t xml:space="preserve">Weak authentication SHALL be routed first as a validity concern.</w:t>
      </w:r>
      <w:r>
        <w:t xml:space="preserve"> </w:t>
      </w:r>
      <w:r>
        <w:t xml:space="preserve">Misconduct referral requires independent evidence of deception,</w:t>
      </w:r>
      <w:r>
        <w:t xml:space="preserve"> </w:t>
      </w:r>
      <w:r>
        <w:t xml:space="preserve">fabrication, outsourcing contrary to a declared production constraint,</w:t>
      </w:r>
      <w:r>
        <w:t xml:space="preserve"> </w:t>
      </w:r>
      <w:r>
        <w:t xml:space="preserve">identity breach, or violation of controlled conditions.</w:t>
      </w:r>
    </w:p>
    <w:p>
      <w:pPr>
        <w:pStyle w:val="BodyText"/>
      </w:pPr>
      <w:r>
        <w:t>For collaborative work, a group artifact SHALL NOT carry an individual consequential claim unless each student's evidence is separately attributable. Group walkthroughs MAY reduce scheduling burden only when each student receives a separately addressed challenge, is separately scored, and has an individual decision record. Where an individual consequential claim depends on authentication, every student SHALL complete the declared minimum authentication; sampling SHALL NOT substitute for individual certification evidence and MAY be used only for moderation, calibration, audit, or research.</w:t>
      </w:r>
      <w:r/>
      <w:r/>
      <w:r/>
      <w:r/>
      <w:r/>
      <w:r/>
      <w:r/>
      <w:r/>
    </w:p>
    <w:bookmarkEnd w:id="38"/>
    <w:bookmarkEnd w:id="39"/>
    <w:bookmarkStart w:id="40" w:name="Xed7fbe61e9301955ff355a8d0fb82867a0b5489"/>
    <w:p>
      <w:bookmarkStart w:id="2019" w:name="aiap_c_2019"/>
      <w:pPr>
        <w:pStyle w:val="Heading1"/>
        <w:keepNext/>
        <w:widowControl/>
      </w:pPr>
      <w:r>
        <w:t xml:space="preserve">7. Product–authentication combination</w:t>
      </w:r>
      <w:bookmarkEnd w:id="2019"/>
    </w:p>
    <w:p>
      <w:pPr>
        <w:pStyle w:val="FirstParagraph"/>
      </w:pPr>
      <w:r>
        <w:t xml:space="preserve">The institution SHALL select and publish one of the following before</w:t>
      </w:r>
      <w:r>
        <w:t xml:space="preserve"> </w:t>
      </w:r>
      <w:r>
        <w:t xml:space="preserve">assessment begins: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Hurdle model:</w:t>
      </w:r>
      <w:r>
        <w:t xml:space="preserve"> </w:t>
      </w:r>
      <w:r>
        <w:t xml:space="preserve">certification requires a minimum authentication</w:t>
      </w:r>
      <w:r>
        <w:t xml:space="preserve"> </w:t>
      </w:r>
      <w:r>
        <w:t xml:space="preserve">result; product strength cannot compensate for failure of the hurdle.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Dual-score model:</w:t>
      </w:r>
      <w:r>
        <w:t xml:space="preserve"> </w:t>
      </w:r>
      <w:r>
        <w:t xml:space="preserve">product quality and authenticated competence are</w:t>
      </w:r>
      <w:r>
        <w:t xml:space="preserve"> </w:t>
      </w:r>
      <w:r>
        <w:t xml:space="preserve">scored and reported separately, with a declared progression rule.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Integrated rubric model:</w:t>
      </w:r>
      <w:r>
        <w:t xml:space="preserve"> </w:t>
      </w:r>
      <w:r>
        <w:t xml:space="preserve">evidence sources are mapped to criteria,</w:t>
      </w:r>
      <w:r>
        <w:t xml:space="preserve"> </w:t>
      </w:r>
      <w:r>
        <w:t xml:space="preserve">double counting is prohibited, and essential minima are declared.</w:t>
      </w:r>
    </w:p>
    <w:p>
      <w:pPr>
        <w:pStyle w:val="FirstParagraph"/>
      </w:pPr>
      <w:r>
        <w:t>Thresholds SHALL be justified through a local standard-setting argument, calibration, consequence analysis, equivalent reassessment, and appeal. For Lane 2B, no product-authentication combination model applies because the corresponding capability claim is non-certifying in that task; the machine-readable record encodes this state as non_certifying.</w:t>
      </w:r>
    </w:p>
    <w:bookmarkEnd w:id="40"/>
    <w:bookmarkStart w:id="41" w:name="X7f958fec9843bb0214a4d49285a2d83ff8d0933"/>
    <w:p>
      <w:bookmarkStart w:id="2020" w:name="aiap_c_2020"/>
      <w:pPr>
        <w:pStyle w:val="Heading1"/>
        <w:keepNext/>
        <w:widowControl/>
      </w:pPr>
      <w:r>
        <w:t xml:space="preserve">8. Dependence and independence</w:t>
      </w:r>
      <w:bookmarkEnd w:id="2020"/>
    </w:p>
    <w:p>
      <w:pPr>
        <w:pStyle w:val="FirstParagraph"/>
      </w:pPr>
      <w:r>
        <w:t xml:space="preserve">Every load-bearing evidence object SHALL record source, method, time,</w:t>
      </w:r>
      <w:r>
        <w:t xml:space="preserve"> </w:t>
      </w:r>
      <w:r>
        <w:t xml:space="preserve">claim scope, directness, independence group, uncertainty, accessibility</w:t>
      </w:r>
      <w:r>
        <w:t xml:space="preserve"> </w:t>
      </w:r>
      <w:r>
        <w:t xml:space="preserve">route, retention, and challenge status. Source independence and</w:t>
      </w:r>
      <w:r>
        <w:t xml:space="preserve"> </w:t>
      </w:r>
      <w:r>
        <w:t xml:space="preserve">environmental independence SHALL be assessed separately. Contradictory</w:t>
      </w:r>
      <w:r>
        <w:t xml:space="preserve"> </w:t>
      </w:r>
      <w:r>
        <w:t xml:space="preserve">evidence SHALL be preserved and adjudicated rather than averaged away.</w:t>
      </w:r>
    </w:p>
    <w:bookmarkEnd w:id="41"/>
    <w:bookmarkStart w:id="42" w:name="X6802a9cb9455eb8a99ec5fc073a20ebbd3e836b"/>
    <w:p>
      <w:bookmarkStart w:id="2021" w:name="aiap_c_2021"/>
      <w:pPr>
        <w:pStyle w:val="Heading1"/>
        <w:keepNext/>
        <w:widowControl/>
      </w:pPr>
      <w:r>
        <w:t xml:space="preserve">9. Modality and threat model</w:t>
      </w:r>
      <w:bookmarkEnd w:id="2021"/>
    </w:p>
    <w:p>
      <w:pPr>
        <w:pStyle w:val="FirstParagraph"/>
      </w:pPr>
      <w:r>
        <w:t xml:space="preserve">The threat model SHALL identify plausible production delegation,</w:t>
      </w:r>
      <w:r>
        <w:t xml:space="preserve"> </w:t>
      </w:r>
      <w:r>
        <w:t xml:space="preserve">identity substitution, covert assistance, rehearsed response,</w:t>
      </w:r>
      <w:r>
        <w:t xml:space="preserve"> </w:t>
      </w:r>
      <w:r>
        <w:t xml:space="preserve">process-log fabrication, model drift, accessibility conflicts, and</w:t>
      </w:r>
      <w:r>
        <w:t xml:space="preserve"> </w:t>
      </w:r>
      <w:r>
        <w:t xml:space="preserve">data-governance risk. Controls SHALL be the least intrusive sufficient</w:t>
      </w:r>
      <w:r>
        <w:t xml:space="preserve"> </w:t>
      </w:r>
      <w:r>
        <w:t xml:space="preserve">means for the claim. Remote proctoring or surveillance SHALL NOT be</w:t>
      </w:r>
      <w:r>
        <w:t xml:space="preserve"> </w:t>
      </w:r>
      <w:r>
        <w:t xml:space="preserve">adopted merely because it is technically available.</w:t>
      </w:r>
    </w:p>
    <w:bookmarkEnd w:id="42"/>
    <w:bookmarkStart w:id="43" w:name="X3f6c0e5dafad28cb52f9a70f4a7bf7fadb4fd72"/>
    <w:p>
      <w:bookmarkStart w:id="2022" w:name="aiap_c_2022"/>
      <w:pPr>
        <w:pStyle w:val="Heading1"/>
        <w:keepNext/>
        <w:widowControl/>
      </w:pPr>
      <w:r>
        <w:t xml:space="preserve">10. Programme and public claims</w:t>
      </w:r>
      <w:bookmarkEnd w:id="2022"/>
    </w:p>
    <w:p>
      <w:pPr>
        <w:pStyle w:val="FirstParagraph"/>
      </w:pPr>
      <w:r>
        <w:t xml:space="preserve">The programme SHALL maintain a versioned assurance map showing where</w:t>
      </w:r>
      <w:r>
        <w:t xml:space="preserve"> </w:t>
      </w:r>
      <w:r>
        <w:t xml:space="preserve">each programme learning outcome is secured, competence-authenticated,</w:t>
      </w:r>
      <w:r>
        <w:t xml:space="preserve"> </w:t>
      </w:r>
      <w:r>
        <w:t xml:space="preserve">AI-integrated, non-certifying, or under-evidenced. Broad claims SHALL be</w:t>
      </w:r>
      <w:r>
        <w:t xml:space="preserve"> </w:t>
      </w:r>
      <w:r>
        <w:t xml:space="preserve">supported across sufficient prompts, cases, occasions, assessors, and</w:t>
      </w:r>
      <w:r>
        <w:t xml:space="preserve"> </w:t>
      </w:r>
      <w:r>
        <w:t xml:space="preserve">modalities. One brief event SHALL NOT be generalized beyond its demonstrated scope</w:t>
      </w:r>
      <w:r>
        <w:t xml:space="preserve"> </w:t>
      </w:r>
      <w:r>
        <w:t xml:space="preserve">without evidence addressing case/content specificity.</w:t>
      </w:r>
    </w:p>
    <w:p>
      <w:pPr>
        <w:pStyle w:val="BodyText"/>
      </w:pPr>
      <w:r>
        <w:t xml:space="preserve">The programme SHALL publish or make inspectable an</w:t>
      </w:r>
      <w:r>
        <w:t xml:space="preserve"> </w:t>
      </w:r>
      <w:r>
        <w:rPr>
          <w:b/>
          <w:bCs/>
        </w:rPr>
        <w:t xml:space="preserve">assurance composition</w:t>
      </w:r>
      <w:r>
        <w:rPr>
          <w:b/>
          <w:bCs/>
        </w:rPr>
        <w:t xml:space="preserve"> </w:t>
      </w:r>
      <w:r>
        <w:rPr>
          <w:b/>
          <w:bCs/>
        </w:rPr>
        <w:t xml:space="preserve">record</w:t>
      </w:r>
      <w:r>
        <w:t xml:space="preserve">: the proportion of mapped credit or decision weight whose</w:t>
      </w:r>
      <w:r>
        <w:t xml:space="preserve"> </w:t>
      </w:r>
      <w:r>
        <w:t xml:space="preserve">person-attributable warrant rests on materially constrained performance,</w:t>
      </w:r>
      <w:r>
        <w:t xml:space="preserve"> </w:t>
      </w:r>
      <w:r>
        <w:t xml:space="preserve">present-competence authentication, AI-integrated capability, and</w:t>
      </w:r>
      <w:r>
        <w:t xml:space="preserve"> </w:t>
      </w:r>
      <w:r>
        <w:t xml:space="preserve">non-certifying activity. The mix SHALL be justified against disciplinary,</w:t>
      </w:r>
      <w:r>
        <w:t xml:space="preserve"> </w:t>
      </w:r>
      <w:r>
        <w:t xml:space="preserve">professional, accreditation, and public-claim expectations. A larger</w:t>
      </w:r>
      <w:r>
        <w:t xml:space="preserve"> </w:t>
      </w:r>
      <w:r>
        <w:t xml:space="preserve">percentage in one route SHALL NOT be represented as higher quality by</w:t>
      </w:r>
      <w:r>
        <w:t xml:space="preserve"> </w:t>
      </w:r>
      <w:r>
        <w:t xml:space="preserve">itself.</w:t>
      </w:r>
    </w:p>
    <w:bookmarkEnd w:id="43"/>
    <w:bookmarkStart w:id="44" w:name="Xf24a6e630b5df25948db28b1282888eb74355ad"/>
    <w:p>
      <w:bookmarkStart w:id="2023" w:name="aiap_c_2023"/>
      <w:pPr>
        <w:pStyle w:val="Heading1"/>
        <w:keepNext/>
        <w:widowControl/>
      </w:pPr>
      <w:r>
        <w:t xml:space="preserve">11. Capacity, accessibility, and appeals</w:t>
      </w:r>
      <w:bookmarkEnd w:id="2023"/>
    </w:p>
    <w:p>
      <w:pPr>
        <w:pStyle w:val="FirstParagraph"/>
      </w:pPr>
      <w:r>
        <w:t>A consequential claim SHALL pass the Assurance Capacity Gate. The thirteen canonical conditions are:</w:t>
      </w:r>
      <w:r/>
      <w:r/>
    </w:p>
    <w:p>
      <w:pPr>
        <w:pStyle w:val="Compact"/>
        <w:numPr>
          <w:ilvl w:val="0"/>
          <w:numId w:val="1004"/>
        </w:numPr>
      </w:pPr>
      <w:r>
        <w:t>G01 — Claim map approved: material claims, stakes, conditions, lane, certification object or routing status, programme use, and public wording are recorded.</w:t>
      </w:r>
    </w:p>
    <w:p>
      <w:pPr>
        <w:pStyle w:val="Compact"/>
        <w:numPr>
          <w:ilvl w:val="0"/>
          <w:numId w:val="1004"/>
        </w:numPr>
      </w:pPr>
      <w:r>
        <w:t>G02 — Prompt security governed: the bank or live-perturbation method, cohort, exposure window, allocation, use counts, rotation, retirement, monitoring, and ownership are declared.</w:t>
      </w:r>
      <w:r/>
      <w:r/>
    </w:p>
    <w:p>
      <w:pPr>
        <w:pStyle w:val="Compact"/>
        <w:numPr>
          <w:ilvl w:val="0"/>
          <w:numId w:val="1004"/>
        </w:numPr>
      </w:pPr>
      <w:r>
        <w:t>G03 — Parallel-form equivalence supported: forms share a construct blueprint and carry evidence sufficient for the declared decision, or non-equivalence is explicitly bounded.</w:t>
      </w:r>
    </w:p>
    <w:p>
      <w:pPr>
        <w:pStyle w:val="Compact"/>
        <w:numPr>
          <w:ilvl w:val="0"/>
          <w:numId w:val="1004"/>
        </w:numPr>
      </w:pPr>
      <w:r>
        <w:t>G04 — Submission-authentication interval justified: the interval is recorded and remains defensible for the present-competence inference.</w:t>
      </w:r>
    </w:p>
    <w:p>
      <w:pPr>
        <w:pStyle w:val="Compact"/>
        <w:numPr>
          <w:ilvl w:val="0"/>
          <w:numId w:val="1004"/>
        </w:numPr>
      </w:pPr>
      <w:r>
        <w:t>G05 — Assessor qualification and calibration established: assessors have relevant expertise, rubric calibration, accessibility and integrity competence, and fatigue/drift controls.</w:t>
      </w:r>
    </w:p>
    <w:p>
      <w:pPr>
        <w:pStyle w:val="Compact"/>
        <w:numPr>
          <w:ilvl w:val="0"/>
          <w:numId w:val="1004"/>
        </w:numPr>
      </w:pPr>
      <w:r>
        <w:t>G06 — Reviewer and panel capacity sufficient: required hours, throughput, reserve margin, moderation, and calendar fit are feasible.</w:t>
      </w:r>
    </w:p>
    <w:p>
      <w:pPr>
        <w:pStyle w:val="Compact"/>
        <w:numPr>
          <w:ilvl w:val="0"/>
          <w:numId w:val="1004"/>
        </w:numPr>
      </w:pPr>
      <w:r>
        <w:t>G07 — Independence and conflicts controlled: responsibilities, conflicts, recusal, and an independent review or evidence path are operational.</w:t>
      </w:r>
    </w:p>
    <w:p>
      <w:pPr>
        <w:pStyle w:val="Compact"/>
        <w:numPr>
          <w:ilvl w:val="0"/>
          <w:numId w:val="1004"/>
        </w:numPr>
      </w:pPr>
      <w:r>
        <w:t>G08 — Accessibility-equivalent route operational: an equivalent route, construct map, scheduling, notice, and residual differences are governed.</w:t>
      </w:r>
    </w:p>
    <w:p>
      <w:pPr>
        <w:pStyle w:val="Compact"/>
        <w:numPr>
          <w:ilvl w:val="0"/>
          <w:numId w:val="1004"/>
        </w:numPr>
      </w:pPr>
      <w:r>
        <w:t>G09 — Appeal and second-review route operational: rubric and rationale access, lawful evidence access, non-involved review, and rehearing or equivalent reassessment are available.</w:t>
      </w:r>
    </w:p>
    <w:p>
      <w:pPr>
        <w:pStyle w:val="Compact"/>
        <w:numPr>
          <w:ilvl w:val="0"/>
          <w:numId w:val="1004"/>
        </w:numPr>
      </w:pPr>
      <w:r>
        <w:t>G10 — Data governance approved: purpose, minimum necessary data, access, retention, correction, disposal, and incident response are authorized.</w:t>
      </w:r>
    </w:p>
    <w:p>
      <w:pPr>
        <w:pStyle w:val="Compact"/>
        <w:numPr>
          <w:ilvl w:val="0"/>
          <w:numId w:val="1004"/>
        </w:numPr>
      </w:pPr>
      <w:r>
        <w:t>G11 — Capacity-degradation fallback declared: mid-cycle illness, rescheduling, technology, prompt, recording, accessibility, and data failures have governed responses.</w:t>
      </w:r>
    </w:p>
    <w:p>
      <w:pPr>
        <w:pStyle w:val="Compact"/>
        <w:numPr>
          <w:ilvl w:val="0"/>
          <w:numId w:val="1004"/>
        </w:numPr>
      </w:pPr>
      <w:r>
        <w:t>G12 — Threat model acceptable: modality-specific assistance, substitution, rehearsal, process-log, accessibility, privacy, and agentic-AI threats are addressed by proportionate controls.</w:t>
      </w:r>
    </w:p>
    <w:p>
      <w:pPr>
        <w:pStyle w:val="Compact"/>
        <w:numPr>
          <w:ilvl w:val="0"/>
          <w:numId w:val="1004"/>
        </w:numPr>
      </w:pPr>
      <w:r>
        <w:t>G13 — No unresolved high-severity exception: no remaining threat, rights, validity, accessibility, governance, or authority exception defeats the claim.</w:t>
      </w:r>
    </w:p>
    <w:p>
      <w:pPr>
        <w:pStyle w:val="FirstParagraph"/>
      </w:pPr>
      <w:r>
        <w:t xml:space="preserve">A failed condition blocks the claim or requires redesign, reduced</w:t>
      </w:r>
      <w:r>
        <w:t xml:space="preserve"> </w:t>
      </w:r>
      <w:r>
        <w:t xml:space="preserve">stakes, narrower scope, delay, or reclassification. Resource scarcity</w:t>
      </w:r>
      <w:r>
        <w:t xml:space="preserve"> </w:t>
      </w:r>
      <w:r>
        <w:t xml:space="preserve">SHALL NOT lower a rights, validity, or accessibility floor.</w:t>
      </w:r>
    </w:p>
    <w:p>
      <w:pPr>
        <w:pStyle w:val="BodyText"/>
      </w:pPr>
      <w:r>
        <w:t xml:space="preserve">If capacity degrades after delivery begins - including assessor illness,</w:t>
      </w:r>
      <w:r>
        <w:t xml:space="preserve"> </w:t>
      </w:r>
      <w:r>
        <w:t xml:space="preserve">mass rescheduling, technology failure, prompt compromise, recording loss,</w:t>
      </w:r>
      <w:r>
        <w:t xml:space="preserve"> </w:t>
      </w:r>
      <w:r>
        <w:t xml:space="preserve">or accessibility failure - the institution SHALL pause the affected</w:t>
      </w:r>
      <w:r>
        <w:t xml:space="preserve"> </w:t>
      </w:r>
      <w:r>
        <w:t xml:space="preserve">assurance route, use a predeclared construct-equivalent fallback where</w:t>
      </w:r>
      <w:r>
        <w:t xml:space="preserve"> </w:t>
      </w:r>
      <w:r>
        <w:t xml:space="preserve">available, or delay, narrow, or withhold the claim. It SHALL NOT silently</w:t>
      </w:r>
      <w:r>
        <w:t xml:space="preserve"> </w:t>
      </w:r>
      <w:r>
        <w:t xml:space="preserve">weaken the minimum evidence to preserve a timetable.</w:t>
      </w:r>
    </w:p>
    <w:bookmarkEnd w:id="44"/>
    <w:bookmarkStart w:id="45" w:name="X5c802aed8f2f705678fb4f01eca8ae9663acac1"/>
    <w:p>
      <w:bookmarkStart w:id="2024" w:name="aiap_c_2024"/>
      <w:pPr>
        <w:pStyle w:val="Heading1"/>
        <w:keepNext/>
        <w:widowControl/>
      </w:pPr>
      <w:r>
        <w:t xml:space="preserve">12. Evidence governance</w:t>
      </w:r>
      <w:bookmarkEnd w:id="2024"/>
    </w:p>
    <w:p>
      <w:pPr>
        <w:pStyle w:val="FirstParagraph"/>
      </w:pPr>
      <w:r>
        <w:t xml:space="preserve">The institution SHALL document purpose, lawful or institutional basis,</w:t>
      </w:r>
      <w:r>
        <w:t xml:space="preserve"> </w:t>
      </w:r>
      <w:r>
        <w:t xml:space="preserve">minimum necessary data, access roles, security, retention, correction,</w:t>
      </w:r>
      <w:r>
        <w:t xml:space="preserve"> </w:t>
      </w:r>
      <w:r>
        <w:t xml:space="preserve">appeal, deletion/disposal, incident response, and an equivalent</w:t>
      </w:r>
      <w:r>
        <w:t xml:space="preserve"> </w:t>
      </w:r>
      <w:r>
        <w:t xml:space="preserve">non-surveillance route where needed. Disability or accommodation</w:t>
      </w:r>
      <w:r>
        <w:t xml:space="preserve"> </w:t>
      </w:r>
      <w:r>
        <w:t xml:space="preserve">information SHALL receive appropriate protected handling. Local legal review remains necessary. Prompt banks, exposure logs, form</w:t>
      </w:r>
      <w:r>
        <w:t xml:space="preserve"> </w:t>
      </w:r>
      <w:r>
        <w:t xml:space="preserve">blueprints, recordings, assessor notes, and appeal materials SHALL be</w:t>
      </w:r>
      <w:r>
        <w:t xml:space="preserve"> </w:t>
      </w:r>
      <w:r>
        <w:t xml:space="preserve">protected according to their security, privacy, and evidentiary function.</w:t>
      </w:r>
    </w:p>
    <w:p>
      <w:pPr>
        <w:pStyle w:val="BodyText"/>
      </w:pPr>
      <w:r>
        <w:t xml:space="preserve">A student challenging a consequential authentication decision SHALL have</w:t>
      </w:r>
      <w:r>
        <w:t xml:space="preserve"> </w:t>
      </w:r>
      <w:r>
        <w:t xml:space="preserve">access, subject to lawful and proportionate limits, to the applicable</w:t>
      </w:r>
      <w:r>
        <w:t xml:space="preserve"> </w:t>
      </w:r>
      <w:r>
        <w:t xml:space="preserve">rubric, decision rationale, recording or assessor notes where they exist,</w:t>
      </w:r>
      <w:r>
        <w:t xml:space="preserve"> </w:t>
      </w:r>
      <w:r>
        <w:t xml:space="preserve">and the route to review by an assessor not involved in the original</w:t>
      </w:r>
      <w:r>
        <w:t xml:space="preserve"> </w:t>
      </w:r>
      <w:r>
        <w:t xml:space="preserve">decision. A rehearing or equivalent reassessment SHALL be available where</w:t>
      </w:r>
      <w:r>
        <w:t xml:space="preserve"> </w:t>
      </w:r>
      <w:r>
        <w:t xml:space="preserve">procedural unfairness, technology failure, accessibility failure, or</w:t>
      </w:r>
      <w:r>
        <w:t xml:space="preserve"> </w:t>
      </w:r>
      <w:r>
        <w:t xml:space="preserve">prompt compromise is established.</w:t>
      </w:r>
    </w:p>
    <w:bookmarkEnd w:id="45"/>
    <w:bookmarkStart w:id="46" w:name="X66b183b8de084039eac4c474ff4fe5c5b83317d"/>
    <w:p>
      <w:bookmarkStart w:id="2025" w:name="aiap_c_2025"/>
      <w:pPr>
        <w:pStyle w:val="Heading1"/>
        <w:keepNext/>
        <w:widowControl/>
      </w:pPr>
      <w:r>
        <w:t xml:space="preserve">13. Temporal requalification</w:t>
      </w:r>
      <w:bookmarkEnd w:id="2025"/>
    </w:p>
    <w:p>
      <w:pPr>
        <w:pStyle w:val="FirstParagraph"/>
      </w:pPr>
      <w:r>
        <w:t xml:space="preserve">Every current assurance claim SHALL identify protocol version,</w:t>
      </w:r>
      <w:r>
        <w:t xml:space="preserve"> </w:t>
      </w:r>
      <w:r>
        <w:t xml:space="preserve">assessment version, scope, evidence set, authority, exceptions, review</w:t>
      </w:r>
      <w:r>
        <w:t xml:space="preserve"> </w:t>
      </w:r>
      <w:r>
        <w:t xml:space="preserve">date, and triggers. Requalification is required after material changes</w:t>
      </w:r>
      <w:r>
        <w:t xml:space="preserve"> </w:t>
      </w:r>
      <w:r>
        <w:t xml:space="preserve">to learning outcomes, task design, tool/model environment, modality,</w:t>
      </w:r>
      <w:r>
        <w:t xml:space="preserve"> </w:t>
      </w:r>
      <w:r>
        <w:t xml:space="preserve">population, evidence method, policy, or observed failure.</w:t>
      </w:r>
    </w:p>
    <w:bookmarkEnd w:id="46"/>
    <w:bookmarkStart w:id="47" w:name="Xc4ca05cab19b88b681c737471530c38af538ae3"/>
    <w:p>
      <w:bookmarkStart w:id="2026" w:name="aiap_c_2026"/>
      <w:pPr>
        <w:pStyle w:val="Heading1"/>
        <w:keepNext/>
        <w:widowControl/>
      </w:pPr>
      <w:r>
        <w:t xml:space="preserve">14. Validation boundary</w:t>
      </w:r>
      <w:bookmarkEnd w:id="2026"/>
    </w:p>
    <w:p>
      <w:pPr>
        <w:pStyle w:val="FirstParagraph"/>
      </w:pPr>
      <w:r>
        <w:t xml:space="preserve">An institution MAY claim implementation or conformance only for the</w:t>
      </w:r>
      <w:r>
        <w:t xml:space="preserve"> </w:t>
      </w:r>
      <w:r>
        <w:t xml:space="preserve">scope actually evidenced. It SHALL NOT claim that AIAP itself is</w:t>
      </w:r>
      <w:r>
        <w:t xml:space="preserve"> </w:t>
      </w:r>
      <w:r>
        <w:t xml:space="preserve">empirically validated merely because the standard is followed. Pilot,</w:t>
      </w:r>
      <w:r>
        <w:t xml:space="preserve"> </w:t>
      </w:r>
      <w:r>
        <w:t xml:space="preserve">validation, null, adverse, burden, and withdrawal findings SHALL remain</w:t>
      </w:r>
      <w:r>
        <w:t xml:space="preserve"> </w:t>
      </w:r>
      <w:r>
        <w:t xml:space="preserve">publishable and capable of changing the protocol.</w:t>
      </w:r>
    </w:p>
    <w:bookmarkEnd w:id="47"/>
    <w:bookmarkStart w:id="48" w:name="X6dbea1713d99616fa459126006f59cd459bd807"/>
    <w:p>
      <w:bookmarkStart w:id="2027" w:name="aiap_c_2027"/>
      <w:pPr>
        <w:pStyle w:val="Heading1"/>
        <w:keepNext/>
        <w:widowControl/>
      </w:pPr>
      <w:r>
        <w:t xml:space="preserve">15. Conformance statuses</w:t>
      </w:r>
      <w:bookmarkEnd w:id="2027"/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CONFORMS_FOR_DECLARED_SCOPE</w:t>
      </w:r>
      <w:r>
        <w:t xml:space="preserve"> </w:t>
      </w:r>
      <w:r>
        <w:t xml:space="preserve">— every applicable SHALL requirement</w:t>
      </w:r>
      <w:r>
        <w:t xml:space="preserve"> </w:t>
      </w:r>
      <w:r>
        <w:t xml:space="preserve">is evidenced for the exact scope.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CONFORMS_WITH_VERIFIED_CONTROLS</w:t>
      </w:r>
      <w:r>
        <w:t xml:space="preserve"> </w:t>
      </w:r>
      <w:r>
        <w:t xml:space="preserve">— conformance depends on named,</w:t>
      </w:r>
      <w:r>
        <w:t xml:space="preserve"> </w:t>
      </w:r>
      <w:r>
        <w:t xml:space="preserve">owned, monitored, time-bounded controls.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PARTIAL_IMPLEMENTATION</w:t>
      </w:r>
      <w:r>
        <w:t xml:space="preserve"> </w:t>
      </w:r>
      <w:r>
        <w:t xml:space="preserve">— selected elements are used, but a full</w:t>
      </w:r>
      <w:r>
        <w:t xml:space="preserve"> </w:t>
      </w:r>
      <w:r>
        <w:t xml:space="preserve">conformance claim is not permitted.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INDETERMINATE_INSUFFICIENT_EVIDENCE</w:t>
      </w:r>
      <w:r>
        <w:t xml:space="preserve"> </w:t>
      </w:r>
      <w:r>
        <w:t xml:space="preserve">— adequacy or defect cannot be</w:t>
      </w:r>
      <w:r>
        <w:t xml:space="preserve"> </w:t>
      </w:r>
      <w:r>
        <w:t xml:space="preserve">established safely.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NONCONFORMING_PATCHABLE</w:t>
      </w:r>
      <w:r>
        <w:t xml:space="preserve"> </w:t>
      </w:r>
      <w:r>
        <w:t xml:space="preserve">— a material, repairable defect exists.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NONCONFORMING_FOR_STATED_CLAIM</w:t>
      </w:r>
      <w:r>
        <w:t xml:space="preserve"> </w:t>
      </w:r>
      <w:r>
        <w:t xml:space="preserve">— the stated claim conflicts with a</w:t>
      </w:r>
      <w:r>
        <w:t xml:space="preserve"> </w:t>
      </w:r>
      <w:r>
        <w:t xml:space="preserve">material requirement.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REFUSAL_TO_ASSESS_CONFORMANCE</w:t>
      </w:r>
      <w:r>
        <w:t xml:space="preserve"> </w:t>
      </w:r>
      <w:r>
        <w:t xml:space="preserve">— competence, independence, access,</w:t>
      </w:r>
      <w:r>
        <w:t xml:space="preserve"> </w:t>
      </w:r>
      <w:r>
        <w:t xml:space="preserve">capacity, version, or governance prerequisites are invalid.</w:t>
      </w:r>
    </w:p>
    <w:bookmarkEnd w:id="48"/>
    <w:bookmarkStart w:id="49" w:name="appendix-a-required-record-fields"/>
    <w:p>
      <w:bookmarkStart w:id="2028" w:name="aiap_c_2028"/>
      <w:pPr>
        <w:pStyle w:val="Heading1"/>
        <w:keepNext/>
        <w:widowControl/>
      </w:pPr>
      <w:r>
        <w:t xml:space="preserve">Appendix A. Required record fields</w:t>
      </w:r>
      <w:bookmarkEnd w:id="2028"/>
    </w:p>
    <w:tbl>
      <w:tblPr>
        <w:tblStyle w:val="Table"/>
        <w:tblW w:type="auto" w:w="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bCs/>
                <w:color w:val="FFFFFF"/>
                <w:sz w:val="17"/>
              </w:rPr>
              <w:t xml:space="preserve">Record</w:t>
            </w:r>
          </w:p>
        </w:tc>
        <w:tc>
          <w:tcPr>
            <w:shd w:fill="1F4E79"/>
          </w:tcPr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b/>
                <w:bCs/>
                <w:color w:val="FFFFFF"/>
                <w:sz w:val="17"/>
              </w:rPr>
              <w:t xml:space="preserve">Minimum fields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Claim profile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claim ID, capability, stakes, condition, lane, modality, evidence, combination model, permitted inference, use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Authentication plan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construct profile; load-bearing verbs; prompt/live-perturbation source; cohort and exposure window; allocation, rotation, retirement and exposure monitoring; form-equivalence evidence; submission-authentication interval; identity controls; scoring; moderation; accessibility; reassessment; appeal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Evidence object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source, method, date/time, claim scope, directness, independence group, uncertainty, retention, challenge status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Programme map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PLO, evidence points, lane, weight, assurance-composition share, progression relevance, redundancy, under-evidenced status, public wording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Capacity record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inputs, assumptions, thirteen gate conditions, degradation fallbacks, controls, owner, expiry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Requalification record</w:t>
            </w:r>
          </w:p>
        </w:tc>
        <w:tc>
          <w:tcPr/>
          <w:p>
            <w:pPr>
              <w:pStyle w:val="Compact"/>
              <w:spacing w:after="40" w:line="240" w:lineRule="auto"/>
              <w:jc w:val="left"/>
            </w:pPr>
            <w:r>
              <w:rPr>
                <w:rFonts w:ascii="Georgia" w:hAnsi="Georgia"/>
                <w:sz w:val="17"/>
              </w:rPr>
              <w:t xml:space="preserve">trigger, review date, authority, evidence, disposition, superseded version</w:t>
            </w:r>
          </w:p>
        </w:tc>
      </w:tr>
    </w:tbl>
    <w:bookmarkEnd w:id="49"/>
    <w:bookmarkStart w:id="50" w:name="appendix-b-core-to-standard-crosswalk"/>
    <w:p>
      <w:bookmarkStart w:id="2029" w:name="aiap_c_2029"/>
      <w:pPr>
        <w:pStyle w:val="Heading1"/>
        <w:keepNext/>
        <w:widowControl/>
      </w:pPr>
      <w:r>
        <w:t xml:space="preserve">Appendix B. Core-to-standard crosswalk</w:t>
      </w:r>
      <w:bookmarkEnd w:id="2029"/>
    </w:p>
    <w:p>
      <w:pPr>
        <w:pStyle w:val="FirstParagraph"/>
      </w:pPr>
      <w:r>
        <w:t>The version-matched crosswalk in AIAP_v6.5_CORE_TO_STANDARD_CROSSWALK.md identifies the controlling Core-paper section, Standard requirement, implementation artifact, machine-readable field where applicable, and verification evidence for each principal rule.</w:t>
      </w:r>
    </w:p>
    <w:bookmarkEnd w:id="50"/>
    <w:sectPr>
      <w:headerReference r:id="rId9" w:type="even"/>
      <w:headerReference r:id="rId10" w:type="default"/>
      <w:headerReference r:id="rId11" w:type="first"/>
      <w:footerReference r:id="rId12" w:type="even"/>
      <w:footerReference r:id="rId13" w:type="default"/>
      <w:footerReference r:id="rId14" w:type="first"/>
      <w:type w:val="nextPage"/>
      <w:pgSz w:h="16838" w:w="11906"/>
      <w:pgMar w:bottom="936" w:footer="432" w:gutter="0" w:header="432" w:left="1123" w:right="1123" w:top="1080"/>
      <w:formProt w:val="false"/>
      <w:titlePg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Liberation Sans">
    <w:altName w:val="Arial"/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nsolas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86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spacing w:after="0"/>
      <w:jc w:val="center"/>
    </w:pPr>
    <w:r>
      <w:rPr>
        <w:rFonts w:ascii="Calibri" w:hAnsi="Calibri"/>
        <w:color w:val="595959"/>
        <w:sz w:val="16"/>
      </w:rPr>
      <w:t xml:space="preserve">Page </w:t>
    </w:r>
    <w:r>
      <w:fldChar w:fldCharType="begin"/>
      <w:instrText xml:space="preserve">PAGE</w:instrText>
      <w:fldChar w:fldCharType="separate"/>
    </w:r>
    <w:r>
      <w:t>1</w:t>
      <w:fldChar w:fldCharType="end"/>
    </w:r>
    <w:r>
      <w:rPr>
        <w:rFonts w:ascii="Calibri" w:hAnsi="Calibri"/>
        <w:color w:val="595959"/>
        <w:sz w:val="16"/>
      </w:rPr>
      <w:t xml:space="preserve"> of </w:t>
    </w:r>
    <w:r>
      <w:fldChar w:fldCharType="begin"/>
      <w:instrText xml:space="preserve">NUMPAGES</w:instrText>
      <w:fldChar w:fldCharType="separate"/>
    </w:r>
    <w:r>
      <w:t>1</w:t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86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tabs>
        <w:tab w:pos="9576" w:val="right"/>
      </w:tabs>
      <w:spacing w:after="0"/>
      <w:jc w:val="center"/>
      <w:pBdr>
        <w:bottom w:val="single" w:sz="4" w:space="5" w:color="9FBAD0"/>
      </w:pBdr>
    </w:pPr>
    <w:r>
      <w:rPr>
        <w:rFonts w:ascii="Calibri" w:hAnsi="Calibri"/>
        <w:b/>
        <w:color w:val="595959"/>
        <w:sz w:val="16"/>
      </w:rPr>
      <w:t>ARTIFICIAL INTELLIGENCE ASSURANCE PROTOCOL   |   NORMATIVE ASSURANCE STANDARD v6.5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pos="0" w:val="num"/>
        </w:tabs>
        <w:ind w:hanging="480" w:start="720"/>
      </w:pPr>
      <w:rPr>
        <w:rFonts w:ascii="Symbol" w:cs="Symbol" w:hAnsi="Symbol" w:hint="default"/>
      </w:rPr>
    </w:lvl>
    <w:lvl w:ilvl="1">
      <w:start w:val="0"/>
      <w:numFmt w:val="bullet"/>
      <w:lvlText w:val=""/>
      <w:lvlJc w:val="start"/>
      <w:pPr>
        <w:tabs>
          <w:tab w:pos="0" w:val="num"/>
        </w:tabs>
        <w:ind w:hanging="480" w:start="1440"/>
      </w:pPr>
      <w:rPr>
        <w:rFonts w:ascii="Symbol" w:cs="Symbol" w:hAnsi="Symbol" w:hint="default"/>
      </w:rPr>
    </w:lvl>
    <w:lvl w:ilvl="2">
      <w:start w:val="0"/>
      <w:numFmt w:val="bullet"/>
      <w:lvlText w:val=""/>
      <w:lvlJc w:val="start"/>
      <w:pPr>
        <w:tabs>
          <w:tab w:pos="0" w:val="num"/>
        </w:tabs>
        <w:ind w:hanging="480" w:start="2160"/>
      </w:pPr>
      <w:rPr>
        <w:rFonts w:ascii="Symbol" w:cs="Symbol" w:hAnsi="Symbol" w:hint="default"/>
      </w:rPr>
    </w:lvl>
    <w:lvl w:ilvl="3">
      <w:start w:val="0"/>
      <w:numFmt w:val="bullet"/>
      <w:lvlText w:val=""/>
      <w:lvlJc w:val="start"/>
      <w:pPr>
        <w:tabs>
          <w:tab w:pos="0" w:val="num"/>
        </w:tabs>
        <w:ind w:hanging="480" w:start="2880"/>
      </w:pPr>
      <w:rPr>
        <w:rFonts w:ascii="Symbol" w:cs="Symbol" w:hAnsi="Symbol" w:hint="default"/>
      </w:rPr>
    </w:lvl>
    <w:lvl w:ilvl="4">
      <w:start w:val="0"/>
      <w:numFmt w:val="bullet"/>
      <w:lvlText w:val=""/>
      <w:lvlJc w:val="start"/>
      <w:pPr>
        <w:tabs>
          <w:tab w:pos="0" w:val="num"/>
        </w:tabs>
        <w:ind w:hanging="480" w:start="3600"/>
      </w:pPr>
      <w:rPr>
        <w:rFonts w:ascii="Symbol" w:cs="Symbol" w:hAnsi="Symbol" w:hint="default"/>
      </w:rPr>
    </w:lvl>
    <w:lvl w:ilvl="5">
      <w:start w:val="0"/>
      <w:numFmt w:val="bullet"/>
      <w:lvlText w:val=""/>
      <w:lvlJc w:val="start"/>
      <w:pPr>
        <w:tabs>
          <w:tab w:pos="0" w:val="num"/>
        </w:tabs>
        <w:ind w:hanging="480" w:start="4320"/>
      </w:pPr>
      <w:rPr>
        <w:rFonts w:ascii="Symbol" w:cs="Symbol" w:hAnsi="Symbol" w:hint="default"/>
      </w:rPr>
    </w:lvl>
    <w:lvl w:ilvl="6">
      <w:start w:val="0"/>
      <w:numFmt w:val="bullet"/>
      <w:lvlText w:val=""/>
      <w:lvlJc w:val="start"/>
      <w:pPr>
        <w:tabs>
          <w:tab w:pos="0" w:val="num"/>
        </w:tabs>
        <w:ind w:hanging="480" w:start="5040"/>
      </w:pPr>
      <w:rPr>
        <w:rFonts w:ascii="Symbol" w:cs="Symbol" w:hAnsi="Symbol" w:hint="default"/>
      </w:rPr>
    </w:lvl>
    <w:lvl w:ilvl="7">
      <w:start w:val="0"/>
      <w:numFmt w:val="bullet"/>
      <w:lvlText w:val=""/>
      <w:lvlJc w:val="start"/>
      <w:pPr>
        <w:tabs>
          <w:tab w:pos="0" w:val="num"/>
        </w:tabs>
        <w:ind w:hanging="480" w:start="5760"/>
      </w:pPr>
      <w:rPr>
        <w:rFonts w:ascii="Symbol" w:cs="Symbol" w:hAnsi="Symbol" w:hint="default"/>
      </w:rPr>
    </w:lvl>
    <w:lvl w:ilvl="8">
      <w:start w:val="0"/>
      <w:numFmt w:val="bullet"/>
      <w:lvlText w:val=""/>
      <w:lvlJc w:val="start"/>
      <w:pPr>
        <w:tabs>
          <w:tab w:pos="0" w:val="num"/>
        </w:tabs>
        <w:ind w:hanging="480" w:start="6480"/>
      </w:pPr>
      <w:rPr>
        <w:rFonts w:ascii="Symbol" w:cs="Symbol" w:hAnsi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2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bidi w:val="0"/>
      <w:spacing w:after="120" w:before="0" w:line="259" w:lineRule="auto"/>
      <w:jc w:val="both"/>
    </w:pPr>
    <w:rPr>
      <w:rFonts w:ascii="Georgia" w:cs="Liberation Sans" w:eastAsia="Noto Serif" w:hAnsi="Georgia"/>
      <w:color w:val="1F2933"/>
      <w:kern w:val="0"/>
      <w:sz w:val="20"/>
      <w:szCs w:val="24"/>
      <w:lang w:bidi="ar-SA" w:eastAsia="en-US" w:val="en-US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00" w:before="200"/>
      <w:outlineLvl w:val="0"/>
    </w:pPr>
    <w:rPr>
      <w:rFonts w:ascii="Calibri" w:asciiTheme="majorHAnsi" w:cs="" w:cstheme="majorBidi" w:eastAsia="Carlito" w:eastAsiaTheme="majorEastAsia" w:hAnsi="Calibri" w:hAnsiTheme="majorHAnsi"/>
      <w:b/>
      <w:bCs/>
      <w:color w:val="17365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00"/>
      <w:outlineLvl w:val="1"/>
    </w:pPr>
    <w:rPr>
      <w:rFonts w:ascii="Calibri" w:asciiTheme="majorHAnsi" w:cs="" w:cstheme="majorBidi" w:eastAsia="Carlito" w:eastAsiaTheme="majorEastAsia" w:hAnsi="Calibri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00"/>
      <w:outlineLvl w:val="2"/>
    </w:pPr>
    <w:rPr>
      <w:rFonts w:ascii="Calibri" w:asciiTheme="majorHAnsi" w:cs="" w:cstheme="majorBidi" w:eastAsia="Carlito" w:eastAsiaTheme="majorEastAsia" w:hAnsi="Calibri" w:hAnsiTheme="majorHAnsi"/>
      <w:b/>
      <w:bCs/>
      <w:color w:val="1F4E79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4"/>
      <w:szCs w:val="24"/>
    </w:rPr>
  </w:style>
  <w:style w:default="1" w:styleId="DefaultParagraphFont" w:type="character">
    <w:name w:val="Default Paragraph Font"/>
    <w:semiHidden/>
    <w:unhideWhenUsed/>
    <w:qFormat/>
    <w:rPr/>
  </w:style>
  <w:style w:customStyle="1" w:styleId="BodyTextChar" w:type="character">
    <w:name w:val="Body Text Char"/>
    <w:basedOn w:val="DefaultParagraphFont"/>
    <w:qFormat/>
    <w:rPr/>
  </w:style>
  <w:style w:customStyle="1" w:styleId="VerbatimChar" w:type="character">
    <w:name w:val="Verbatim Char"/>
    <w:basedOn w:val="BodyTextChar"/>
    <w:qFormat/>
    <w:rPr>
      <w:rFonts w:ascii="Consolas" w:hAnsi="Consolas"/>
      <w:sz w:val="22"/>
    </w:rPr>
  </w:style>
  <w:style w:customStyle="1" w:styleId="SectionNumber" w:type="character">
    <w:name w:val="Section Number"/>
    <w:basedOn w:val="BodyTextChar"/>
    <w:qFormat/>
    <w:rPr/>
  </w:style>
  <w:style w:styleId="FootnoteCharacters" w:type="character">
    <w:name w:val="Footnote Characters"/>
    <w:basedOn w:val="BodyTextChar"/>
    <w:qFormat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customStyle="1" w:styleId="KeywordTok" w:type="character">
    <w:name w:val="KeywordTok"/>
    <w:basedOn w:val="VerbatimChar"/>
    <w:qFormat/>
    <w:rPr>
      <w:b/>
      <w:color w:val="007020"/>
    </w:rPr>
  </w:style>
  <w:style w:customStyle="1" w:styleId="DataTypeTok" w:type="character">
    <w:name w:val="DataTypeTok"/>
    <w:basedOn w:val="VerbatimChar"/>
    <w:qFormat/>
    <w:rPr>
      <w:color w:val="902000"/>
    </w:rPr>
  </w:style>
  <w:style w:customStyle="1" w:styleId="DecValTok" w:type="character">
    <w:name w:val="DecValTok"/>
    <w:basedOn w:val="VerbatimChar"/>
    <w:qFormat/>
    <w:rPr>
      <w:color w:val="40A070"/>
    </w:rPr>
  </w:style>
  <w:style w:customStyle="1" w:styleId="BaseNTok" w:type="character">
    <w:name w:val="BaseNTok"/>
    <w:basedOn w:val="VerbatimChar"/>
    <w:qFormat/>
    <w:rPr>
      <w:color w:val="40A070"/>
    </w:rPr>
  </w:style>
  <w:style w:customStyle="1" w:styleId="FloatTok" w:type="character">
    <w:name w:val="FloatTok"/>
    <w:basedOn w:val="VerbatimChar"/>
    <w:qFormat/>
    <w:rPr>
      <w:color w:val="40A070"/>
    </w:rPr>
  </w:style>
  <w:style w:customStyle="1" w:styleId="ConstantTok" w:type="character">
    <w:name w:val="ConstantTok"/>
    <w:basedOn w:val="VerbatimChar"/>
    <w:qFormat/>
    <w:rPr>
      <w:color w:val="880000"/>
    </w:rPr>
  </w:style>
  <w:style w:customStyle="1" w:styleId="CharTok" w:type="character">
    <w:name w:val="CharTok"/>
    <w:basedOn w:val="VerbatimChar"/>
    <w:qFormat/>
    <w:rPr>
      <w:color w:val="4070A0"/>
    </w:rPr>
  </w:style>
  <w:style w:customStyle="1" w:styleId="SpecialCharTok" w:type="character">
    <w:name w:val="SpecialCharTok"/>
    <w:basedOn w:val="VerbatimChar"/>
    <w:qFormat/>
    <w:rPr>
      <w:color w:val="4070A0"/>
    </w:rPr>
  </w:style>
  <w:style w:customStyle="1" w:styleId="StringTok" w:type="character">
    <w:name w:val="StringTok"/>
    <w:basedOn w:val="VerbatimChar"/>
    <w:qFormat/>
    <w:rPr>
      <w:color w:val="4070A0"/>
    </w:rPr>
  </w:style>
  <w:style w:customStyle="1" w:styleId="VerbatimStringTok" w:type="character">
    <w:name w:val="VerbatimStringTok"/>
    <w:basedOn w:val="VerbatimChar"/>
    <w:qFormat/>
    <w:rPr>
      <w:color w:val="4070A0"/>
    </w:rPr>
  </w:style>
  <w:style w:customStyle="1" w:styleId="SpecialStringTok" w:type="character">
    <w:name w:val="SpecialStringTok"/>
    <w:basedOn w:val="VerbatimChar"/>
    <w:qFormat/>
    <w:rPr>
      <w:color w:val="BB6688"/>
    </w:rPr>
  </w:style>
  <w:style w:customStyle="1" w:styleId="ImportTok" w:type="character">
    <w:name w:val="ImportTok"/>
    <w:basedOn w:val="VerbatimChar"/>
    <w:qFormat/>
    <w:rPr>
      <w:b/>
      <w:color w:val="008000"/>
    </w:rPr>
  </w:style>
  <w:style w:customStyle="1" w:styleId="CommentTok" w:type="character">
    <w:name w:val="CommentTok"/>
    <w:basedOn w:val="VerbatimChar"/>
    <w:qFormat/>
    <w:rPr>
      <w:i/>
      <w:color w:val="60A0B0"/>
    </w:rPr>
  </w:style>
  <w:style w:customStyle="1" w:styleId="DocumentationTok" w:type="character">
    <w:name w:val="DocumentationTok"/>
    <w:basedOn w:val="VerbatimChar"/>
    <w:qFormat/>
    <w:rPr>
      <w:i/>
      <w:color w:val="BA2121"/>
    </w:rPr>
  </w:style>
  <w:style w:customStyle="1" w:styleId="AnnotationTok" w:type="character">
    <w:name w:val="AnnotationTok"/>
    <w:basedOn w:val="VerbatimChar"/>
    <w:qFormat/>
    <w:rPr>
      <w:b/>
      <w:i/>
      <w:color w:val="60A0B0"/>
    </w:rPr>
  </w:style>
  <w:style w:customStyle="1" w:styleId="CommentVarTok" w:type="character">
    <w:name w:val="CommentVarTok"/>
    <w:basedOn w:val="VerbatimChar"/>
    <w:qFormat/>
    <w:rPr>
      <w:b/>
      <w:i/>
      <w:color w:val="60A0B0"/>
    </w:rPr>
  </w:style>
  <w:style w:customStyle="1" w:styleId="OtherTok" w:type="character">
    <w:name w:val="OtherTok"/>
    <w:basedOn w:val="VerbatimChar"/>
    <w:qFormat/>
    <w:rPr>
      <w:color w:val="007020"/>
    </w:rPr>
  </w:style>
  <w:style w:customStyle="1" w:styleId="FunctionTok" w:type="character">
    <w:name w:val="FunctionTok"/>
    <w:basedOn w:val="VerbatimChar"/>
    <w:qFormat/>
    <w:rPr>
      <w:color w:val="06287E"/>
    </w:rPr>
  </w:style>
  <w:style w:customStyle="1" w:styleId="VariableTok" w:type="character">
    <w:name w:val="VariableTok"/>
    <w:basedOn w:val="VerbatimChar"/>
    <w:qFormat/>
    <w:rPr>
      <w:color w:val="19177C"/>
    </w:rPr>
  </w:style>
  <w:style w:customStyle="1" w:styleId="ControlFlowTok" w:type="character">
    <w:name w:val="ControlFlowTok"/>
    <w:basedOn w:val="VerbatimChar"/>
    <w:qFormat/>
    <w:rPr>
      <w:b/>
      <w:color w:val="007020"/>
    </w:rPr>
  </w:style>
  <w:style w:customStyle="1" w:styleId="OperatorTok" w:type="character">
    <w:name w:val="OperatorTok"/>
    <w:basedOn w:val="VerbatimChar"/>
    <w:qFormat/>
    <w:rPr>
      <w:color w:val="666666"/>
    </w:rPr>
  </w:style>
  <w:style w:customStyle="1" w:styleId="BuiltInTok" w:type="character">
    <w:name w:val="BuiltInTok"/>
    <w:basedOn w:val="VerbatimChar"/>
    <w:qFormat/>
    <w:rPr>
      <w:color w:val="008000"/>
    </w:rPr>
  </w:style>
  <w:style w:customStyle="1" w:styleId="ExtensionTok" w:type="character">
    <w:name w:val="ExtensionTok"/>
    <w:basedOn w:val="VerbatimChar"/>
    <w:qFormat/>
    <w:rPr/>
  </w:style>
  <w:style w:customStyle="1" w:styleId="PreprocessorTok" w:type="character">
    <w:name w:val="PreprocessorTok"/>
    <w:basedOn w:val="VerbatimChar"/>
    <w:qFormat/>
    <w:rPr>
      <w:color w:val="BC7A00"/>
    </w:rPr>
  </w:style>
  <w:style w:customStyle="1" w:styleId="AttributeTok" w:type="character">
    <w:name w:val="AttributeTok"/>
    <w:basedOn w:val="VerbatimChar"/>
    <w:qFormat/>
    <w:rPr>
      <w:color w:val="7D9029"/>
    </w:rPr>
  </w:style>
  <w:style w:customStyle="1" w:styleId="RegionMarkerTok" w:type="character">
    <w:name w:val="RegionMarkerTok"/>
    <w:basedOn w:val="VerbatimChar"/>
    <w:qFormat/>
    <w:rPr/>
  </w:style>
  <w:style w:customStyle="1" w:styleId="InformationTok" w:type="character">
    <w:name w:val="InformationTok"/>
    <w:basedOn w:val="VerbatimChar"/>
    <w:qFormat/>
    <w:rPr>
      <w:b/>
      <w:i/>
      <w:color w:val="60A0B0"/>
    </w:rPr>
  </w:style>
  <w:style w:customStyle="1" w:styleId="WarningTok" w:type="character">
    <w:name w:val="WarningTok"/>
    <w:basedOn w:val="VerbatimChar"/>
    <w:qFormat/>
    <w:rPr>
      <w:b/>
      <w:i/>
      <w:color w:val="60A0B0"/>
    </w:rPr>
  </w:style>
  <w:style w:customStyle="1" w:styleId="AlertTok" w:type="character">
    <w:name w:val="AlertTok"/>
    <w:basedOn w:val="VerbatimChar"/>
    <w:qFormat/>
    <w:rPr>
      <w:b/>
      <w:color w:val="FF0000"/>
    </w:rPr>
  </w:style>
  <w:style w:customStyle="1" w:styleId="ErrorTok" w:type="character">
    <w:name w:val="ErrorTok"/>
    <w:basedOn w:val="VerbatimChar"/>
    <w:qFormat/>
    <w:rPr>
      <w:b/>
      <w:color w:val="FF0000"/>
    </w:rPr>
  </w:style>
  <w:style w:customStyle="1" w:styleId="NormalTok" w:type="character">
    <w:name w:val="NormalTok"/>
    <w:basedOn w:val="VerbatimChar"/>
    <w:qFormat/>
    <w:rPr/>
  </w:style>
  <w:style w:styleId="IndexLink" w:type="character">
    <w:name w:val="Index Link"/>
    <w:qFormat/>
    <w:rPr/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styleId="BodyText" w:type="paragraph">
    <w:name w:val="Body Text"/>
    <w:basedOn w:val="Normal"/>
    <w:link w:val="BodyTextChar"/>
    <w:qFormat/>
    <w:pPr>
      <w:widowControl/>
      <w:spacing w:after="90" w:before="0" w:line="259" w:lineRule="auto"/>
      <w:jc w:val="both"/>
    </w:pPr>
    <w:rPr>
      <w:rFonts w:ascii="Noto Serif" w:cs="Liberation Sans" w:eastAsia="Noto Serif" w:hAnsi="Noto Serif"/>
      <w:color w:val="1F2933"/>
      <w:sz w:val="20"/>
    </w:rPr>
  </w:style>
  <w:style w:styleId="List" w:type="paragraph">
    <w:name w:val="List"/>
    <w:basedOn w:val="BodyText"/>
    <w:pPr/>
    <w:rPr>
      <w:rFonts w:cs="Lohit Devanagari"/>
    </w:rPr>
  </w:style>
  <w:style w:styleId="Caption" w:type="paragraph">
    <w:name w:val="caption"/>
    <w:basedOn w:val="Normal"/>
    <w:link w:val="BodyTextChar"/>
    <w:qFormat/>
    <w:pPr>
      <w:spacing w:after="120" w:before="0"/>
    </w:pPr>
    <w:rPr>
      <w:i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90" w:before="0" w:line="259" w:lineRule="auto"/>
      <w:jc w:val="both"/>
    </w:pPr>
    <w:rPr>
      <w:rFonts w:ascii="Noto Serif" w:cs="Liberation Sans" w:eastAsia="Noto Serif" w:hAnsi="Noto Serif"/>
      <w:color w:val="1F2933"/>
      <w:sz w:val="20"/>
    </w:rPr>
  </w:style>
  <w:style w:customStyle="1" w:styleId="Compact" w:type="paragraph">
    <w:name w:val="Compact"/>
    <w:basedOn w:val="BodyText"/>
    <w:qFormat/>
    <w:pPr>
      <w:spacing w:after="30" w:before="36" w:line="240" w:lineRule="auto"/>
      <w:ind w:hanging="230" w:start="360"/>
    </w:pPr>
    <w:rPr>
      <w:rFonts w:ascii="Carlito" w:cs="Liberation Sans" w:eastAsia="Carlito" w:hAnsi="Carlito"/>
      <w:color w:val="1F2933"/>
      <w:sz w:val="18"/>
    </w:rPr>
  </w:style>
  <w:style w:styleId="Title" w:type="paragraph">
    <w:name w:val="Title"/>
    <w:basedOn w:val="Normal"/>
    <w:next w:val="BodyText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 w:val="true"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BodyText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Title" w:type="paragraph">
    <w:name w:val="Abstract Title"/>
    <w:basedOn w:val="Normal"/>
    <w:next w:val="Abstract"/>
    <w:qFormat/>
    <w:pPr>
      <w:keepNext w:val="true"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 w:val="true"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pPr>
      <w:spacing w:after="60" w:line="240" w:lineRule="auto"/>
      <w:ind w:hanging="360" w:left="360"/>
    </w:pPr>
    <w:rPr>
      <w:rFonts w:ascii="Noto Serif" w:hAnsi="Noto Serif"/>
      <w:sz w:val="1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end="480" w:hanging="0" w:start="480"/>
    </w:pPr>
    <w:rPr/>
  </w:style>
  <w:style w:styleId="FootnoteText" w:type="paragraph">
    <w:name w:val="footnote text"/>
    <w:basedOn w:val="Normal"/>
    <w:uiPriority w:val="9"/>
    <w:unhideWhenUsed/>
    <w:qFormat/>
    <w:pPr/>
    <w:rPr/>
  </w:style>
  <w:style w:styleId="FootnoteBlockText" w:type="paragraph">
    <w:name w:val="Footnote Block Text"/>
    <w:uiPriority w:val="9"/>
    <w:unhideWhenUsed/>
    <w:qFormat/>
    <w:pPr>
      <w:widowControl/>
      <w:bidi w:val="0"/>
      <w:spacing w:after="100" w:before="100"/>
      <w:ind w:end="480" w:hanging="0" w:start="480"/>
      <w:jc w:val="star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customStyle="1" w:styleId="TableCaption" w:type="paragraph">
    <w:name w:val="Table Caption"/>
    <w:basedOn w:val="Caption"/>
    <w:qFormat/>
    <w:pPr>
      <w:keepNext w:val="true"/>
    </w:pPr>
    <w:rPr/>
  </w:style>
  <w:style w:customStyle="1" w:styleId="ImageCaption" w:type="paragraph">
    <w:name w:val="Image Caption"/>
    <w:basedOn w:val="Caption"/>
    <w:qFormat/>
    <w:pPr/>
    <w:rPr>
      <w:rFonts w:ascii="Noto Serif" w:hAnsi="Noto Serif"/>
      <w:sz w:val="17"/>
    </w:rPr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  <w:spacing w:after="40"/>
    </w:pPr>
    <w:rPr/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240" w:line="259" w:lineRule="auto"/>
      <w:outlineLvl w:val="9"/>
    </w:pPr>
    <w:rPr>
      <w:rFonts w:ascii="Calibri" w:asciiTheme="majorHAnsi" w:cs="" w:cstheme="majorBidi" w:eastAsia="" w:eastAsiaTheme="majorEastAsia" w:hAnsi="Calibri" w:hAnsiTheme="majorHAnsi"/>
      <w:b w:val="false"/>
      <w:bCs w:val="false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qFormat/>
    <w:pPr/>
    <w:rPr/>
  </w:style>
  <w:style w:customStyle="1" w:styleId="TOC1" w:type="paragraph">
    <w:name w:val="toc 1"/>
    <w:pPr>
      <w:widowControl/>
      <w:bidi w:val="0"/>
      <w:spacing w:after="30" w:before="30" w:line="240" w:lineRule="auto"/>
      <w:ind w:start="0"/>
      <w:jc w:val="start"/>
    </w:pPr>
    <w:rPr>
      <w:rFonts w:ascii="Liberation Sans" w:cs="Liberation Sans" w:eastAsia="Liberation Sans" w:hAnsi="Liberation Sans"/>
      <w:b/>
      <w:color w:val="173A5E"/>
      <w:kern w:val="0"/>
      <w:sz w:val="20"/>
      <w:szCs w:val="24"/>
      <w:lang w:bidi="ar-SA" w:eastAsia="en-US" w:val="en-US"/>
    </w:rPr>
  </w:style>
  <w:style w:customStyle="1" w:styleId="TOC2" w:type="paragraph">
    <w:name w:val="toc 2"/>
    <w:pPr>
      <w:widowControl/>
      <w:bidi w:val="0"/>
      <w:spacing w:after="30" w:before="30" w:line="240" w:lineRule="auto"/>
      <w:ind w:start="317"/>
      <w:jc w:val="start"/>
    </w:pPr>
    <w:rPr>
      <w:rFonts w:ascii="Liberation Sans" w:cs="Liberation Sans" w:eastAsia="Liberation Sans" w:hAnsi="Liberation Sans"/>
      <w:b w:val="false"/>
      <w:color w:val="243746"/>
      <w:kern w:val="0"/>
      <w:sz w:val="18"/>
      <w:szCs w:val="24"/>
      <w:lang w:bidi="ar-SA" w:eastAsia="en-US" w:val="en-US"/>
    </w:rPr>
  </w:style>
  <w:style w:customStyle="1" w:styleId="Contents1" w:type="paragraph">
    <w:name w:val="Contents 1"/>
    <w:qFormat/>
    <w:pPr>
      <w:widowControl/>
      <w:bidi w:val="0"/>
      <w:spacing w:after="30" w:before="30" w:line="240" w:lineRule="auto"/>
      <w:ind w:start="0"/>
      <w:jc w:val="start"/>
    </w:pPr>
    <w:rPr>
      <w:rFonts w:ascii="Liberation Sans" w:cs="Liberation Sans" w:eastAsia="Liberation Sans" w:hAnsi="Liberation Sans"/>
      <w:b/>
      <w:color w:val="173A5E"/>
      <w:kern w:val="0"/>
      <w:sz w:val="20"/>
      <w:szCs w:val="24"/>
      <w:lang w:bidi="ar-SA" w:eastAsia="en-US" w:val="en-US"/>
    </w:rPr>
  </w:style>
  <w:style w:customStyle="1" w:styleId="Contents2" w:type="paragraph">
    <w:name w:val="Contents 2"/>
    <w:qFormat/>
    <w:pPr>
      <w:widowControl/>
      <w:bidi w:val="0"/>
      <w:spacing w:after="30" w:before="30" w:line="240" w:lineRule="auto"/>
      <w:ind w:start="317"/>
      <w:jc w:val="start"/>
    </w:pPr>
    <w:rPr>
      <w:rFonts w:ascii="Liberation Sans" w:cs="Liberation Sans" w:eastAsia="Liberation Sans" w:hAnsi="Liberation Sans"/>
      <w:b w:val="false"/>
      <w:color w:val="243746"/>
      <w:kern w:val="0"/>
      <w:sz w:val="18"/>
      <w:szCs w:val="24"/>
      <w:lang w:bidi="ar-SA" w:eastAsia="en-US" w:val="en-U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HeaderandFooter"/>
    <w:pPr/>
    <w:rPr/>
  </w:style>
  <w:style w:styleId="Footer" w:type="paragraph">
    <w:name w:val="footer"/>
    <w:basedOn w:val="HeaderandFooter"/>
    <w:pPr/>
    <w:rPr/>
  </w:style>
  <w:style w:default="1" w:styleId="Table" w:type="table">
    <w:name w:val="Table"/>
    <w:basedOn w:val="TableNormal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val="single"/>
        </w:tcBorders>
        <w:vAlign w:val="bottom"/>
      </w:tcPr>
    </w:tblStylePr>
  </w:style>
  <w:style w:customStyle="1" w:styleId="TOC1" w:type="paragraph">
    <w:name w:val="TOC 1"/>
    <w:basedOn w:val="Normal"/>
    <w:pPr>
      <w:keepLines/>
      <w:spacing w:after="20"/>
      <w:ind w:firstLine="0" w:left="0"/>
    </w:pPr>
    <w:rPr>
      <w:rFonts w:ascii="Calibri" w:hAnsi="Calibri"/>
      <w:sz w:val="19"/>
    </w:rPr>
  </w:style>
  <w:style w:customStyle="1" w:styleId="TOC2" w:type="paragraph">
    <w:name w:val="TOC 2"/>
    <w:basedOn w:val="Normal"/>
    <w:pPr>
      <w:keepLines/>
      <w:spacing w:after="20"/>
      <w:ind w:firstLine="0" w:left="360"/>
    </w:pPr>
    <w:rPr>
      <w:rFonts w:ascii="Calibri" w:hAnsi="Calibri"/>
      <w:sz w:val="18"/>
    </w:rPr>
  </w:style>
  <w:style w:customStyle="1" w:styleId="TOC3" w:type="paragraph">
    <w:name w:val="TOC 3"/>
    <w:basedOn w:val="Normal"/>
    <w:pPr>
      <w:keepLines/>
      <w:spacing w:after="20"/>
      <w:ind w:firstLine="0" w:left="720"/>
    </w:pPr>
    <w:rPr>
      <w:rFonts w:ascii="Calibri" w:hAnsi="Calibri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LibreOffice/25.2.3.2$Linux_X86_64 LibreOffice_project/520$Build-2</Application>
  <AppVersion>15.0000</AppVersion>
  <Pages>58</Pages>
  <Words>28442</Words>
  <Characters>187488</Characters>
  <CharactersWithSpaces>214726</CharactersWithSpaces>
  <Paragraphs>1170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AIAP Normative Assurance Standard v6.5</dc:title>
  <dc:creator>James McGaughran</dc:creator>
  <cp:keywords>AIAP, assessment assurance, generative AI, higher education</cp:keywords>
  <dcterms:created xsi:type="dcterms:W3CDTF">2026-08-13T13:53:51Z</dcterms:created>
  <dcterms:modified xsi:type="dcterms:W3CDTF">2026-08-13T13:53:51Z</dcterms:modified>
  <dc:subject>AIAP Standard v6.5</dc:subject>
  <dc:description>AIAP Release 6.5; specification-complete and publication-ready for governed pilot preparation; not empirical validation.</dc:description>
  <cp:lastModifiedBy>James McGaughran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