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rFonts w:ascii="Calibri" w:hAnsi="Calibri"/>
          <w:b/>
          <w:bCs/>
          <w:color w:val="17365D"/>
          <w:sz w:val="48"/>
        </w:rPr>
        <w:t xml:space="preserve">AIAP Data Protection, Accessibility, and Evidence Governance</w:t>
      </w:r>
    </w:p>
    <w:p>
      <w:pPr>
        <w:pStyle w:val="BodyText"/>
        <w:jc w:val="center"/>
      </w:pPr>
      <w:r>
        <w:rPr>
          <w:rFonts w:ascii="Georgia" w:hAnsi="Georgia"/>
          <w:i/>
          <w:iCs/>
          <w:color w:val="595959"/>
          <w:sz w:val="24"/>
        </w:rPr>
        <w:t xml:space="preserve">Governance requirements for assessment evidence, authentication, prompt security, and appeal</w:t>
      </w:r>
    </w:p>
    <w:p>
      <w:pPr>
        <w:pStyle w:val="BodyText"/>
        <w:jc w:val="center"/>
      </w:pPr>
      <w:r>
        <w:rPr>
          <w:rFonts w:ascii="Georgia" w:hAnsi="Georgia"/>
          <w:b/>
          <w:bCs/>
          <w:sz w:val="20"/>
        </w:rPr>
        <w:t xml:space="preserve">AIAP Release 6.5 | August 2026</w:t>
      </w:r>
    </w:p>
    <w:p>
      <w:pPr>
        <w:pStyle w:val="BodyText"/>
        <w:jc w:val="center"/>
      </w:pPr>
      <w:r>
        <w:rPr>
          <w:rFonts w:ascii="Georgia" w:hAnsi="Georgia"/>
          <w:sz w:val="20"/>
        </w:rPr>
        <w:t xml:space="preserve">Version-matched to the AIAP Core Working Paper v6.5 (Canonical Edition).</w:t>
      </w:r>
    </w:p>
    <w:bookmarkStart w:id="20" w:name="contents"/>
    <w:p>
      <w:pPr>
        <w:pStyle w:val="Heading1"/>
        <w:keepNext/>
        <w:pageBreakBefore/>
        <w:widowControl/>
        <w:jc w:val="center"/>
      </w:pPr>
      <w:r>
        <w:rPr>
          <w:rFonts w:ascii="Georgia" w:hAnsi="Georgia"/>
          <w:sz w:val="20"/>
        </w:rPr>
        <w:t xml:space="preserve">Contents</w:t>
      </w:r>
    </w:p>
    <w:p>
      <w:pPr>
        <w:pStyle w:val="TOC1"/>
        <w:tabs>
          <w:tab w:val="right" w:leader="dot" w:pos="8856"/>
        </w:tabs>
      </w:pPr>
      <w:hyperlink w:anchor="aiap_c_2000" w:history="1">
        <w:r>
          <w:rPr>
            <w:rStyle w:val="Hyperlink"/>
            <w:b/>
            <w:color w:val="1F4E79"/>
            <w:sz w:val="19"/>
          </w:rPr>
          <w:t>1. Governing principle</w:t>
        </w:r>
      </w:hyperlink>
      <w:r>
        <w:tab/>
      </w:r>
      <w:hyperlink w:anchor="aiap_c_2000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1" w:history="1">
        <w:r>
          <w:rPr>
            <w:rStyle w:val="Hyperlink"/>
            <w:b/>
            <w:color w:val="1F4E79"/>
            <w:sz w:val="19"/>
          </w:rPr>
          <w:t>2. Evidence inventory</w:t>
        </w:r>
      </w:hyperlink>
      <w:r>
        <w:tab/>
      </w:r>
      <w:hyperlink w:anchor="aiap_c_2001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2" w:history="1">
        <w:r>
          <w:rPr>
            <w:rStyle w:val="Hyperlink"/>
            <w:b/>
            <w:color w:val="1F4E79"/>
            <w:sz w:val="19"/>
          </w:rPr>
          <w:t>3. Prompt and assessment-security information</w:t>
        </w:r>
      </w:hyperlink>
      <w:r>
        <w:tab/>
      </w:r>
      <w:hyperlink w:anchor="aiap_c_2002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3" w:history="1">
        <w:r>
          <w:rPr>
            <w:rStyle w:val="Hyperlink"/>
            <w:b/>
            <w:color w:val="1F4E79"/>
            <w:sz w:val="19"/>
          </w:rPr>
          <w:t>4. Recordings and remote controls</w:t>
        </w:r>
      </w:hyperlink>
      <w:r>
        <w:tab/>
      </w:r>
      <w:hyperlink w:anchor="aiap_c_2003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4" w:history="1">
        <w:r>
          <w:rPr>
            <w:rStyle w:val="Hyperlink"/>
            <w:b/>
            <w:color w:val="1F4E79"/>
            <w:sz w:val="19"/>
          </w:rPr>
          <w:t>5. Accessibility-equivalent evidence</w:t>
        </w:r>
      </w:hyperlink>
      <w:r>
        <w:tab/>
      </w:r>
      <w:hyperlink w:anchor="aiap_c_2004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5" w:history="1">
        <w:r>
          <w:rPr>
            <w:rStyle w:val="Hyperlink"/>
            <w:b/>
            <w:color w:val="1F4E79"/>
            <w:sz w:val="19"/>
          </w:rPr>
          <w:t>6. Student notice and access</w:t>
        </w:r>
      </w:hyperlink>
      <w:r>
        <w:tab/>
      </w:r>
      <w:hyperlink w:anchor="aiap_c_2005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6" w:history="1">
        <w:r>
          <w:rPr>
            <w:rStyle w:val="Hyperlink"/>
            <w:b/>
            <w:color w:val="1F4E79"/>
            <w:sz w:val="19"/>
          </w:rPr>
          <w:t>7. Minimum appeal rights</w:t>
        </w:r>
      </w:hyperlink>
      <w:r>
        <w:tab/>
      </w:r>
      <w:hyperlink w:anchor="aiap_c_2006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7" w:history="1">
        <w:r>
          <w:rPr>
            <w:rStyle w:val="Hyperlink"/>
            <w:b/>
            <w:color w:val="1F4E79"/>
            <w:sz w:val="19"/>
          </w:rPr>
          <w:t>8. Capacity and incident degradation</w:t>
        </w:r>
      </w:hyperlink>
      <w:r>
        <w:tab/>
      </w:r>
      <w:hyperlink w:anchor="aiap_c_2007" w:history="1">
        <w:r>
          <w:rPr>
            <w:rStyle w:val="Hyperlink"/>
            <w:b/>
            <w:color w:val="1F4E79"/>
            <w:sz w:val="19"/>
          </w:rPr>
          <w:t>4</w:t>
        </w:r>
      </w:hyperlink>
    </w:p>
    <w:p>
      <w:pPr>
        <w:pStyle w:val="TOC1"/>
        <w:tabs>
          <w:tab w:val="right" w:leader="dot" w:pos="8856"/>
        </w:tabs>
      </w:pPr>
      <w:hyperlink w:anchor="aiap_c_2008" w:history="1">
        <w:r>
          <w:rPr>
            <w:rStyle w:val="Hyperlink"/>
            <w:b/>
            <w:color w:val="1F4E79"/>
            <w:sz w:val="19"/>
          </w:rPr>
          <w:t>9. Retention schedule template</w:t>
        </w:r>
      </w:hyperlink>
      <w:r>
        <w:tab/>
      </w:r>
      <w:hyperlink w:anchor="aiap_c_2008" w:history="1">
        <w:r>
          <w:rPr>
            <w:rStyle w:val="Hyperlink"/>
            <w:b/>
            <w:color w:val="1F4E79"/>
            <w:sz w:val="19"/>
          </w:rPr>
          <w:t>4</w:t>
        </w:r>
      </w:hyperlink>
    </w:p>
    <w:p>
      <w:pPr>
        <w:pStyle w:val="TOC1"/>
        <w:tabs>
          <w:tab w:val="right" w:leader="dot" w:pos="8856"/>
        </w:tabs>
      </w:pPr>
      <w:hyperlink w:anchor="aiap_c_2009" w:history="1">
        <w:r>
          <w:rPr>
            <w:rStyle w:val="Hyperlink"/>
            <w:b/>
            <w:color w:val="1F4E79"/>
            <w:sz w:val="19"/>
          </w:rPr>
          <w:t>10. Governance checklist</w:t>
        </w:r>
      </w:hyperlink>
      <w:r>
        <w:tab/>
      </w:r>
      <w:hyperlink w:anchor="aiap_c_2009" w:history="1">
        <w:r>
          <w:rPr>
            <w:rStyle w:val="Hyperlink"/>
            <w:b/>
            <w:color w:val="1F4E79"/>
            <w:sz w:val="19"/>
          </w:rPr>
          <w:t>4</w:t>
        </w:r>
      </w:hyperlink>
    </w:p>
    <w:bookmarkEnd w:id="20"/>
    <w:bookmarkStart w:id="21" w:name="X94a6e97bc5299414c59122f2afdf517cf66da46"/>
    <w:p>
      <w:bookmarkStart w:id="2000" w:name="aiap_c_2000"/>
      <w:pPr>
        <w:pStyle w:val="Heading1"/>
        <w:keepNext/>
        <w:pageBreakBefore/>
        <w:widowControl/>
      </w:pPr>
      <w:r>
        <w:t xml:space="preserve">1. Governing principle</w:t>
      </w:r>
      <w:bookmarkEnd w:id="2000"/>
    </w:p>
    <w:p>
      <w:pPr>
        <w:pStyle w:val="FirstParagraph"/>
      </w:pPr>
      <w:r>
        <w:t xml:space="preserve">Collect only evidence that materially supports the learning claim, validity</w:t>
      </w:r>
      <w:r>
        <w:t xml:space="preserve"> </w:t>
      </w:r>
      <w:r>
        <w:t xml:space="preserve">argument, quality assurance, appeal protection, or a lawful institutional</w:t>
      </w:r>
      <w:r>
        <w:t xml:space="preserve"> </w:t>
      </w:r>
      <w:r>
        <w:t xml:space="preserve">obligation. Documentary abundance is not assurance. Local legal,</w:t>
      </w:r>
      <w:r>
        <w:t xml:space="preserve"> </w:t>
      </w:r>
      <w:r>
        <w:t xml:space="preserve">institutional, ethics, accessibility, and records-management review remains</w:t>
      </w:r>
      <w:r>
        <w:t xml:space="preserve"> </w:t>
      </w:r>
      <w:r>
        <w:t xml:space="preserve">necessary.</w:t>
      </w:r>
    </w:p>
    <w:bookmarkEnd w:id="21"/>
    <w:bookmarkStart w:id="22" w:name="Xc218152db0394fd06c1e9b61305020dd2db32e7"/>
    <w:p>
      <w:bookmarkStart w:id="2001" w:name="aiap_c_2001"/>
      <w:pPr>
        <w:pStyle w:val="Heading1"/>
        <w:keepNext/>
        <w:widowControl/>
      </w:pPr>
      <w:r>
        <w:t xml:space="preserve">2. Evidence inventory</w:t>
      </w:r>
      <w:bookmarkEnd w:id="2001"/>
    </w:p>
    <w:p>
      <w:pPr>
        <w:pStyle w:val="FirstParagraph"/>
      </w:pPr>
      <w:r>
        <w:t xml:space="preserve">For every evidence object record purpose, minimum necessary form, claim</w:t>
      </w:r>
      <w:r>
        <w:t xml:space="preserve"> </w:t>
      </w:r>
      <w:r>
        <w:t xml:space="preserve">scope, source, directness, access roles, retention, correction route,</w:t>
      </w:r>
      <w:r>
        <w:t xml:space="preserve"> </w:t>
      </w:r>
      <w:r>
        <w:t xml:space="preserve">challenge status, security class, disposal, and requalification trigger.</w:t>
      </w:r>
      <w:r>
        <w:t xml:space="preserve"> </w:t>
      </w:r>
      <w:r>
        <w:t xml:space="preserve">Separate product, identity, competence, provenance, workflow, prompt,</w:t>
      </w:r>
      <w:r>
        <w:t xml:space="preserve"> </w:t>
      </w:r>
      <w:r>
        <w:t xml:space="preserve">recording, accommodation, integrity, and appeal evidence.</w:t>
      </w:r>
    </w:p>
    <w:bookmarkEnd w:id="22"/>
    <w:bookmarkStart w:id="23" w:name="X2fa1914b9f8b3cd217fd7349a3eaba18edcad79"/>
    <w:p>
      <w:bookmarkStart w:id="2002" w:name="aiap_c_2002"/>
      <w:pPr>
        <w:pStyle w:val="Heading1"/>
        <w:keepNext/>
        <w:widowControl/>
      </w:pPr>
      <w:r>
        <w:t xml:space="preserve">3. Prompt and assessment-security information</w:t>
      </w:r>
      <w:bookmarkEnd w:id="2002"/>
    </w:p>
    <w:p>
      <w:pPr>
        <w:pStyle w:val="FirstParagraph"/>
      </w:pPr>
      <w:r>
        <w:t xml:space="preserve">Prompt banks, form blueprints, exposure windows, allocation methods,</w:t>
      </w:r>
      <w:r>
        <w:t xml:space="preserve"> </w:t>
      </w:r>
      <w:r>
        <w:t xml:space="preserve">rotation/retirement rules, exposure incidents, and form-equivalence evidence</w:t>
      </w:r>
      <w:r>
        <w:t xml:space="preserve"> </w:t>
      </w:r>
      <w:r>
        <w:t xml:space="preserve">are controlled assessment-security records. Access should be limited to</w:t>
      </w:r>
      <w:r>
        <w:t xml:space="preserve"> </w:t>
      </w:r>
      <w:r>
        <w:t xml:space="preserve">people who require it. Credible circulation triggers containment,</w:t>
      </w:r>
      <w:r>
        <w:t xml:space="preserve"> </w:t>
      </w:r>
      <w:r>
        <w:t xml:space="preserve">retirement, review of affected decisions, and requalification. Public</w:t>
      </w:r>
      <w:r>
        <w:t xml:space="preserve"> </w:t>
      </w:r>
      <w:r>
        <w:t xml:space="preserve">reporting should describe failure classes and controls without publishing</w:t>
      </w:r>
      <w:r>
        <w:t xml:space="preserve"> </w:t>
      </w:r>
      <w:r>
        <w:t xml:space="preserve">operational attack details.</w:t>
      </w:r>
    </w:p>
    <w:bookmarkEnd w:id="23"/>
    <w:bookmarkStart w:id="24" w:name="X9bc1a6bb062422482c283389f6d942fd9e1691d"/>
    <w:p>
      <w:bookmarkStart w:id="2003" w:name="aiap_c_2003"/>
      <w:pPr>
        <w:pStyle w:val="Heading1"/>
        <w:keepNext/>
        <w:widowControl/>
      </w:pPr>
      <w:r>
        <w:t xml:space="preserve">4. Recordings and remote controls</w:t>
      </w:r>
      <w:bookmarkEnd w:id="2003"/>
    </w:p>
    <w:p>
      <w:pPr>
        <w:pStyle w:val="FirstParagraph"/>
      </w:pPr>
      <w:r>
        <w:t xml:space="preserve">Recording, camera, screen-sharing, browser controls, and identity data must</w:t>
      </w:r>
      <w:r>
        <w:t xml:space="preserve"> </w:t>
      </w:r>
      <w:r>
        <w:t xml:space="preserve">be necessary and proportionate to the claim and threat model. Use the least</w:t>
      </w:r>
      <w:r>
        <w:t xml:space="preserve"> </w:t>
      </w:r>
      <w:r>
        <w:t xml:space="preserve">intrusive sufficient control. State lawful/institutional basis, access,</w:t>
      </w:r>
      <w:r>
        <w:t xml:space="preserve"> </w:t>
      </w:r>
      <w:r>
        <w:t xml:space="preserve">retention, correction, deletion, and an equivalent route where surveillance</w:t>
      </w:r>
      <w:r>
        <w:t xml:space="preserve"> </w:t>
      </w:r>
      <w:r>
        <w:t xml:space="preserve">would create disproportionate or construct-irrelevant burden.</w:t>
      </w:r>
    </w:p>
    <w:bookmarkEnd w:id="24"/>
    <w:bookmarkStart w:id="25" w:name="Xcdfd59e713a1cc2df285111d0919f585b0f4345"/>
    <w:p>
      <w:bookmarkStart w:id="2004" w:name="aiap_c_2004"/>
      <w:pPr>
        <w:pStyle w:val="Heading1"/>
        <w:keepNext/>
        <w:widowControl/>
      </w:pPr>
      <w:r>
        <w:t xml:space="preserve">5. Accessibility-equivalent evidence</w:t>
      </w:r>
      <w:bookmarkEnd w:id="2004"/>
    </w:p>
    <w:p>
      <w:pPr>
        <w:pStyle w:val="FirstParagraph"/>
      </w:pPr>
      <w:r>
        <w:t xml:space="preserve">An alternative route must target the same declared construct and decision,</w:t>
      </w:r>
      <w:r>
        <w:t xml:space="preserve"> </w:t>
      </w:r>
      <w:r>
        <w:t xml:space="preserve">not merely look similar. Map criteria and load-bearing competence components</w:t>
      </w:r>
      <w:r>
        <w:t xml:space="preserve"> </w:t>
      </w:r>
      <w:r>
        <w:t xml:space="preserve">across formats, pilot the route where possible, compare decision behavior,</w:t>
      </w:r>
      <w:r>
        <w:t xml:space="preserve"> </w:t>
      </w:r>
      <w:r>
        <w:t xml:space="preserve">and record residual differences. Accommodation information should be</w:t>
      </w:r>
      <w:r>
        <w:t xml:space="preserve"> </w:t>
      </w:r>
      <w:r>
        <w:t xml:space="preserve">separated from the scored evidence except where strictly necessary.</w:t>
      </w:r>
    </w:p>
    <w:bookmarkEnd w:id="25"/>
    <w:bookmarkStart w:id="26" w:name="Xfa182729a7f48fc5c332fb3365236128cdf9a61"/>
    <w:p>
      <w:bookmarkStart w:id="2005" w:name="aiap_c_2005"/>
      <w:pPr>
        <w:pStyle w:val="Heading1"/>
        <w:keepNext/>
        <w:widowControl/>
      </w:pPr>
      <w:r>
        <w:t xml:space="preserve">6. Student notice and access</w:t>
      </w:r>
      <w:bookmarkEnd w:id="2005"/>
    </w:p>
    <w:p>
      <w:pPr>
        <w:pStyle w:val="FirstParagraph"/>
      </w:pPr>
      <w:r>
        <w:t xml:space="preserve">Students should receive concise notice of what is collected, why, who can</w:t>
      </w:r>
      <w:r>
        <w:t xml:space="preserve"> </w:t>
      </w:r>
      <w:r>
        <w:t xml:space="preserve">access it, how long it is retained, how to correct factual errors, how to</w:t>
      </w:r>
      <w:r>
        <w:t xml:space="preserve"> </w:t>
      </w:r>
      <w:r>
        <w:t xml:space="preserve">request an equivalent route, and how to appeal. Notice should not turn the</w:t>
      </w:r>
      <w:r>
        <w:t xml:space="preserve"> </w:t>
      </w:r>
      <w:r>
        <w:t xml:space="preserve">student into the sole custodian of complex compliance rules.</w:t>
      </w:r>
    </w:p>
    <w:bookmarkEnd w:id="26"/>
    <w:bookmarkStart w:id="27" w:name="Xb7eb960ff71b51fe81b515b5033d7b67b0d4893"/>
    <w:p>
      <w:bookmarkStart w:id="2006" w:name="aiap_c_2006"/>
      <w:pPr>
        <w:pStyle w:val="Heading1"/>
        <w:keepNext/>
        <w:widowControl/>
      </w:pPr>
      <w:r>
        <w:t xml:space="preserve">7. Minimum appeal rights</w:t>
      </w:r>
      <w:bookmarkEnd w:id="2006"/>
    </w:p>
    <w:p>
      <w:pPr>
        <w:pStyle w:val="FirstParagraph"/>
      </w:pPr>
      <w:r>
        <w:t xml:space="preserve">For a consequential authentication decision, the student should have access,</w:t>
      </w:r>
      <w:r>
        <w:t xml:space="preserve"> </w:t>
      </w:r>
      <w:r>
        <w:t xml:space="preserve">subject to lawful and proportionate limits, to the applicable rubric,</w:t>
      </w:r>
      <w:r>
        <w:t xml:space="preserve"> </w:t>
      </w:r>
      <w:r>
        <w:t xml:space="preserve">decision rationale, recording or assessor notes where they exist, and a</w:t>
      </w:r>
      <w:r>
        <w:t xml:space="preserve"> </w:t>
      </w:r>
      <w:r>
        <w:t xml:space="preserve">review by a qualified person not involved in the original decision. A</w:t>
      </w:r>
      <w:r>
        <w:t xml:space="preserve"> </w:t>
      </w:r>
      <w:r>
        <w:t xml:space="preserve">rehearing or equivalent reassessment should be available where procedural</w:t>
      </w:r>
      <w:r>
        <w:t xml:space="preserve"> </w:t>
      </w:r>
      <w:r>
        <w:t xml:space="preserve">unfairness, technology failure, accessibility failure, prompt compromise, or</w:t>
      </w:r>
      <w:r>
        <w:t xml:space="preserve"> </w:t>
      </w:r>
      <w:r>
        <w:t xml:space="preserve">material recording loss is established.</w:t>
      </w:r>
    </w:p>
    <w:bookmarkEnd w:id="27"/>
    <w:bookmarkStart w:id="28" w:name="Xea8aa448d9fd3665f25088d9c0d4cb70c02bcb6"/>
    <w:p>
      <w:bookmarkStart w:id="2007" w:name="aiap_c_2007"/>
      <w:pPr>
        <w:pStyle w:val="Heading1"/>
        <w:keepNext/>
        <w:widowControl/>
      </w:pPr>
      <w:r>
        <w:t xml:space="preserve">8. Capacity and incident degradation</w:t>
      </w:r>
      <w:bookmarkEnd w:id="2007"/>
    </w:p>
    <w:p>
      <w:pPr>
        <w:pStyle w:val="FirstParagraph"/>
      </w:pPr>
      <w:r>
        <w:t xml:space="preserve">Record assessor illness, mass rescheduling, technology failure, prompt</w:t>
      </w:r>
      <w:r>
        <w:t xml:space="preserve"> </w:t>
      </w:r>
      <w:r>
        <w:t xml:space="preserve">compromise, recording loss, accessibility failure, and data incidents. Name</w:t>
      </w:r>
      <w:r>
        <w:t xml:space="preserve"> </w:t>
      </w:r>
      <w:r>
        <w:t xml:space="preserve">the affected students/claims, containment, fallback route, delay or narrowing,</w:t>
      </w:r>
      <w:r>
        <w:t xml:space="preserve"> </w:t>
      </w:r>
      <w:r>
        <w:t xml:space="preserve">and requalification decision. Evidence standards must not be silently lowered</w:t>
      </w:r>
      <w:r>
        <w:t xml:space="preserve"> </w:t>
      </w:r>
      <w:r>
        <w:t xml:space="preserve">to protect a timetable.</w:t>
      </w:r>
    </w:p>
    <w:bookmarkEnd w:id="28"/>
    <w:bookmarkStart w:id="29" w:name="X2bc747de885df9c6b1664e2471c662e06608ac2"/>
    <w:p>
      <w:bookmarkStart w:id="2008" w:name="aiap_c_2008"/>
      <w:pPr>
        <w:pStyle w:val="Heading1"/>
        <w:keepNext/>
        <w:widowControl/>
      </w:pPr>
      <w:r>
        <w:t xml:space="preserve">9. Retention schedule template</w:t>
      </w:r>
      <w:bookmarkEnd w:id="2008"/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1F4E79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b/>
                <w:color w:val="FFFFFF"/>
                <w:sz w:val="17"/>
              </w:rPr>
              <w:t xml:space="preserve">Evidence type</w:t>
            </w:r>
          </w:p>
        </w:tc>
        <w:tc>
          <w:tcPr>
            <w:shd w:fill="1F4E79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b/>
                <w:color w:val="FFFFFF"/>
                <w:sz w:val="17"/>
              </w:rPr>
              <w:t xml:space="preserve">Purpose</w:t>
            </w:r>
          </w:p>
        </w:tc>
        <w:tc>
          <w:tcPr>
            <w:shd w:fill="1F4E79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b/>
                <w:color w:val="FFFFFF"/>
                <w:sz w:val="17"/>
              </w:rPr>
              <w:t xml:space="preserve">Default retention</w:t>
            </w:r>
          </w:p>
        </w:tc>
        <w:tc>
          <w:tcPr>
            <w:shd w:fill="1F4E79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b/>
                <w:color w:val="FFFFFF"/>
                <w:sz w:val="17"/>
              </w:rPr>
              <w:t xml:space="preserve">Access</w:t>
            </w:r>
          </w:p>
        </w:tc>
        <w:tc>
          <w:tcPr>
            <w:shd w:fill="1F4E79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b/>
                <w:color w:val="FFFFFF"/>
                <w:sz w:val="17"/>
              </w:rPr>
              <w:t xml:space="preserve">Disposal / review trigger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Authentication recording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scoring, moderation, appeal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local policy period only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named assessors, moderator, appeal authority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appeal closure or policy expiry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Assessor notes and rationale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decision trace and appeal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aligned with decision record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authorized staff and student-access route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policy expiry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Prompt bank and blueprint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security and equivalence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active life plus audit period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restricted design team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retirement/compromise review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Exposure incident log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correction and requalification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release/policy audit period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security, QA, appeal authorities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closure plus retention rule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AI-use or workflow record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learning/validity purpose only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minimum necessary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markers/QA as declared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purpose expiry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Accommodation information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equivalent route administration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minimum necessary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restricted accessibility roles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purpose expiry</w:t>
            </w:r>
          </w:p>
        </w:tc>
      </w:tr>
    </w:tbl>
    <w:bookmarkEnd w:id="29"/>
    <w:bookmarkStart w:id="30" w:name="X971dd0e61be4e94a9b41e620da68b76554296de"/>
    <w:p>
      <w:bookmarkStart w:id="2009" w:name="aiap_c_2009"/>
      <w:pPr>
        <w:pStyle w:val="Heading1"/>
        <w:keepNext/>
        <w:widowControl/>
      </w:pPr>
      <w:r>
        <w:t xml:space="preserve">10. Governance checklist</w:t>
      </w:r>
      <w:bookmarkEnd w:id="2009"/>
    </w:p>
    <w:p>
      <w:pPr>
        <w:pStyle w:val="Compact"/>
        <w:numPr>
          <w:ilvl w:val="0"/>
          <w:numId w:val="1001"/>
        </w:numPr>
      </w:pPr>
      <w:r>
        <w:t xml:space="preserve">☐ Purpose and minimum necessary evidence declared.</w:t>
      </w:r>
    </w:p>
    <w:p>
      <w:pPr>
        <w:pStyle w:val="Compact"/>
        <w:numPr>
          <w:ilvl w:val="0"/>
          <w:numId w:val="1001"/>
        </w:numPr>
      </w:pPr>
      <w:r>
        <w:t xml:space="preserve">☐ Sensitive and accommodation data separated and protected.</w:t>
      </w:r>
    </w:p>
    <w:p>
      <w:pPr>
        <w:pStyle w:val="Compact"/>
        <w:numPr>
          <w:ilvl w:val="0"/>
          <w:numId w:val="1001"/>
        </w:numPr>
      </w:pPr>
      <w:r>
        <w:t xml:space="preserve">☐ Prompt-security records access-controlled.</w:t>
      </w:r>
    </w:p>
    <w:p>
      <w:pPr>
        <w:pStyle w:val="Compact"/>
        <w:numPr>
          <w:ilvl w:val="0"/>
          <w:numId w:val="1001"/>
        </w:numPr>
      </w:pPr>
      <w:r>
        <w:t xml:space="preserve">☐ Student notice and correction route published.</w:t>
      </w:r>
    </w:p>
    <w:p>
      <w:pPr>
        <w:pStyle w:val="Compact"/>
        <w:numPr>
          <w:ilvl w:val="0"/>
          <w:numId w:val="1001"/>
        </w:numPr>
      </w:pPr>
      <w:r>
        <w:t xml:space="preserve">☐ Equivalent non-surveillance route available where needed.</w:t>
      </w:r>
    </w:p>
    <w:p>
      <w:pPr>
        <w:pStyle w:val="Compact"/>
        <w:numPr>
          <w:ilvl w:val="0"/>
          <w:numId w:val="1001"/>
        </w:numPr>
      </w:pPr>
      <w:r>
        <w:t xml:space="preserve">☐ Appeal evidence and second-review route operational.</w:t>
      </w:r>
    </w:p>
    <w:p>
      <w:pPr>
        <w:pStyle w:val="Compact"/>
        <w:numPr>
          <w:ilvl w:val="0"/>
          <w:numId w:val="1001"/>
        </w:numPr>
      </w:pPr>
      <w:r>
        <w:t xml:space="preserve">☐ Incident, compromise, retention, and disposal triggers assigned.</w:t>
      </w:r>
    </w:p>
    <w:p>
      <w:pPr>
        <w:pStyle w:val="Compact"/>
        <w:numPr>
          <w:ilvl w:val="0"/>
          <w:numId w:val="1001"/>
        </w:numPr>
      </w:pPr>
      <w:r>
        <w:t xml:space="preserve">☐ Public reporting excludes unnecessary personal or attack-enabling detail.</w:t>
      </w:r>
    </w:p>
    <w:bookmarkEnd w:id="30"/>
    <w:sectPr>
      <w:headerReference r:id="rId9" w:type="even"/>
      <w:headerReference r:id="rId10" w:type="default"/>
      <w:headerReference r:id="rId11" w:type="first"/>
      <w:footerReference r:id="rId12" w:type="even"/>
      <w:footerReference r:id="rId13" w:type="default"/>
      <w:footerReference r:id="rId14" w:type="first"/>
      <w:type w:val="nextPage"/>
      <w:pgSz w:h="16838" w:w="11906"/>
      <w:pgMar w:bottom="936" w:footer="432" w:gutter="0" w:header="432" w:left="1123" w:right="1123" w:top="1080"/>
      <w:formProt w:val="false"/>
      <w:titlePg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Liberation Sans">
    <w:altName w:val="Arial"/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nsolas"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86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spacing w:after="0"/>
      <w:jc w:val="center"/>
    </w:pPr>
    <w:r>
      <w:rPr>
        <w:rFonts w:ascii="Calibri" w:hAnsi="Calibri"/>
        <w:color w:val="595959"/>
        <w:sz w:val="16"/>
      </w:rPr>
      <w:t xml:space="preserve">Page </w:t>
    </w:r>
    <w:r>
      <w:fldChar w:fldCharType="begin"/>
      <w:instrText xml:space="preserve">PAGE</w:instrText>
      <w:fldChar w:fldCharType="separate"/>
    </w:r>
    <w:r>
      <w:t>1</w:t>
      <w:fldChar w:fldCharType="end"/>
    </w:r>
    <w:r>
      <w:rPr>
        <w:rFonts w:ascii="Calibri" w:hAnsi="Calibri"/>
        <w:color w:val="595959"/>
        <w:sz w:val="16"/>
      </w:rPr>
      <w:t xml:space="preserve"> of </w:t>
    </w:r>
    <w:r>
      <w:fldChar w:fldCharType="begin"/>
      <w:instrText xml:space="preserve">NUMPAGES</w:instrText>
      <w:fldChar w:fldCharType="separate"/>
    </w:r>
    <w:r>
      <w:t>1</w:t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86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tabs>
        <w:tab w:pos="9576" w:val="right"/>
      </w:tabs>
      <w:spacing w:after="0"/>
      <w:jc w:val="center"/>
      <w:pBdr>
        <w:bottom w:val="single" w:sz="4" w:space="5" w:color="9FBAD0"/>
      </w:pBdr>
    </w:pPr>
    <w:r>
      <w:rPr>
        <w:rFonts w:ascii="Calibri" w:hAnsi="Calibri"/>
        <w:b/>
        <w:color w:val="595959"/>
        <w:sz w:val="16"/>
      </w:rPr>
      <w:t>ARTIFICIAL INTELLIGENCE ASSURANCE PROTOCOL   |   DATA PROTECTION, ACCESSIBILITY &amp; EVIDENCE GOVERNANCE v6.5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bidi w:val="0"/>
      <w:spacing w:after="120" w:before="0" w:line="259" w:lineRule="auto"/>
      <w:jc w:val="both"/>
    </w:pPr>
    <w:rPr>
      <w:rFonts w:ascii="Georgia" w:cs="Liberation Sans" w:eastAsia="Noto Serif" w:hAnsi="Georgia"/>
      <w:color w:val="1F2933"/>
      <w:kern w:val="0"/>
      <w:sz w:val="20"/>
      <w:szCs w:val="24"/>
      <w:lang w:bidi="ar-SA" w:eastAsia="en-US" w:val="en-US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00"/>
      <w:outlineLvl w:val="0"/>
    </w:pPr>
    <w:rPr>
      <w:rFonts w:ascii="Calibri" w:asciiTheme="majorHAnsi" w:cs="" w:cstheme="majorBidi" w:eastAsia="Carlito" w:eastAsiaTheme="majorEastAsia" w:hAnsi="Calibri" w:hAnsiTheme="majorHAnsi"/>
      <w:b/>
      <w:bCs/>
      <w:color w:val="17365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00"/>
      <w:outlineLvl w:val="1"/>
    </w:pPr>
    <w:rPr>
      <w:rFonts w:ascii="Calibri" w:asciiTheme="majorHAnsi" w:cs="" w:cstheme="majorBidi" w:eastAsia="Carlito" w:eastAsiaTheme="majorEastAsia" w:hAnsi="Calibri" w:hAnsiTheme="majorHAnsi"/>
      <w:b/>
      <w:bCs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="Calibri" w:asciiTheme="majorHAnsi" w:cs="" w:cstheme="majorBidi" w:eastAsia="Carlito" w:eastAsiaTheme="majorEastAsia" w:hAnsi="Calibri" w:hAnsiTheme="majorHAnsi"/>
      <w:b/>
      <w:bCs/>
      <w:color w:val="1F4E79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FootnoteCharacters" w:type="character">
    <w:name w:val="Footnote Characters"/>
    <w:basedOn w:val="BodyTextChar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customStyle="1" w:styleId="KeywordTok" w:type="character">
    <w:name w:val="KeywordTok"/>
    <w:basedOn w:val="VerbatimChar"/>
    <w:qFormat/>
    <w:rPr>
      <w:b/>
      <w:color w:val="007020"/>
    </w:rPr>
  </w:style>
  <w:style w:customStyle="1" w:styleId="DataTypeTok" w:type="character">
    <w:name w:val="DataTypeTok"/>
    <w:basedOn w:val="VerbatimChar"/>
    <w:qFormat/>
    <w:rPr>
      <w:color w:val="902000"/>
    </w:rPr>
  </w:style>
  <w:style w:customStyle="1" w:styleId="DecValTok" w:type="character">
    <w:name w:val="DecValTok"/>
    <w:basedOn w:val="VerbatimChar"/>
    <w:qFormat/>
    <w:rPr>
      <w:color w:val="40A070"/>
    </w:rPr>
  </w:style>
  <w:style w:customStyle="1" w:styleId="BaseNTok" w:type="character">
    <w:name w:val="BaseNTok"/>
    <w:basedOn w:val="VerbatimChar"/>
    <w:qFormat/>
    <w:rPr>
      <w:color w:val="40A070"/>
    </w:rPr>
  </w:style>
  <w:style w:customStyle="1" w:styleId="FloatTok" w:type="character">
    <w:name w:val="FloatTok"/>
    <w:basedOn w:val="VerbatimChar"/>
    <w:qFormat/>
    <w:rPr>
      <w:color w:val="40A070"/>
    </w:rPr>
  </w:style>
  <w:style w:customStyle="1" w:styleId="ConstantTok" w:type="character">
    <w:name w:val="ConstantTok"/>
    <w:basedOn w:val="VerbatimChar"/>
    <w:qFormat/>
    <w:rPr>
      <w:color w:val="880000"/>
    </w:rPr>
  </w:style>
  <w:style w:customStyle="1" w:styleId="CharTok" w:type="character">
    <w:name w:val="CharTok"/>
    <w:basedOn w:val="VerbatimChar"/>
    <w:qFormat/>
    <w:rPr>
      <w:color w:val="4070A0"/>
    </w:rPr>
  </w:style>
  <w:style w:customStyle="1" w:styleId="SpecialCharTok" w:type="character">
    <w:name w:val="SpecialCharTok"/>
    <w:basedOn w:val="VerbatimChar"/>
    <w:qFormat/>
    <w:rPr>
      <w:color w:val="4070A0"/>
    </w:rPr>
  </w:style>
  <w:style w:customStyle="1" w:styleId="StringTok" w:type="character">
    <w:name w:val="StringTok"/>
    <w:basedOn w:val="VerbatimChar"/>
    <w:qFormat/>
    <w:rPr>
      <w:color w:val="4070A0"/>
    </w:rPr>
  </w:style>
  <w:style w:customStyle="1" w:styleId="VerbatimStringTok" w:type="character">
    <w:name w:val="VerbatimStringTok"/>
    <w:basedOn w:val="VerbatimChar"/>
    <w:qFormat/>
    <w:rPr>
      <w:color w:val="4070A0"/>
    </w:rPr>
  </w:style>
  <w:style w:customStyle="1" w:styleId="SpecialStringTok" w:type="character">
    <w:name w:val="SpecialStringTok"/>
    <w:basedOn w:val="VerbatimChar"/>
    <w:qFormat/>
    <w:rPr>
      <w:color w:val="BB6688"/>
    </w:rPr>
  </w:style>
  <w:style w:customStyle="1" w:styleId="ImportTok" w:type="character">
    <w:name w:val="ImportTok"/>
    <w:basedOn w:val="VerbatimChar"/>
    <w:qFormat/>
    <w:rPr>
      <w:b/>
      <w:color w:val="008000"/>
    </w:rPr>
  </w:style>
  <w:style w:customStyle="1" w:styleId="CommentTok" w:type="character">
    <w:name w:val="CommentTok"/>
    <w:basedOn w:val="VerbatimChar"/>
    <w:qFormat/>
    <w:rPr>
      <w:i/>
      <w:color w:val="60A0B0"/>
    </w:rPr>
  </w:style>
  <w:style w:customStyle="1" w:styleId="DocumentationTok" w:type="character">
    <w:name w:val="DocumentationTok"/>
    <w:basedOn w:val="VerbatimChar"/>
    <w:qFormat/>
    <w:rPr>
      <w:i/>
      <w:color w:val="BA2121"/>
    </w:rPr>
  </w:style>
  <w:style w:customStyle="1" w:styleId="AnnotationTok" w:type="character">
    <w:name w:val="AnnotationTok"/>
    <w:basedOn w:val="VerbatimChar"/>
    <w:qFormat/>
    <w:rPr>
      <w:b/>
      <w:i/>
      <w:color w:val="60A0B0"/>
    </w:rPr>
  </w:style>
  <w:style w:customStyle="1" w:styleId="CommentVarTok" w:type="character">
    <w:name w:val="CommentVarTok"/>
    <w:basedOn w:val="VerbatimChar"/>
    <w:qFormat/>
    <w:rPr>
      <w:b/>
      <w:i/>
      <w:color w:val="60A0B0"/>
    </w:rPr>
  </w:style>
  <w:style w:customStyle="1" w:styleId="OtherTok" w:type="character">
    <w:name w:val="OtherTok"/>
    <w:basedOn w:val="VerbatimChar"/>
    <w:qFormat/>
    <w:rPr>
      <w:color w:val="007020"/>
    </w:rPr>
  </w:style>
  <w:style w:customStyle="1" w:styleId="FunctionTok" w:type="character">
    <w:name w:val="FunctionTok"/>
    <w:basedOn w:val="VerbatimChar"/>
    <w:qFormat/>
    <w:rPr>
      <w:color w:val="06287E"/>
    </w:rPr>
  </w:style>
  <w:style w:customStyle="1" w:styleId="VariableTok" w:type="character">
    <w:name w:val="VariableTok"/>
    <w:basedOn w:val="VerbatimChar"/>
    <w:qFormat/>
    <w:rPr>
      <w:color w:val="19177C"/>
    </w:rPr>
  </w:style>
  <w:style w:customStyle="1" w:styleId="ControlFlowTok" w:type="character">
    <w:name w:val="ControlFlowTok"/>
    <w:basedOn w:val="VerbatimChar"/>
    <w:qFormat/>
    <w:rPr>
      <w:b/>
      <w:color w:val="007020"/>
    </w:rPr>
  </w:style>
  <w:style w:customStyle="1" w:styleId="OperatorTok" w:type="character">
    <w:name w:val="OperatorTok"/>
    <w:basedOn w:val="VerbatimChar"/>
    <w:qFormat/>
    <w:rPr>
      <w:color w:val="666666"/>
    </w:rPr>
  </w:style>
  <w:style w:customStyle="1" w:styleId="BuiltInTok" w:type="character">
    <w:name w:val="BuiltInTok"/>
    <w:basedOn w:val="VerbatimChar"/>
    <w:qFormat/>
    <w:rPr>
      <w:color w:val="008000"/>
    </w:rPr>
  </w:style>
  <w:style w:customStyle="1" w:styleId="ExtensionTok" w:type="character">
    <w:name w:val="ExtensionTok"/>
    <w:basedOn w:val="VerbatimChar"/>
    <w:qFormat/>
    <w:rPr/>
  </w:style>
  <w:style w:customStyle="1" w:styleId="PreprocessorTok" w:type="character">
    <w:name w:val="PreprocessorTok"/>
    <w:basedOn w:val="VerbatimChar"/>
    <w:qFormat/>
    <w:rPr>
      <w:color w:val="BC7A00"/>
    </w:rPr>
  </w:style>
  <w:style w:customStyle="1" w:styleId="AttributeTok" w:type="character">
    <w:name w:val="AttributeTok"/>
    <w:basedOn w:val="VerbatimChar"/>
    <w:qFormat/>
    <w:rPr>
      <w:color w:val="7D9029"/>
    </w:rPr>
  </w:style>
  <w:style w:customStyle="1" w:styleId="RegionMarkerTok" w:type="character">
    <w:name w:val="RegionMarkerTok"/>
    <w:basedOn w:val="VerbatimChar"/>
    <w:qFormat/>
    <w:rPr/>
  </w:style>
  <w:style w:customStyle="1" w:styleId="InformationTok" w:type="character">
    <w:name w:val="InformationTok"/>
    <w:basedOn w:val="VerbatimChar"/>
    <w:qFormat/>
    <w:rPr>
      <w:b/>
      <w:i/>
      <w:color w:val="60A0B0"/>
    </w:rPr>
  </w:style>
  <w:style w:customStyle="1" w:styleId="WarningTok" w:type="character">
    <w:name w:val="WarningTok"/>
    <w:basedOn w:val="VerbatimChar"/>
    <w:qFormat/>
    <w:rPr>
      <w:b/>
      <w:i/>
      <w:color w:val="60A0B0"/>
    </w:rPr>
  </w:style>
  <w:style w:customStyle="1" w:styleId="AlertTok" w:type="character">
    <w:name w:val="AlertTok"/>
    <w:basedOn w:val="VerbatimChar"/>
    <w:qFormat/>
    <w:rPr>
      <w:b/>
      <w:color w:val="FF0000"/>
    </w:rPr>
  </w:style>
  <w:style w:customStyle="1" w:styleId="ErrorTok" w:type="character">
    <w:name w:val="ErrorTok"/>
    <w:basedOn w:val="VerbatimChar"/>
    <w:qFormat/>
    <w:rPr>
      <w:b/>
      <w:color w:val="FF0000"/>
    </w:rPr>
  </w:style>
  <w:style w:customStyle="1" w:styleId="NormalTok" w:type="character">
    <w:name w:val="NormalTok"/>
    <w:basedOn w:val="VerbatimChar"/>
    <w:qFormat/>
    <w:rPr/>
  </w:style>
  <w:style w:styleId="IndexLink" w:type="character">
    <w:name w:val="Index Link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widowControl/>
      <w:spacing w:after="90" w:before="0" w:line="259" w:lineRule="auto"/>
      <w:jc w:val="both"/>
    </w:pPr>
    <w:rPr>
      <w:rFonts w:ascii="Noto Serif" w:cs="Liberation Sans" w:eastAsia="Noto Serif" w:hAnsi="Noto Serif"/>
      <w:color w:val="1F2933"/>
      <w:sz w:val="20"/>
    </w:rPr>
  </w:style>
  <w:style w:styleId="List" w:type="paragraph">
    <w:name w:val="List"/>
    <w:basedOn w:val="BodyText"/>
    <w:pPr/>
    <w:rPr>
      <w:rFonts w:cs="Lohit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Index" w:type="paragraph">
    <w:name w:val="Index"/>
    <w:basedOn w:val="Normal"/>
    <w:qFormat/>
    <w:pPr>
      <w:suppressLineNumbers/>
    </w:pPr>
    <w:rPr>
      <w:rFonts w:cs="Lohit Devanagari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90" w:before="0" w:line="259" w:lineRule="auto"/>
      <w:jc w:val="both"/>
    </w:pPr>
    <w:rPr>
      <w:rFonts w:ascii="Noto Serif" w:cs="Liberation Sans" w:eastAsia="Noto Serif" w:hAnsi="Noto Serif"/>
      <w:color w:val="1F2933"/>
      <w:sz w:val="20"/>
    </w:rPr>
  </w:style>
  <w:style w:customStyle="1" w:styleId="Compact" w:type="paragraph">
    <w:name w:val="Compact"/>
    <w:basedOn w:val="BodyText"/>
    <w:qFormat/>
    <w:pPr>
      <w:spacing w:after="30" w:before="36" w:line="240" w:lineRule="auto"/>
      <w:ind w:hanging="230" w:start="360"/>
    </w:pPr>
    <w:rPr>
      <w:rFonts w:ascii="Carlito" w:cs="Liberation Sans" w:eastAsia="Carlito" w:hAnsi="Carlito"/>
      <w:color w:val="1F2933"/>
      <w:sz w:val="18"/>
    </w:rPr>
  </w:style>
  <w:style w:styleId="Title" w:type="paragraph">
    <w:name w:val="Title"/>
    <w:basedOn w:val="Normal"/>
    <w:next w:val="BodyText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 w:val="true"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BodyText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>
      <w:spacing w:after="60" w:line="240" w:lineRule="auto"/>
      <w:ind w:hanging="360" w:left="360"/>
    </w:pPr>
    <w:rPr>
      <w:rFonts w:ascii="Noto Serif" w:hAnsi="Noto Serif"/>
      <w:sz w:val="1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end="480" w:hanging="0" w:star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styleId="FootnoteBlockText" w:type="paragraph">
    <w:name w:val="Footnote Block Text"/>
    <w:uiPriority w:val="9"/>
    <w:unhideWhenUsed/>
    <w:qFormat/>
    <w:pPr>
      <w:widowControl/>
      <w:bidi w:val="0"/>
      <w:spacing w:after="100" w:before="100"/>
      <w:ind w:end="480" w:hanging="0" w:start="480"/>
      <w:jc w:val="star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>
      <w:rFonts w:ascii="Noto Serif" w:hAnsi="Noto Serif"/>
      <w:sz w:val="17"/>
    </w:rPr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  <w:spacing w:after="40"/>
    </w:pPr>
    <w:rPr/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qFormat/>
    <w:pPr/>
    <w:rPr/>
  </w:style>
  <w:style w:customStyle="1" w:styleId="TOC1" w:type="paragraph">
    <w:name w:val="toc 1"/>
    <w:pPr>
      <w:widowControl/>
      <w:bidi w:val="0"/>
      <w:spacing w:after="30" w:before="30" w:line="240" w:lineRule="auto"/>
      <w:ind w:start="0"/>
      <w:jc w:val="start"/>
    </w:pPr>
    <w:rPr>
      <w:rFonts w:ascii="Liberation Sans" w:cs="Liberation Sans" w:eastAsia="Liberation Sans" w:hAnsi="Liberation Sans"/>
      <w:b/>
      <w:color w:val="173A5E"/>
      <w:kern w:val="0"/>
      <w:sz w:val="20"/>
      <w:szCs w:val="24"/>
      <w:lang w:bidi="ar-SA" w:eastAsia="en-US" w:val="en-US"/>
    </w:rPr>
  </w:style>
  <w:style w:customStyle="1" w:styleId="TOC2" w:type="paragraph">
    <w:name w:val="toc 2"/>
    <w:pPr>
      <w:widowControl/>
      <w:bidi w:val="0"/>
      <w:spacing w:after="30" w:before="30" w:line="240" w:lineRule="auto"/>
      <w:ind w:start="317"/>
      <w:jc w:val="start"/>
    </w:pPr>
    <w:rPr>
      <w:rFonts w:ascii="Liberation Sans" w:cs="Liberation Sans" w:eastAsia="Liberation Sans" w:hAnsi="Liberation Sans"/>
      <w:b w:val="false"/>
      <w:color w:val="243746"/>
      <w:kern w:val="0"/>
      <w:sz w:val="18"/>
      <w:szCs w:val="24"/>
      <w:lang w:bidi="ar-SA" w:eastAsia="en-US" w:val="en-US"/>
    </w:rPr>
  </w:style>
  <w:style w:customStyle="1" w:styleId="Contents1" w:type="paragraph">
    <w:name w:val="Contents 1"/>
    <w:qFormat/>
    <w:pPr>
      <w:widowControl/>
      <w:bidi w:val="0"/>
      <w:spacing w:after="30" w:before="30" w:line="240" w:lineRule="auto"/>
      <w:ind w:start="0"/>
      <w:jc w:val="start"/>
    </w:pPr>
    <w:rPr>
      <w:rFonts w:ascii="Liberation Sans" w:cs="Liberation Sans" w:eastAsia="Liberation Sans" w:hAnsi="Liberation Sans"/>
      <w:b/>
      <w:color w:val="173A5E"/>
      <w:kern w:val="0"/>
      <w:sz w:val="20"/>
      <w:szCs w:val="24"/>
      <w:lang w:bidi="ar-SA" w:eastAsia="en-US" w:val="en-US"/>
    </w:rPr>
  </w:style>
  <w:style w:customStyle="1" w:styleId="Contents2" w:type="paragraph">
    <w:name w:val="Contents 2"/>
    <w:qFormat/>
    <w:pPr>
      <w:widowControl/>
      <w:bidi w:val="0"/>
      <w:spacing w:after="30" w:before="30" w:line="240" w:lineRule="auto"/>
      <w:ind w:start="317"/>
      <w:jc w:val="start"/>
    </w:pPr>
    <w:rPr>
      <w:rFonts w:ascii="Liberation Sans" w:cs="Liberation Sans" w:eastAsia="Liberation Sans" w:hAnsi="Liberation Sans"/>
      <w:b w:val="false"/>
      <w:color w:val="243746"/>
      <w:kern w:val="0"/>
      <w:sz w:val="18"/>
      <w:szCs w:val="24"/>
      <w:lang w:bidi="ar-SA" w:eastAsia="en-US" w:val="en-US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HeaderandFooter"/>
    <w:pPr/>
    <w:rPr/>
  </w:style>
  <w:style w:styleId="Footer" w:type="paragraph">
    <w:name w:val="footer"/>
    <w:basedOn w:val="HeaderandFooter"/>
    <w:pPr/>
    <w:rPr/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customStyle="1" w:styleId="TOC1" w:type="paragraph">
    <w:name w:val="TOC 1"/>
    <w:basedOn w:val="Normal"/>
    <w:pPr>
      <w:keepLines/>
      <w:spacing w:after="20"/>
      <w:ind w:firstLine="0" w:left="0"/>
    </w:pPr>
    <w:rPr>
      <w:rFonts w:ascii="Calibri" w:hAnsi="Calibri"/>
      <w:sz w:val="19"/>
    </w:rPr>
  </w:style>
  <w:style w:customStyle="1" w:styleId="TOC2" w:type="paragraph">
    <w:name w:val="TOC 2"/>
    <w:basedOn w:val="Normal"/>
    <w:pPr>
      <w:keepLines/>
      <w:spacing w:after="20"/>
      <w:ind w:firstLine="0" w:left="360"/>
    </w:pPr>
    <w:rPr>
      <w:rFonts w:ascii="Calibri" w:hAnsi="Calibri"/>
      <w:sz w:val="18"/>
    </w:rPr>
  </w:style>
  <w:style w:customStyle="1" w:styleId="TOC3" w:type="paragraph">
    <w:name w:val="TOC 3"/>
    <w:basedOn w:val="Normal"/>
    <w:pPr>
      <w:keepLines/>
      <w:spacing w:after="20"/>
      <w:ind w:firstLine="0" w:left="720"/>
    </w:pPr>
    <w:rPr>
      <w:rFonts w:ascii="Calibri" w:hAnsi="Calibri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LibreOffice/25.2.3.2$Linux_X86_64 LibreOffice_project/520$Build-2</Application>
  <AppVersion>15.0000</AppVersion>
  <Pages>58</Pages>
  <Words>28442</Words>
  <Characters>187488</Characters>
  <CharactersWithSpaces>214726</CharactersWithSpaces>
  <Paragraphs>1170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AIAP Data Protection, Accessibility, and Evidence Governance v6.5</dc:title>
  <dc:creator>James McGaughran</dc:creator>
  <cp:keywords>AIAP, assessment assurance, generative AI, higher education</cp:keywords>
  <dcterms:created xsi:type="dcterms:W3CDTF">2026-08-13T14:01:02Z</dcterms:created>
  <dcterms:modified xsi:type="dcterms:W3CDTF">2026-08-13T14:01:02Z</dcterms:modified>
  <dc:subject>AIAP Governance v6.5</dc:subject>
  <dc:description>AIAP Release 6.5; specification-complete and publication-ready for governed pilot preparation; not empirical validation.</dc:description>
  <cp:lastModifiedBy>James McGaughran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