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Calibri" w:hAnsi="Calibri"/>
          <w:b/>
          <w:bCs/>
          <w:color w:val="17365D"/>
          <w:sz w:val="48"/>
        </w:rPr>
        <w:t xml:space="preserve">AIAP Implementation Handbook</w:t>
      </w:r>
    </w:p>
    <w:p>
      <w:pPr>
        <w:pStyle w:val="BodyText"/>
        <w:jc w:val="center"/>
      </w:pPr>
      <w:r>
        <w:rPr>
          <w:rFonts w:ascii="Georgia" w:hAnsi="Georgia"/>
          <w:i/>
          <w:iCs/>
          <w:color w:val="595959"/>
          <w:sz w:val="24"/>
        </w:rPr>
        <w:t xml:space="preserve">From claim decomposition to programme assurance</w:t>
      </w:r>
    </w:p>
    <w:p>
      <w:pPr>
        <w:pStyle w:val="BodyText"/>
        <w:jc w:val="center"/>
      </w:pPr>
      <w:r>
        <w:rPr>
          <w:rFonts w:ascii="Georgia" w:hAnsi="Georgia"/>
          <w:b/>
          <w:bCs/>
          <w:sz w:val="20"/>
        </w:rPr>
        <w:t xml:space="preserve">AIAP Release 6.5 | August 2026</w:t>
      </w:r>
    </w:p>
    <w:p>
      <w:pPr>
        <w:pStyle w:val="BodyText"/>
        <w:jc w:val="center"/>
      </w:pPr>
      <w:r>
        <w:rPr>
          <w:rFonts w:ascii="Georgia" w:hAnsi="Georgia"/>
          <w:sz w:val="20"/>
        </w:rPr>
        <w:t xml:space="preserve">Version-matched to the AIAP Core Working Paper v6.5 (Canonical Edition).</w:t>
      </w:r>
    </w:p>
    <w:bookmarkStart w:id="20" w:name="contents"/>
    <w:p>
      <w:pPr>
        <w:pStyle w:val="Heading1"/>
        <w:keepNext/>
        <w:pageBreakBefore/>
        <w:widowControl/>
        <w:jc w:val="center"/>
      </w:pPr>
      <w:r>
        <w:rPr>
          <w:rFonts w:ascii="Georgia" w:hAnsi="Georgia"/>
          <w:sz w:val="20"/>
        </w:rPr>
        <w:t xml:space="preserve">Contents</w:t>
      </w:r>
    </w:p>
    <w:p>
      <w:pPr>
        <w:pStyle w:val="TOC1"/>
        <w:tabs>
          <w:tab w:val="right" w:leader="dot" w:pos="8856"/>
        </w:tabs>
      </w:pPr>
      <w:hyperlink w:anchor="aiap_c_2000" w:history="1">
        <w:r>
          <w:rPr>
            <w:rStyle w:val="Hyperlink"/>
            <w:b/>
            <w:color w:val="1F4E79"/>
            <w:sz w:val="19"/>
          </w:rPr>
          <w:t>How to use this handbook</w:t>
        </w:r>
      </w:hyperlink>
      <w:r>
        <w:tab/>
      </w:r>
      <w:hyperlink w:anchor="aiap_c_2000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1" w:history="1">
        <w:r>
          <w:rPr>
            <w:rStyle w:val="Hyperlink"/>
            <w:b/>
            <w:color w:val="1F4E79"/>
            <w:sz w:val="19"/>
          </w:rPr>
          <w:t>1. AIAP-Lite: minimum viable adoption</w:t>
        </w:r>
      </w:hyperlink>
      <w:r>
        <w:tab/>
      </w:r>
      <w:hyperlink w:anchor="aiap_c_2001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2" w:history="1">
        <w:r>
          <w:rPr>
            <w:rStyle w:val="Hyperlink"/>
            <w:b/>
            <w:color w:val="1F4E79"/>
            <w:sz w:val="19"/>
          </w:rPr>
          <w:t>2. AIAP-Full: programme governance</w:t>
        </w:r>
      </w:hyperlink>
      <w:r>
        <w:tab/>
      </w:r>
      <w:hyperlink w:anchor="aiap_c_2002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3" w:history="1">
        <w:r>
          <w:rPr>
            <w:rStyle w:val="Hyperlink"/>
            <w:b/>
            <w:color w:val="1F4E79"/>
            <w:sz w:val="19"/>
          </w:rPr>
          <w:t>3. Assessment redesign workflow</w:t>
        </w:r>
      </w:hyperlink>
      <w:r>
        <w:tab/>
      </w:r>
      <w:hyperlink w:anchor="aiap_c_2003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4" w:history="1">
        <w:r>
          <w:rPr>
            <w:rStyle w:val="Hyperlink"/>
            <w:color w:val="1F4E79"/>
            <w:sz w:val="18"/>
          </w:rPr>
          <w:t>Step 1 — Diagnose the current inference</w:t>
        </w:r>
      </w:hyperlink>
      <w:r>
        <w:tab/>
      </w:r>
      <w:hyperlink w:anchor="aiap_c_2004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5" w:history="1">
        <w:r>
          <w:rPr>
            <w:rStyle w:val="Hyperlink"/>
            <w:color w:val="1F4E79"/>
            <w:sz w:val="18"/>
          </w:rPr>
          <w:t>Step 2 — Run the failure test</w:t>
        </w:r>
      </w:hyperlink>
      <w:r>
        <w:tab/>
      </w:r>
      <w:hyperlink w:anchor="aiap_c_2005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6" w:history="1">
        <w:r>
          <w:rPr>
            <w:rStyle w:val="Hyperlink"/>
            <w:color w:val="1F4E79"/>
            <w:sz w:val="18"/>
          </w:rPr>
          <w:t>Step 3 — Choose the repair</w:t>
        </w:r>
      </w:hyperlink>
      <w:r>
        <w:tab/>
      </w:r>
      <w:hyperlink w:anchor="aiap_c_2006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7" w:history="1">
        <w:r>
          <w:rPr>
            <w:rStyle w:val="Hyperlink"/>
            <w:color w:val="1F4E79"/>
            <w:sz w:val="18"/>
          </w:rPr>
          <w:t>Step 4 — Select the combination model</w:t>
        </w:r>
      </w:hyperlink>
      <w:r>
        <w:tab/>
      </w:r>
      <w:hyperlink w:anchor="aiap_c_2007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8" w:history="1">
        <w:r>
          <w:rPr>
            <w:rStyle w:val="Hyperlink"/>
            <w:color w:val="1F4E79"/>
            <w:sz w:val="18"/>
          </w:rPr>
          <w:t>Step 5 — Test modality</w:t>
        </w:r>
      </w:hyperlink>
      <w:r>
        <w:tab/>
      </w:r>
      <w:hyperlink w:anchor="aiap_c_2008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09" w:history="1">
        <w:r>
          <w:rPr>
            <w:rStyle w:val="Hyperlink"/>
            <w:color w:val="1F4E79"/>
            <w:sz w:val="18"/>
          </w:rPr>
          <w:t>Step 6 — Pass the capacity gate</w:t>
        </w:r>
      </w:hyperlink>
      <w:r>
        <w:tab/>
      </w:r>
      <w:hyperlink w:anchor="aiap_c_2009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10" w:history="1">
        <w:r>
          <w:rPr>
            <w:rStyle w:val="Hyperlink"/>
            <w:b/>
            <w:color w:val="1F4E79"/>
            <w:sz w:val="19"/>
          </w:rPr>
          <w:t>4. Worked failure and repair</w:t>
        </w:r>
      </w:hyperlink>
      <w:r>
        <w:tab/>
      </w:r>
      <w:hyperlink w:anchor="aiap_c_2010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11" w:history="1">
        <w:r>
          <w:rPr>
            <w:rStyle w:val="Hyperlink"/>
            <w:b/>
            <w:color w:val="1F4E79"/>
            <w:sz w:val="19"/>
          </w:rPr>
          <w:t>5. Lane design cards</w:t>
        </w:r>
      </w:hyperlink>
      <w:r>
        <w:tab/>
      </w:r>
      <w:hyperlink w:anchor="aiap_c_2011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2" w:history="1">
        <w:r>
          <w:rPr>
            <w:rStyle w:val="Hyperlink"/>
            <w:color w:val="1F4E79"/>
            <w:sz w:val="18"/>
          </w:rPr>
          <w:t>Lane 1</w:t>
        </w:r>
      </w:hyperlink>
      <w:r>
        <w:tab/>
      </w:r>
      <w:hyperlink w:anchor="aiap_c_2012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3" w:history="1">
        <w:r>
          <w:rPr>
            <w:rStyle w:val="Hyperlink"/>
            <w:color w:val="1F4E79"/>
            <w:sz w:val="18"/>
          </w:rPr>
          <w:t>Lane 2A</w:t>
        </w:r>
      </w:hyperlink>
      <w:r>
        <w:tab/>
      </w:r>
      <w:hyperlink w:anchor="aiap_c_2013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4" w:history="1">
        <w:r>
          <w:rPr>
            <w:rStyle w:val="Hyperlink"/>
            <w:color w:val="1F4E79"/>
            <w:sz w:val="18"/>
          </w:rPr>
          <w:t>Lane 2B</w:t>
        </w:r>
      </w:hyperlink>
      <w:r>
        <w:tab/>
      </w:r>
      <w:hyperlink w:anchor="aiap_c_2014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5" w:history="1">
        <w:r>
          <w:rPr>
            <w:rStyle w:val="Hyperlink"/>
            <w:color w:val="1F4E79"/>
            <w:sz w:val="18"/>
          </w:rPr>
          <w:t>Lane 3</w:t>
        </w:r>
      </w:hyperlink>
      <w:r>
        <w:tab/>
      </w:r>
      <w:hyperlink w:anchor="aiap_c_2015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16" w:history="1">
        <w:r>
          <w:rPr>
            <w:rStyle w:val="Hyperlink"/>
            <w:b/>
            <w:color w:val="1F4E79"/>
            <w:sz w:val="19"/>
          </w:rPr>
          <w:t>6. Authentication design</w:t>
        </w:r>
      </w:hyperlink>
      <w:r>
        <w:tab/>
      </w:r>
      <w:hyperlink w:anchor="aiap_c_2016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2"/>
        <w:tabs>
          <w:tab w:val="right" w:leader="dot" w:pos="8856"/>
        </w:tabs>
      </w:pPr>
      <w:hyperlink w:anchor="aiap_c_2017" w:history="1">
        <w:r>
          <w:rPr>
            <w:rStyle w:val="Hyperlink"/>
            <w:color w:val="1F4E79"/>
            <w:sz w:val="18"/>
          </w:rPr>
          <w:t>6.1 Prompt security and form equivalence</w:t>
        </w:r>
      </w:hyperlink>
      <w:r>
        <w:tab/>
      </w:r>
      <w:hyperlink w:anchor="aiap_c_2017" w:history="1">
        <w:r>
          <w:rPr>
            <w:rStyle w:val="Hyperlink"/>
            <w:color w:val="1F4E79"/>
            <w:sz w:val="18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18" w:history="1">
        <w:r>
          <w:rPr>
            <w:rStyle w:val="Hyperlink"/>
            <w:b/>
            <w:color w:val="1F4E79"/>
            <w:sz w:val="19"/>
          </w:rPr>
          <w:t>7. Programme assurance</w:t>
        </w:r>
      </w:hyperlink>
      <w:r>
        <w:tab/>
      </w:r>
      <w:hyperlink w:anchor="aiap_c_2018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19" w:history="1">
        <w:r>
          <w:rPr>
            <w:rStyle w:val="Hyperlink"/>
            <w:b/>
            <w:color w:val="1F4E79"/>
            <w:sz w:val="19"/>
          </w:rPr>
          <w:t>8. Online-only provision</w:t>
        </w:r>
      </w:hyperlink>
      <w:r>
        <w:tab/>
      </w:r>
      <w:hyperlink w:anchor="aiap_c_2019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20" w:history="1">
        <w:r>
          <w:rPr>
            <w:rStyle w:val="Hyperlink"/>
            <w:b/>
            <w:color w:val="1F4E79"/>
            <w:sz w:val="19"/>
          </w:rPr>
          <w:t>9. Workload and scheduling</w:t>
        </w:r>
      </w:hyperlink>
      <w:r>
        <w:tab/>
      </w:r>
      <w:hyperlink w:anchor="aiap_c_2020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21" w:history="1">
        <w:r>
          <w:rPr>
            <w:rStyle w:val="Hyperlink"/>
            <w:b/>
            <w:color w:val="1F4E79"/>
            <w:sz w:val="19"/>
          </w:rPr>
          <w:t>10. Quality-assurance cycle</w:t>
        </w:r>
      </w:hyperlink>
      <w:r>
        <w:tab/>
      </w:r>
      <w:hyperlink w:anchor="aiap_c_2021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2" w:history="1">
        <w:r>
          <w:rPr>
            <w:rStyle w:val="Hyperlink"/>
            <w:b/>
            <w:color w:val="1F4E79"/>
            <w:sz w:val="19"/>
          </w:rPr>
          <w:t>10.1 Group and collaborative assessment</w:t>
        </w:r>
      </w:hyperlink>
      <w:r>
        <w:tab/>
      </w:r>
      <w:hyperlink w:anchor="aiap_c_2022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3" w:history="1">
        <w:r>
          <w:rPr>
            <w:rStyle w:val="Hyperlink"/>
            <w:b/>
            <w:color w:val="1F4E79"/>
            <w:sz w:val="19"/>
          </w:rPr>
          <w:t>10.2 Minimum appeal record</w:t>
        </w:r>
      </w:hyperlink>
      <w:r>
        <w:tab/>
      </w:r>
      <w:hyperlink w:anchor="aiap_c_2023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4" w:history="1">
        <w:r>
          <w:rPr>
            <w:rStyle w:val="Hyperlink"/>
            <w:b/>
            <w:color w:val="1F4E79"/>
            <w:sz w:val="19"/>
          </w:rPr>
          <w:t>11. Minimum implementation records</w:t>
        </w:r>
      </w:hyperlink>
      <w:r>
        <w:tab/>
      </w:r>
      <w:hyperlink w:anchor="aiap_c_2024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5" w:history="1">
        <w:r>
          <w:rPr>
            <w:rStyle w:val="Hyperlink"/>
            <w:b/>
            <w:color w:val="1F4E79"/>
            <w:sz w:val="19"/>
          </w:rPr>
          <w:t>Appendix A. Implementation checklist</w:t>
        </w:r>
      </w:hyperlink>
      <w:r>
        <w:tab/>
      </w:r>
      <w:hyperlink w:anchor="aiap_c_2025" w:history="1">
        <w:r>
          <w:rPr>
            <w:rStyle w:val="Hyperlink"/>
            <w:b/>
            <w:color w:val="1F4E79"/>
            <w:sz w:val="19"/>
          </w:rPr>
          <w:t>6</w:t>
        </w:r>
      </w:hyperlink>
    </w:p>
    <w:bookmarkEnd w:id="20"/>
    <w:bookmarkStart w:id="21" w:name="how-to-use-this-handbook"/>
    <w:p>
      <w:bookmarkStart w:id="2000" w:name="aiap_c_2000"/>
      <w:pPr>
        <w:pStyle w:val="Heading1"/>
        <w:keepNext/>
        <w:pageBreakBefore/>
        <w:widowControl/>
      </w:pPr>
      <w:r>
        <w:t xml:space="preserve">How to use this handbook</w:t>
      </w:r>
      <w:bookmarkEnd w:id="2000"/>
    </w:p>
    <w:p>
      <w:pPr>
        <w:pStyle w:val="FirstParagraph"/>
      </w:pPr>
      <w:r>
        <w:t xml:space="preserve">The handbook operationalizes the Core Working Paper and Normative</w:t>
      </w:r>
      <w:r>
        <w:t xml:space="preserve"> </w:t>
      </w:r>
      <w:r>
        <w:t xml:space="preserve">Assurance Standard. It is not an independent source of authority. Start</w:t>
      </w:r>
      <w:r>
        <w:t xml:space="preserve"> </w:t>
      </w:r>
      <w:r>
        <w:t xml:space="preserve">with AIAP-Lite for one bounded assessment; use AIAP-Full when claims</w:t>
      </w:r>
      <w:r>
        <w:t xml:space="preserve"> </w:t>
      </w:r>
      <w:r>
        <w:t xml:space="preserve">affect progression, awards, accreditation, safety, or public trust.</w:t>
      </w:r>
    </w:p>
    <w:bookmarkEnd w:id="21"/>
    <w:bookmarkStart w:id="22" w:name="X2362dc1a3587e2edb9c92e98b3255a194fd3e0f"/>
    <w:p>
      <w:bookmarkStart w:id="2001" w:name="aiap_c_2001"/>
      <w:pPr>
        <w:pStyle w:val="Heading1"/>
        <w:keepNext/>
        <w:widowControl/>
      </w:pPr>
      <w:r>
        <w:t xml:space="preserve">1. AIAP-Lite: minimum viable adoption</w:t>
      </w:r>
      <w:bookmarkEnd w:id="2001"/>
    </w:p>
    <w:p>
      <w:pPr>
        <w:pStyle w:val="Compact"/>
        <w:numPr>
          <w:ilvl w:val="0"/>
          <w:numId w:val="1001"/>
        </w:numPr>
      </w:pPr>
      <w:r>
        <w:t xml:space="preserve">List every material learning claim.</w:t>
      </w:r>
    </w:p>
    <w:p>
      <w:pPr>
        <w:pStyle w:val="Compact"/>
        <w:numPr>
          <w:ilvl w:val="0"/>
          <w:numId w:val="1001"/>
        </w:numPr>
      </w:pPr>
      <w:r>
        <w:t xml:space="preserve">State what each claim is intended to certify.</w:t>
      </w:r>
    </w:p>
    <w:p>
      <w:pPr>
        <w:pStyle w:val="Compact"/>
        <w:numPr>
          <w:ilvl w:val="0"/>
          <w:numId w:val="1001"/>
        </w:numPr>
      </w:pPr>
      <w:r>
        <w:t xml:space="preserve">Record whether evidence is produced under controlled or open</w:t>
      </w:r>
      <w:r>
        <w:t xml:space="preserve"> </w:t>
      </w:r>
      <w:r>
        <w:t xml:space="preserve">conditions.</w:t>
      </w:r>
    </w:p>
    <w:p>
      <w:pPr>
        <w:pStyle w:val="Compact"/>
        <w:numPr>
          <w:ilvl w:val="0"/>
          <w:numId w:val="1001"/>
        </w:numPr>
      </w:pPr>
      <w:r>
        <w:t xml:space="preserve">Select Lane 1, 2A, 2B, or 3 for each claim.</w:t>
      </w:r>
    </w:p>
    <w:p>
      <w:pPr>
        <w:pStyle w:val="Compact"/>
        <w:numPr>
          <w:ilvl w:val="0"/>
          <w:numId w:val="1001"/>
        </w:numPr>
      </w:pPr>
      <w:r>
        <w:t xml:space="preserve">Specify the minimum evidence and any authentication.</w:t>
      </w:r>
    </w:p>
    <w:p>
      <w:pPr>
        <w:pStyle w:val="Compact"/>
        <w:numPr>
          <w:ilvl w:val="0"/>
          <w:numId w:val="1001"/>
        </w:numPr>
      </w:pPr>
      <w:r>
        <w:t xml:space="preserve">State what the result may and may not support.</w:t>
      </w:r>
    </w:p>
    <w:p>
      <w:pPr>
        <w:pStyle w:val="Compact"/>
        <w:numPr>
          <w:ilvl w:val="0"/>
          <w:numId w:val="1001"/>
        </w:numPr>
      </w:pPr>
      <w:r>
        <w:t xml:space="preserve">Give students a short, plain-language instruction.</w:t>
      </w:r>
    </w:p>
    <w:p>
      <w:pPr>
        <w:pStyle w:val="Compact"/>
        <w:numPr>
          <w:ilvl w:val="0"/>
          <w:numId w:val="1001"/>
        </w:numPr>
      </w:pPr>
      <w:r>
        <w:t xml:space="preserve">Check feasibility, accessibility, reassessment, and appeal before</w:t>
      </w:r>
      <w:r>
        <w:t xml:space="preserve"> </w:t>
      </w:r>
      <w:r>
        <w:t xml:space="preserve">release.</w:t>
      </w:r>
    </w:p>
    <w:p>
      <w:pPr>
        <w:pStyle w:val="FirstParagraph"/>
      </w:pPr>
      <w:r>
        <w:t xml:space="preserve">A whole-task label is acceptable only when all material claims use the</w:t>
      </w:r>
      <w:r>
        <w:t xml:space="preserve"> </w:t>
      </w:r>
      <w:r>
        <w:t xml:space="preserve">same logic.</w:t>
      </w:r>
    </w:p>
    <w:bookmarkEnd w:id="22"/>
    <w:bookmarkStart w:id="23" w:name="X2a36f60b3e2fdd0a0e5a5be03a9e06a89d1085a"/>
    <w:p>
      <w:bookmarkStart w:id="2002" w:name="aiap_c_2002"/>
      <w:pPr>
        <w:pStyle w:val="Heading1"/>
        <w:keepNext/>
        <w:widowControl/>
      </w:pPr>
      <w:r>
        <w:t xml:space="preserve">2. AIAP-Full: programme governance</w:t>
      </w:r>
      <w:bookmarkEnd w:id="2002"/>
    </w:p>
    <w:p>
      <w:pPr>
        <w:pStyle w:val="FirstParagraph"/>
      </w:pPr>
      <w:r>
        <w:t xml:space="preserve">AIAP-Full adds a programme assurance map, evidence-dependence groups,</w:t>
      </w:r>
      <w:r>
        <w:t xml:space="preserve"> </w:t>
      </w:r>
      <w:r>
        <w:t xml:space="preserve">authentication-event design, workload modelling, modality threat models,</w:t>
      </w:r>
      <w:r>
        <w:t xml:space="preserve"> </w:t>
      </w:r>
      <w:r>
        <w:t xml:space="preserve">disclosure-bias checks, annual requalification, external wording</w:t>
      </w:r>
      <w:r>
        <w:t xml:space="preserve"> </w:t>
      </w:r>
      <w:r>
        <w:t xml:space="preserve">control, and a pilot/validation plan.</w:t>
      </w:r>
    </w:p>
    <w:bookmarkEnd w:id="23"/>
    <w:bookmarkStart w:id="30" w:name="Xfbdd423954f9b903e60d6c8534bd1c120962987"/>
    <w:p>
      <w:bookmarkStart w:id="2003" w:name="aiap_c_2003"/>
      <w:pPr>
        <w:pStyle w:val="Heading1"/>
        <w:keepNext/>
        <w:widowControl/>
      </w:pPr>
      <w:r>
        <w:t xml:space="preserve">3. Assessment redesign workflow</w:t>
      </w:r>
      <w:bookmarkEnd w:id="2003"/>
    </w:p>
    <w:bookmarkStart w:id="24" w:name="step-1--diagnose-the-current-inference"/>
    <w:p>
      <w:bookmarkStart w:id="2004" w:name="aiap_c_2004"/>
      <w:pPr>
        <w:pStyle w:val="Heading2"/>
        <w:keepNext/>
        <w:widowControl/>
      </w:pPr>
      <w:r>
        <w:t xml:space="preserve">Step 1 — Diagnose the current inference</w:t>
      </w:r>
      <w:bookmarkEnd w:id="2004"/>
    </w:p>
    <w:p>
      <w:pPr>
        <w:pStyle w:val="FirstParagraph"/>
      </w:pPr>
      <w:r>
        <w:t xml:space="preserve">Ask: what are we currently inferring from the submitted product? Which</w:t>
      </w:r>
      <w:r>
        <w:t xml:space="preserve"> </w:t>
      </w:r>
      <w:r>
        <w:t xml:space="preserve">parts depend on unobserved compliance? Which claims are independent,</w:t>
      </w:r>
      <w:r>
        <w:t xml:space="preserve"> </w:t>
      </w:r>
      <w:r>
        <w:t xml:space="preserve">open, AI-integrated, or merely developmental?</w:t>
      </w:r>
    </w:p>
    <w:bookmarkEnd w:id="24"/>
    <w:bookmarkStart w:id="25" w:name="step-2--run-the-failure-test"/>
    <w:p>
      <w:bookmarkStart w:id="2005" w:name="aiap_c_2005"/>
      <w:pPr>
        <w:pStyle w:val="Heading2"/>
        <w:keepNext/>
        <w:widowControl/>
      </w:pPr>
      <w:r>
        <w:t xml:space="preserve">Step 2 — Run the failure test</w:t>
      </w:r>
      <w:bookmarkEnd w:id="2005"/>
    </w:p>
    <w:p>
      <w:pPr>
        <w:pStyle w:val="FirstParagraph"/>
      </w:pPr>
      <w:r>
        <w:t xml:space="preserve">A task fails when a consequential capability claim rests only on an open</w:t>
      </w:r>
      <w:r>
        <w:t xml:space="preserve"> </w:t>
      </w:r>
      <w:r>
        <w:t xml:space="preserve">product, a declaration, an unenforceable boundary, or a record that can</w:t>
      </w:r>
      <w:r>
        <w:t xml:space="preserve"> </w:t>
      </w:r>
      <w:r>
        <w:t xml:space="preserve">be reconstructed without the student possessing the claimed capability.</w:t>
      </w:r>
    </w:p>
    <w:bookmarkEnd w:id="25"/>
    <w:bookmarkStart w:id="26" w:name="step-3--choose-the-repair"/>
    <w:p>
      <w:bookmarkStart w:id="2006" w:name="aiap_c_2006"/>
      <w:pPr>
        <w:pStyle w:val="Heading2"/>
        <w:keepNext/>
        <w:widowControl/>
      </w:pPr>
      <w:r>
        <w:t xml:space="preserve">Step 3 — Choose the repair</w:t>
      </w:r>
      <w:bookmarkEnd w:id="2006"/>
    </w:p>
    <w:p>
      <w:pPr>
        <w:pStyle w:val="Compact"/>
        <w:numPr>
          <w:ilvl w:val="0"/>
          <w:numId w:val="1002"/>
        </w:numPr>
      </w:pPr>
      <w:r>
        <w:t xml:space="preserve">Add materially constrained performance → Lane 1.</w:t>
      </w:r>
    </w:p>
    <w:p>
      <w:pPr>
        <w:pStyle w:val="Compact"/>
        <w:numPr>
          <w:ilvl w:val="0"/>
          <w:numId w:val="1002"/>
        </w:numPr>
      </w:pPr>
      <w:r>
        <w:t xml:space="preserve">Add claim-targeted competence authentication → Lane 2A.</w:t>
      </w:r>
    </w:p>
    <w:p>
      <w:pPr>
        <w:pStyle w:val="Compact"/>
        <w:numPr>
          <w:ilvl w:val="0"/>
          <w:numId w:val="1002"/>
        </w:numPr>
      </w:pPr>
      <w:r>
        <w:t xml:space="preserve">Remove certification authority and map the claim elsewhere → Lane 2B.</w:t>
      </w:r>
    </w:p>
    <w:p>
      <w:pPr>
        <w:pStyle w:val="Compact"/>
        <w:numPr>
          <w:ilvl w:val="0"/>
          <w:numId w:val="1002"/>
        </w:numPr>
      </w:pPr>
      <w:r>
        <w:t xml:space="preserve">Make AI-mediated judgement, verification, and control part of the</w:t>
      </w:r>
      <w:r>
        <w:t xml:space="preserve"> </w:t>
      </w:r>
      <w:r>
        <w:t xml:space="preserve">construct → Lane 3.</w:t>
      </w:r>
    </w:p>
    <w:bookmarkEnd w:id="26"/>
    <w:bookmarkStart w:id="27" w:name="step-4--select-the-combination-model"/>
    <w:p>
      <w:bookmarkStart w:id="2007" w:name="aiap_c_2007"/>
      <w:pPr>
        <w:pStyle w:val="Heading2"/>
        <w:keepNext/>
        <w:widowControl/>
      </w:pPr>
      <w:r>
        <w:t xml:space="preserve">Step 4 — Select the combination model</w:t>
      </w:r>
      <w:bookmarkEnd w:id="2007"/>
    </w:p>
    <w:p>
      <w:pPr>
        <w:pStyle w:val="FirstParagraph"/>
      </w:pPr>
      <w:r>
        <w:t>Choose hurdle, dual-score, or integrated rubric for certifying claims. Publish thresholds, non-compensation rules, reassessment, appeal, and integrity routing. For Lane 2B, no combination model applies because the capability is explicitly non-certifying in that task; record the machine status as non_certifying and map the capability elsewhere.</w:t>
      </w:r>
    </w:p>
    <w:bookmarkEnd w:id="27"/>
    <w:bookmarkStart w:id="28" w:name="step-5--test-modality"/>
    <w:p>
      <w:bookmarkStart w:id="2008" w:name="aiap_c_2008"/>
      <w:pPr>
        <w:pStyle w:val="Heading2"/>
        <w:keepNext/>
        <w:widowControl/>
      </w:pPr>
      <w:r>
        <w:t xml:space="preserve">Step 5 — Test modality</w:t>
      </w:r>
      <w:bookmarkEnd w:id="2008"/>
    </w:p>
    <w:p>
      <w:pPr>
        <w:pStyle w:val="FirstParagraph"/>
      </w:pPr>
      <w:r>
        <w:t xml:space="preserve">In-person, invigilated-remote, and open-remote events are not</w:t>
      </w:r>
      <w:r>
        <w:t xml:space="preserve"> </w:t>
      </w:r>
      <w:r>
        <w:t xml:space="preserve">equivalent. Record source and environmental independence separately.</w:t>
      </w:r>
      <w:r>
        <w:t xml:space="preserve"> </w:t>
      </w:r>
      <w:r>
        <w:t xml:space="preserve">Include at least one materially unseen or perturbed element for</w:t>
      </w:r>
      <w:r>
        <w:t xml:space="preserve"> </w:t>
      </w:r>
      <w:r>
        <w:t xml:space="preserve">consequential Lane 2A.</w:t>
      </w:r>
    </w:p>
    <w:bookmarkEnd w:id="28"/>
    <w:bookmarkStart w:id="29" w:name="step-6--pass-the-capacity-gate"/>
    <w:p>
      <w:bookmarkStart w:id="2009" w:name="aiap_c_2009"/>
      <w:pPr>
        <w:pStyle w:val="Heading2"/>
        <w:keepNext/>
        <w:widowControl/>
      </w:pPr>
      <w:r>
        <w:t xml:space="preserve">Step 6 — Pass the capacity gate</w:t>
      </w:r>
      <w:bookmarkEnd w:id="2009"/>
    </w:p>
    <w:p>
      <w:pPr>
        <w:pStyle w:val="FirstParagraph"/>
      </w:pPr>
      <w:r>
        <w:t xml:space="preserve">Use the version-matched workbook. A false green occurs when a favourable</w:t>
      </w:r>
      <w:r>
        <w:t xml:space="preserve"> </w:t>
      </w:r>
      <w:r>
        <w:t xml:space="preserve">minutes-per-student estimate masks calendar, staffing, accessibility,</w:t>
      </w:r>
      <w:r>
        <w:t xml:space="preserve"> </w:t>
      </w:r>
      <w:r>
        <w:t xml:space="preserve">independence, or appeal failure.</w:t>
      </w:r>
    </w:p>
    <w:bookmarkEnd w:id="29"/>
    <w:bookmarkEnd w:id="30"/>
    <w:bookmarkStart w:id="31" w:name="Xf45f17c6407f3a0233d5ae4b689ba9c7cfa3903"/>
    <w:p>
      <w:bookmarkStart w:id="2010" w:name="aiap_c_2010"/>
      <w:pPr>
        <w:pStyle w:val="Heading1"/>
        <w:keepNext/>
        <w:widowControl/>
      </w:pPr>
      <w:r>
        <w:t xml:space="preserve">4. Worked failure and repair</w:t>
      </w:r>
      <w:bookmarkEnd w:id="2010"/>
    </w:p>
    <w:p>
      <w:pPr>
        <w:pStyle w:val="FirstParagraph"/>
      </w:pPr>
      <w:r>
        <w:rPr>
          <w:b/>
          <w:bCs/>
        </w:rPr>
        <w:t xml:space="preserve">Initial task:</w:t>
      </w:r>
      <w:r>
        <w:t xml:space="preserve"> </w:t>
      </w:r>
      <w:r>
        <w:t xml:space="preserve">A 2,500-word strategy report says AI may be used for</w:t>
      </w:r>
      <w:r>
        <w:t xml:space="preserve"> </w:t>
      </w:r>
      <w:r>
        <w:t xml:space="preserve">brainstorming but not drafting. The task is completed off campus, and no</w:t>
      </w:r>
      <w:r>
        <w:t xml:space="preserve"> </w:t>
      </w:r>
      <w:r>
        <w:t xml:space="preserve">process or competence evidence is required.</w:t>
      </w:r>
    </w:p>
    <w:p>
      <w:pPr>
        <w:pStyle w:val="BodyText"/>
      </w:pPr>
      <w:r>
        <w:rPr>
          <w:b/>
          <w:bCs/>
        </w:rPr>
        <w:t xml:space="preserve">Defect:</w:t>
      </w:r>
      <w:r>
        <w:t xml:space="preserve"> </w:t>
      </w:r>
      <w:r>
        <w:t xml:space="preserve">The distinction is communicated but not structurally</w:t>
      </w:r>
      <w:r>
        <w:t xml:space="preserve"> </w:t>
      </w:r>
      <w:r>
        <w:t xml:space="preserve">observable. The product can support output-quality judgement, but it</w:t>
      </w:r>
      <w:r>
        <w:t xml:space="preserve"> </w:t>
      </w:r>
      <w:r>
        <w:t xml:space="preserve">cannot by itself support an independent-capability or</w:t>
      </w:r>
      <w:r>
        <w:t xml:space="preserve"> </w:t>
      </w:r>
      <w:r>
        <w:t xml:space="preserve">production-provenance claim.</w:t>
      </w:r>
    </w:p>
    <w:p>
      <w:pPr>
        <w:pStyle w:val="BodyText"/>
      </w:pPr>
      <w:r>
        <w:rPr>
          <w:b/>
          <w:bCs/>
        </w:rPr>
        <w:t xml:space="preserve">Repair A — Lane 2A:</w:t>
      </w:r>
      <w:r>
        <w:t xml:space="preserve"> </w:t>
      </w:r>
      <w:r>
        <w:t xml:space="preserve">retain the open report, add a</w:t>
      </w:r>
      <w:r>
        <w:t xml:space="preserve"> </w:t>
      </w:r>
      <w:r>
        <w:t xml:space="preserve">source-verification table and an authenticated unseen adaptation. Use a</w:t>
      </w:r>
      <w:r>
        <w:t xml:space="preserve"> </w:t>
      </w:r>
      <w:r>
        <w:t xml:space="preserve">hurdle or dual-score model.</w:t>
      </w:r>
    </w:p>
    <w:p>
      <w:pPr>
        <w:pStyle w:val="BodyText"/>
      </w:pPr>
      <w:r>
        <w:rPr>
          <w:b/>
          <w:bCs/>
        </w:rPr>
        <w:t xml:space="preserve">Repair B — Lane 3:</w:t>
      </w:r>
      <w:r>
        <w:t xml:space="preserve"> </w:t>
      </w:r>
      <w:r>
        <w:t xml:space="preserve">assess AI-workflow design, verification, human</w:t>
      </w:r>
      <w:r>
        <w:t xml:space="preserve"> </w:t>
      </w:r>
      <w:r>
        <w:t xml:space="preserve">correction, risk controls, and unseen audit of a new output.</w:t>
      </w:r>
    </w:p>
    <w:p>
      <w:pPr>
        <w:pStyle w:val="BodyText"/>
      </w:pPr>
      <w:r>
        <w:rPr>
          <w:b/>
          <w:bCs/>
        </w:rPr>
        <w:t xml:space="preserve">Repair C — Lane 2B:</w:t>
      </w:r>
      <w:r>
        <w:t xml:space="preserve"> </w:t>
      </w:r>
      <w:r>
        <w:t xml:space="preserve">use the report for feedback and practice only;</w:t>
      </w:r>
      <w:r>
        <w:t xml:space="preserve"> </w:t>
      </w:r>
      <w:r>
        <w:t xml:space="preserve">assure the consequential capability in a separate secured or</w:t>
      </w:r>
      <w:r>
        <w:t xml:space="preserve"> </w:t>
      </w:r>
      <w:r>
        <w:t xml:space="preserve">authenticated assessment.</w:t>
      </w:r>
    </w:p>
    <w:bookmarkEnd w:id="31"/>
    <w:bookmarkStart w:id="36" w:name="Xa9f1ecfec3a1c029ee86d72badc5dbe0b5d6b05"/>
    <w:p>
      <w:bookmarkStart w:id="2011" w:name="aiap_c_2011"/>
      <w:pPr>
        <w:pStyle w:val="Heading1"/>
        <w:keepNext/>
        <w:widowControl/>
      </w:pPr>
      <w:r>
        <w:t xml:space="preserve">5. Lane design cards</w:t>
      </w:r>
      <w:bookmarkEnd w:id="2011"/>
    </w:p>
    <w:bookmarkStart w:id="32" w:name="lane-1"/>
    <w:p>
      <w:bookmarkStart w:id="2012" w:name="aiap_c_2012"/>
      <w:pPr>
        <w:pStyle w:val="Heading2"/>
        <w:keepNext/>
        <w:widowControl/>
      </w:pPr>
      <w:r>
        <w:t xml:space="preserve">Lane 1</w:t>
      </w:r>
      <w:bookmarkEnd w:id="2012"/>
    </w:p>
    <w:p>
      <w:pPr>
        <w:pStyle w:val="FirstParagraph"/>
      </w:pPr>
      <w:r>
        <w:t xml:space="preserve">Use for essential independent knowledge, safety-critical performance,</w:t>
      </w:r>
      <w:r>
        <w:t xml:space="preserve"> </w:t>
      </w:r>
      <w:r>
        <w:t xml:space="preserve">live procedural skill, or foundational capability. Record control</w:t>
      </w:r>
      <w:r>
        <w:t xml:space="preserve"> </w:t>
      </w:r>
      <w:r>
        <w:t xml:space="preserve">strength and residual limitations. Avoid construct narrowing merely to</w:t>
      </w:r>
      <w:r>
        <w:t xml:space="preserve"> </w:t>
      </w:r>
      <w:r>
        <w:t xml:space="preserve">increase security.</w:t>
      </w:r>
    </w:p>
    <w:bookmarkEnd w:id="32"/>
    <w:bookmarkStart w:id="33" w:name="lane-2a"/>
    <w:p>
      <w:bookmarkStart w:id="2013" w:name="aiap_c_2013"/>
      <w:pPr>
        <w:pStyle w:val="Heading2"/>
        <w:keepNext/>
        <w:widowControl/>
      </w:pPr>
      <w:r>
        <w:t xml:space="preserve">Lane 2A</w:t>
      </w:r>
      <w:bookmarkEnd w:id="2013"/>
    </w:p>
    <w:p>
      <w:pPr>
        <w:pStyle w:val="FirstParagraph"/>
      </w:pPr>
      <w:r>
        <w:t xml:space="preserve">Use for complex open work where present competence matters.</w:t>
      </w:r>
      <w:r>
        <w:t xml:space="preserve"> </w:t>
      </w:r>
      <w:r>
        <w:t xml:space="preserve">Authentication should target the declared competence profile: explain, defend, verify, adapt, and transfer. Programmes name which components are load-bearing for the claim. Rehearsed preparation is legitimate; the</w:t>
      </w:r>
      <w:r>
        <w:t xml:space="preserve"> </w:t>
      </w:r>
      <w:r>
        <w:t xml:space="preserve">unseen or perturbed element carries the transfer burden.</w:t>
      </w:r>
    </w:p>
    <w:bookmarkEnd w:id="33"/>
    <w:bookmarkStart w:id="34" w:name="lane-2b"/>
    <w:p>
      <w:bookmarkStart w:id="2014" w:name="aiap_c_2014"/>
      <w:pPr>
        <w:pStyle w:val="Heading2"/>
        <w:keepNext/>
        <w:widowControl/>
      </w:pPr>
      <w:r>
        <w:t xml:space="preserve">Lane 2B</w:t>
      </w:r>
      <w:bookmarkEnd w:id="2014"/>
    </w:p>
    <w:p>
      <w:pPr>
        <w:pStyle w:val="FirstParagraph"/>
      </w:pPr>
      <w:r>
        <w:t xml:space="preserve">Use for formative, remediable, or triangulated activity. Put the</w:t>
      </w:r>
      <w:r>
        <w:t xml:space="preserve"> </w:t>
      </w:r>
      <w:r>
        <w:t xml:space="preserve">non-certifying status in the brief and programme map. Review accumulated</w:t>
      </w:r>
      <w:r>
        <w:t xml:space="preserve"> </w:t>
      </w:r>
      <w:r>
        <w:t xml:space="preserve">credit weight and programme reliance each year.</w:t>
      </w:r>
    </w:p>
    <w:bookmarkEnd w:id="34"/>
    <w:bookmarkStart w:id="35" w:name="lane-3"/>
    <w:p>
      <w:bookmarkStart w:id="2015" w:name="aiap_c_2015"/>
      <w:pPr>
        <w:pStyle w:val="Heading2"/>
        <w:keepNext/>
        <w:widowControl/>
      </w:pPr>
      <w:r>
        <w:t xml:space="preserve">Lane 3</w:t>
      </w:r>
      <w:bookmarkEnd w:id="2015"/>
    </w:p>
    <w:p>
      <w:pPr>
        <w:pStyle w:val="FirstParagraph"/>
      </w:pPr>
      <w:r>
        <w:t xml:space="preserve">Use when responsible AI-mediated practice is part of the learning</w:t>
      </w:r>
      <w:r>
        <w:t xml:space="preserve"> </w:t>
      </w:r>
      <w:r>
        <w:t xml:space="preserve">outcome. Require workflow, verification, retained decision rights,</w:t>
      </w:r>
      <w:r>
        <w:t xml:space="preserve"> </w:t>
      </w:r>
      <w:r>
        <w:t xml:space="preserve">rejected recommendations, accountability, and—where</w:t>
      </w:r>
      <w:r>
        <w:t xml:space="preserve"> </w:t>
      </w:r>
      <w:r>
        <w:t xml:space="preserve">consequential—authenticated judgement or transfer.</w:t>
      </w:r>
    </w:p>
    <w:bookmarkEnd w:id="35"/>
    <w:bookmarkEnd w:id="36"/>
    <w:bookmarkStart w:id="38" w:name="Xa25c2f6fb6e9a18d2888de0e93f81211dca3eac"/>
    <w:p>
      <w:bookmarkStart w:id="2016" w:name="aiap_c_2016"/>
      <w:pPr>
        <w:pStyle w:val="Heading1"/>
        <w:keepNext/>
        <w:widowControl/>
      </w:pPr>
      <w:r>
        <w:t xml:space="preserve">6. Authentication design</w:t>
      </w:r>
      <w:bookmarkEnd w:id="2016"/>
    </w:p>
    <w:p>
      <w:pPr>
        <w:pStyle w:val="FirstParagraph"/>
      </w:pPr>
      <w:r>
        <w:t xml:space="preserve">A strong event has a declared competence profile, a protected prompt or</w:t>
      </w:r>
      <w:r>
        <w:t xml:space="preserve"> </w:t>
      </w:r>
      <w:r>
        <w:t xml:space="preserve">live-perturbation design, an unseen/perturbed component, analytic scoring</w:t>
      </w:r>
      <w:r>
        <w:t xml:space="preserve"> </w:t>
      </w:r>
      <w:r>
        <w:t xml:space="preserve">guide, assessor qualification and calibration, moderation and drift</w:t>
      </w:r>
      <w:r>
        <w:t xml:space="preserve"> </w:t>
      </w:r>
      <w:r>
        <w:t xml:space="preserve">checks, an equivalent accessible route, reassessment, appeal,</w:t>
      </w:r>
      <w:r>
        <w:t xml:space="preserve"> </w:t>
      </w:r>
      <w:r>
        <w:t xml:space="preserve">data-minimization plan, and modality threat model.</w:t>
      </w:r>
    </w:p>
    <w:bookmarkStart w:id="37" w:name="X3e5f48881bed78137b9f3ce8cd6da086dd750b9"/>
    <w:p>
      <w:bookmarkStart w:id="2017" w:name="aiap_c_2017"/>
      <w:pPr>
        <w:pStyle w:val="Heading2"/>
        <w:keepNext/>
        <w:widowControl/>
      </w:pPr>
      <w:r>
        <w:t xml:space="preserve">6.1 Prompt security and form equivalence</w:t>
      </w:r>
      <w:bookmarkEnd w:id="2017"/>
    </w:p>
    <w:p>
      <w:pPr>
        <w:pStyle w:val="Compact"/>
        <w:numPr>
          <w:ilvl w:val="0"/>
          <w:numId w:val="1003"/>
        </w:numPr>
      </w:pPr>
      <w:r>
        <w:t xml:space="preserve">Declare the material claim, load-bearing competence component, cohort,</w:t>
      </w:r>
      <w:r>
        <w:t xml:space="preserve"> </w:t>
      </w:r>
      <w:r>
        <w:t xml:space="preserve">scheduling window, and likely exposure path.</w:t>
      </w:r>
    </w:p>
    <w:p>
      <w:pPr>
        <w:pStyle w:val="Compact"/>
        <w:numPr>
          <w:ilvl w:val="0"/>
          <w:numId w:val="1003"/>
        </w:numPr>
      </w:pPr>
      <w:r>
        <w:t xml:space="preserve">Prefer artifact-specific live perturbations - changed constraints, new</w:t>
      </w:r>
      <w:r>
        <w:t xml:space="preserve"> </w:t>
      </w:r>
      <w:r>
        <w:t xml:space="preserve">data, planted errors, or changed cases - where they preserve the</w:t>
      </w:r>
      <w:r>
        <w:t xml:space="preserve"> </w:t>
      </w:r>
      <w:r>
        <w:t xml:space="preserve">construct and accessibility.</w:t>
      </w:r>
    </w:p>
    <w:p>
      <w:pPr>
        <w:pStyle w:val="Compact"/>
        <w:numPr>
          <w:ilvl w:val="0"/>
          <w:numId w:val="1003"/>
        </w:numPr>
      </w:pPr>
      <w:r>
        <w:t xml:space="preserve">If a bank is used, record prompt ID, form ID, allocation method, use</w:t>
      </w:r>
      <w:r>
        <w:t xml:space="preserve"> </w:t>
      </w:r>
      <w:r>
        <w:t xml:space="preserve">count, access owner, rotation and retirement rule, and exposure status.</w:t>
      </w:r>
    </w:p>
    <w:p>
      <w:pPr>
        <w:pStyle w:val="Compact"/>
        <w:numPr>
          <w:ilvl w:val="0"/>
          <w:numId w:val="1003"/>
        </w:numPr>
      </w:pPr>
      <w:r>
        <w:t xml:space="preserve">Monitor circulation through student reports, statistical anomalies,</w:t>
      </w:r>
      <w:r>
        <w:t xml:space="preserve"> </w:t>
      </w:r>
      <w:r>
        <w:t xml:space="preserve">staff observations, and public leakage. Retire compromised prompts and</w:t>
      </w:r>
      <w:r>
        <w:t xml:space="preserve"> </w:t>
      </w:r>
      <w:r>
        <w:t xml:space="preserve">review affected decisions.</w:t>
      </w:r>
    </w:p>
    <w:p>
      <w:pPr>
        <w:pStyle w:val="Compact"/>
        <w:numPr>
          <w:ilvl w:val="0"/>
          <w:numId w:val="1003"/>
        </w:numPr>
      </w:pPr>
      <w:r>
        <w:t xml:space="preserve">Establish parallel-form equivalence through a common blueprint,</w:t>
      </w:r>
      <w:r>
        <w:t xml:space="preserve"> </w:t>
      </w:r>
      <w:r>
        <w:t xml:space="preserve">expert review, pilot evidence, decision-consistency evidence, and</w:t>
      </w:r>
      <w:r>
        <w:t xml:space="preserve"> </w:t>
      </w:r>
      <w:r>
        <w:t xml:space="preserve">accessibility comparison. If equivalence is not supported, do not use</w:t>
      </w:r>
      <w:r>
        <w:t xml:space="preserve"> </w:t>
      </w:r>
      <w:r>
        <w:t xml:space="preserve">the forms interchangeably for the same hurdle.</w:t>
      </w:r>
    </w:p>
    <w:p>
      <w:pPr>
        <w:pStyle w:val="Compact"/>
        <w:numPr>
          <w:ilvl w:val="0"/>
          <w:numId w:val="1003"/>
        </w:numPr>
      </w:pPr>
      <w:r>
        <w:t xml:space="preserve">Record and justify the interval between submission and authentication.</w:t>
      </w:r>
      <w:r>
        <w:t xml:space="preserve"> </w:t>
      </w:r>
      <w:r>
        <w:t xml:space="preserve">Long delays may change what the event can say about the artifact.</w:t>
      </w:r>
    </w:p>
    <w:p>
      <w:pPr>
        <w:pStyle w:val="FirstParagraph"/>
      </w:pPr>
      <w:r>
        <w:t xml:space="preserve">No universal bank-size ratio is imposed. The programme must instead show</w:t>
      </w:r>
      <w:r>
        <w:t xml:space="preserve"> </w:t>
      </w:r>
      <w:r>
        <w:t xml:space="preserve">why its bank or live-perturbation method remains adequate for the cohort,</w:t>
      </w:r>
      <w:r>
        <w:t xml:space="preserve"> </w:t>
      </w:r>
      <w:r>
        <w:t xml:space="preserve">exposure window, stakes, and threat model.</w:t>
      </w:r>
    </w:p>
    <w:p>
      <w:pPr>
        <w:pStyle w:val="BodyText"/>
      </w:pPr>
      <w:r>
        <w:t xml:space="preserve">Weak performance is not proof of misconduct. Route first to the</w:t>
      </w:r>
      <w:r>
        <w:t xml:space="preserve"> </w:t>
      </w:r>
      <w:r>
        <w:t xml:space="preserve">grading/validity process; refer to integrity only when separate evidence</w:t>
      </w:r>
      <w:r>
        <w:t xml:space="preserve"> </w:t>
      </w:r>
      <w:r>
        <w:t xml:space="preserve">indicates deception, fabrication, identity breach, prohibited</w:t>
      </w:r>
      <w:r>
        <w:t xml:space="preserve"> </w:t>
      </w:r>
      <w:r>
        <w:t xml:space="preserve">outsourcing, or controlled-condition violation.</w:t>
      </w:r>
    </w:p>
    <w:bookmarkEnd w:id="37"/>
    <w:bookmarkEnd w:id="38"/>
    <w:bookmarkStart w:id="39" w:name="X80ee983799e16eb5f318b3bc9bafc9025ad98c6"/>
    <w:p>
      <w:bookmarkStart w:id="2018" w:name="aiap_c_2018"/>
      <w:pPr>
        <w:pStyle w:val="Heading1"/>
        <w:keepNext/>
        <w:widowControl/>
      </w:pPr>
      <w:r>
        <w:t xml:space="preserve">7. Programme assurance</w:t>
      </w:r>
      <w:bookmarkEnd w:id="2018"/>
    </w:p>
    <w:p>
      <w:pPr>
        <w:pStyle w:val="FirstParagraph"/>
      </w:pPr>
      <w:r>
        <w:t xml:space="preserve">Map each programme learning outcome across years and evidence types.</w:t>
      </w:r>
      <w:r>
        <w:t xml:space="preserve"> </w:t>
      </w:r>
      <w:r>
        <w:t xml:space="preserve">Avoid concentrating all assurance in one exit event. Broad claims</w:t>
      </w:r>
      <w:r>
        <w:t xml:space="preserve"> </w:t>
      </w:r>
      <w:r>
        <w:t xml:space="preserve">require distributed evidence across prompts/cases, occasions, assessors,</w:t>
      </w:r>
      <w:r>
        <w:t xml:space="preserve"> </w:t>
      </w:r>
      <w:r>
        <w:t xml:space="preserve">and contexts. Mark every Lane 2B contribution and every under-evidenced claim.</w:t>
      </w:r>
      <w:r>
        <w:t xml:space="preserve"> </w:t>
      </w:r>
      <w:r>
        <w:t xml:space="preserve">Publish or retain for audit the assurance-composition ratio: the share of</w:t>
      </w:r>
      <w:r>
        <w:t xml:space="preserve"> </w:t>
      </w:r>
      <w:r>
        <w:t xml:space="preserve">mapped credit or decision weight carried by Lane 1, Lane 2A, Lane 3, and</w:t>
      </w:r>
      <w:r>
        <w:t xml:space="preserve"> </w:t>
      </w:r>
      <w:r>
        <w:t xml:space="preserve">Lane 2B. Justify the mix; do not treat a route's percentage as a quality</w:t>
      </w:r>
      <w:r>
        <w:t xml:space="preserve"> </w:t>
      </w:r>
      <w:r>
        <w:t xml:space="preserve">score.</w:t>
      </w:r>
    </w:p>
    <w:bookmarkEnd w:id="39"/>
    <w:bookmarkStart w:id="40" w:name="X796d0987e120cea1c48a5d18296ec5d7943d7ec"/>
    <w:p>
      <w:bookmarkStart w:id="2019" w:name="aiap_c_2019"/>
      <w:pPr>
        <w:pStyle w:val="Heading1"/>
        <w:keepNext/>
        <w:widowControl/>
      </w:pPr>
      <w:r>
        <w:t xml:space="preserve">8. Online-only provision</w:t>
      </w:r>
      <w:bookmarkEnd w:id="2019"/>
    </w:p>
    <w:p>
      <w:pPr>
        <w:pStyle w:val="FirstParagraph"/>
      </w:pPr>
      <w:r>
        <w:t xml:space="preserve">Online provision can support consequential claims only when it supplies</w:t>
      </w:r>
      <w:r>
        <w:t xml:space="preserve"> </w:t>
      </w:r>
      <w:r>
        <w:t xml:space="preserve">a sufficiently independent evidence path for the stated construct.</w:t>
      </w:r>
      <w:r>
        <w:t xml:space="preserve"> </w:t>
      </w:r>
      <w:r>
        <w:t xml:space="preserve">Options include authorized local test centres, validated</w:t>
      </w:r>
      <w:r>
        <w:t xml:space="preserve"> </w:t>
      </w:r>
      <w:r>
        <w:t xml:space="preserve">invigilated-remote assessment, observed workplace/practicum evidence,</w:t>
      </w:r>
      <w:r>
        <w:t xml:space="preserve"> </w:t>
      </w:r>
      <w:r>
        <w:t xml:space="preserve">distributed supervised checkpoints, and narrower public wording. Where</w:t>
      </w:r>
      <w:r>
        <w:t xml:space="preserve"> </w:t>
      </w:r>
      <w:r>
        <w:t xml:space="preserve">no adequate path exists, the programme must narrow the claim rather than</w:t>
      </w:r>
      <w:r>
        <w:t xml:space="preserve"> </w:t>
      </w:r>
      <w:r>
        <w:t xml:space="preserve">describe open-remote evidence as equivalent to in-person control.</w:t>
      </w:r>
    </w:p>
    <w:bookmarkEnd w:id="40"/>
    <w:bookmarkStart w:id="41" w:name="X426d3daaab74c91494582d461cbbb6371cf985a"/>
    <w:p>
      <w:bookmarkStart w:id="2020" w:name="aiap_c_2020"/>
      <w:pPr>
        <w:pStyle w:val="Heading1"/>
        <w:keepNext/>
        <w:widowControl/>
      </w:pPr>
      <w:r>
        <w:t xml:space="preserve">9. Workload and scheduling</w:t>
      </w:r>
      <w:bookmarkEnd w:id="2020"/>
    </w:p>
    <w:p>
      <w:pPr>
        <w:pStyle w:val="FirstParagraph"/>
      </w:pPr>
      <w:r>
        <w:t xml:space="preserve">Model staff-hours, elapsed calendar time, throughput, moderation,</w:t>
      </w:r>
      <w:r>
        <w:t xml:space="preserve"> </w:t>
      </w:r>
      <w:r>
        <w:t xml:space="preserve">training, accessibility, rescheduling, recording review, appeals, and</w:t>
      </w:r>
      <w:r>
        <w:t xml:space="preserve"> </w:t>
      </w:r>
      <w:r>
        <w:t xml:space="preserve">data governance separately. Include transition time, maximum continuous</w:t>
      </w:r>
      <w:r>
        <w:t xml:space="preserve"> </w:t>
      </w:r>
      <w:r>
        <w:t xml:space="preserve">session length, scheduled breaks, assessor qualification, and drift</w:t>
      </w:r>
      <w:r>
        <w:t xml:space="preserve"> </w:t>
      </w:r>
      <w:r>
        <w:t xml:space="preserve">checks. Compare the proposed route with the assessment it replaces or</w:t>
      </w:r>
      <w:r>
        <w:t xml:space="preserve"> </w:t>
      </w:r>
      <w:r>
        <w:t xml:space="preserve">supplements rather than treating the authentication cost in isolation. Parallel staffing changes elapsed time, not</w:t>
      </w:r>
      <w:r>
        <w:t xml:space="preserve"> </w:t>
      </w:r>
      <w:r>
        <w:t xml:space="preserve">total staff-hours. Record student preparation, waiting, travel/setup,</w:t>
      </w:r>
      <w:r>
        <w:t xml:space="preserve"> </w:t>
      </w:r>
      <w:r>
        <w:t xml:space="preserve">accessibility, rescheduling, and anxiety burden in pilots.</w:t>
      </w:r>
    </w:p>
    <w:bookmarkEnd w:id="41"/>
    <w:bookmarkStart w:id="42" w:name="X9db7f4bec71fd557568538ac2d307a55498dee8"/>
    <w:p>
      <w:bookmarkStart w:id="2021" w:name="aiap_c_2021"/>
      <w:pPr>
        <w:pStyle w:val="Heading1"/>
        <w:keepNext/>
        <w:widowControl/>
      </w:pPr>
      <w:r>
        <w:t xml:space="preserve">10. Quality-assurance cycle</w:t>
      </w:r>
      <w:bookmarkEnd w:id="2021"/>
    </w:p>
    <w:p>
      <w:pPr>
        <w:pStyle w:val="FirstParagraph"/>
      </w:pPr>
      <w:r>
        <w:t xml:space="preserve">Before delivery: claim map, threat model, student comprehension test,</w:t>
      </w:r>
      <w:r>
        <w:t xml:space="preserve"> </w:t>
      </w:r>
      <w:r>
        <w:t xml:space="preserve">calibration, capacity gate, privacy/accessibility review.</w:t>
      </w:r>
    </w:p>
    <w:p>
      <w:pPr>
        <w:pStyle w:val="BodyText"/>
      </w:pPr>
      <w:r>
        <w:t xml:space="preserve">During delivery: incident log, prompt-exposure monitoring,</w:t>
      </w:r>
      <w:r>
        <w:t xml:space="preserve"> </w:t>
      </w:r>
      <w:r>
        <w:t xml:space="preserve">accommodation monitoring, assessor fatigue and drift checks, rescheduling,</w:t>
      </w:r>
      <w:r>
        <w:t xml:space="preserve"> </w:t>
      </w:r>
      <w:r>
        <w:t xml:space="preserve">data minimization. If capacity fails mid-cycle, use only a predeclared</w:t>
      </w:r>
      <w:r>
        <w:t xml:space="preserve"> </w:t>
      </w:r>
      <w:r>
        <w:t xml:space="preserve">construct-equivalent fallback; otherwise delay, narrow, or withhold the</w:t>
      </w:r>
      <w:r>
        <w:t xml:space="preserve"> </w:t>
      </w:r>
      <w:r>
        <w:t xml:space="preserve">affected claim.</w:t>
      </w:r>
    </w:p>
    <w:p>
      <w:pPr>
        <w:pStyle w:val="BodyText"/>
      </w:pPr>
      <w:r>
        <w:t xml:space="preserve">After delivery: reliability and decision review, mismatch analysis,</w:t>
      </w:r>
      <w:r>
        <w:t xml:space="preserve"> </w:t>
      </w:r>
      <w:r>
        <w:t xml:space="preserve">disclosure bias, appeals, burden, public wording, requalification</w:t>
      </w:r>
      <w:r>
        <w:t xml:space="preserve"> </w:t>
      </w:r>
      <w:r>
        <w:t xml:space="preserve">decision.</w:t>
      </w:r>
    </w:p>
    <w:bookmarkEnd w:id="42"/>
    <w:bookmarkStart w:id="43" w:name="X354fe9413f6c8e36fd0960200f20938bb1575f7"/>
    <w:p>
      <w:bookmarkStart w:id="2022" w:name="aiap_c_2022"/>
      <w:pPr>
        <w:pStyle w:val="Heading1"/>
        <w:keepNext/>
        <w:widowControl/>
      </w:pPr>
      <w:r>
        <w:t xml:space="preserve">10.1 Group and collaborative assessment</w:t>
      </w:r>
      <w:bookmarkEnd w:id="2022"/>
    </w:p>
    <w:p>
      <w:pPr>
        <w:pStyle w:val="FirstParagraph"/>
      </w:pPr>
      <w:r>
        <w:t xml:space="preserve">A shared artifact may support a claim about the group's output or</w:t>
      </w:r>
      <w:r>
        <w:t xml:space="preserve"> </w:t>
      </w:r>
      <w:r>
        <w:t xml:space="preserve">collaborative process, but it cannot by itself certify each student's</w:t>
      </w:r>
      <w:r>
        <w:t xml:space="preserve"> </w:t>
      </w:r>
      <w:r>
        <w:t xml:space="preserve">capability. Decompose the individual and group claims separately. A group</w:t>
      </w:r>
      <w:r>
        <w:t xml:space="preserve"> </w:t>
      </w:r>
      <w:r>
        <w:t xml:space="preserve">walkthrough is acceptable only when every student receives a separately</w:t>
      </w:r>
      <w:r>
        <w:t xml:space="preserve"> </w:t>
      </w:r>
      <w:r>
        <w:t xml:space="preserve">addressed challenge, is separately scored, and has an individual decision</w:t>
      </w:r>
      <w:r>
        <w:t xml:space="preserve"> </w:t>
      </w:r>
      <w:r>
        <w:t xml:space="preserve">record. Collaborative process evidence may remain Lane 2B when it supports</w:t>
      </w:r>
      <w:r>
        <w:t xml:space="preserve"> </w:t>
      </w:r>
      <w:r>
        <w:t xml:space="preserve">learning but does not carry individual certification.</w:t>
      </w:r>
    </w:p>
    <w:bookmarkEnd w:id="43"/>
    <w:bookmarkStart w:id="44" w:name="Xeb005141f764f64dd466c24752b0dd34e5fac61"/>
    <w:p>
      <w:bookmarkStart w:id="2023" w:name="aiap_c_2023"/>
      <w:pPr>
        <w:pStyle w:val="Heading1"/>
        <w:keepNext/>
        <w:widowControl/>
      </w:pPr>
      <w:r>
        <w:t xml:space="preserve">10.2 Minimum appeal record</w:t>
      </w:r>
      <w:bookmarkEnd w:id="2023"/>
    </w:p>
    <w:p>
      <w:pPr>
        <w:pStyle w:val="FirstParagraph"/>
      </w:pPr>
      <w:r>
        <w:t xml:space="preserve">Students should receive the applicable rubric, decision rationale, and</w:t>
      </w:r>
      <w:r>
        <w:t xml:space="preserve"> </w:t>
      </w:r>
      <w:r>
        <w:t xml:space="preserve">access to the recording or assessor notes where these exist and may be</w:t>
      </w:r>
      <w:r>
        <w:t xml:space="preserve"> </w:t>
      </w:r>
      <w:r>
        <w:t xml:space="preserve">shared lawfully. Review should be conducted by a qualified person not</w:t>
      </w:r>
      <w:r>
        <w:t xml:space="preserve"> </w:t>
      </w:r>
      <w:r>
        <w:t xml:space="preserve">involved in the original decision. A rehearing or equivalent reassessment</w:t>
      </w:r>
      <w:r>
        <w:t xml:space="preserve"> </w:t>
      </w:r>
      <w:r>
        <w:t xml:space="preserve">is required where procedural unfairness, technology failure,</w:t>
      </w:r>
      <w:r>
        <w:t xml:space="preserve"> </w:t>
      </w:r>
      <w:r>
        <w:t xml:space="preserve">accessibility failure, or prompt compromise is established.</w:t>
      </w:r>
    </w:p>
    <w:bookmarkEnd w:id="44"/>
    <w:bookmarkStart w:id="45" w:name="X27ed31919d8eb773ffcb027f66b37cd9014306c"/>
    <w:p>
      <w:bookmarkStart w:id="2024" w:name="aiap_c_2024"/>
      <w:pPr>
        <w:pStyle w:val="Heading1"/>
        <w:keepNext/>
        <w:widowControl/>
      </w:pPr>
      <w:r>
        <w:t xml:space="preserve">11. Minimum implementation records</w:t>
      </w:r>
      <w:bookmarkEnd w:id="2024"/>
    </w:p>
    <w:p>
      <w:pPr>
        <w:pStyle w:val="FirstParagraph"/>
      </w:pPr>
      <w:r>
        <w:t xml:space="preserve">Use the companion toolkit, workbooks, schema, and checklists. No local</w:t>
      </w:r>
      <w:r>
        <w:t xml:space="preserve"> </w:t>
      </w:r>
      <w:r>
        <w:t xml:space="preserve">form may silently change the four lanes, claim boundaries,</w:t>
      </w:r>
      <w:r>
        <w:t xml:space="preserve"> </w:t>
      </w:r>
      <w:r>
        <w:t xml:space="preserve">non-compensation rules, or public-claim discipline.</w:t>
      </w:r>
    </w:p>
    <w:bookmarkEnd w:id="45"/>
    <w:bookmarkStart w:id="46" w:name="appendix-a-implementation-checklist"/>
    <w:p>
      <w:bookmarkStart w:id="2025" w:name="aiap_c_2025"/>
      <w:pPr>
        <w:pStyle w:val="Heading1"/>
        <w:keepNext/>
        <w:widowControl/>
      </w:pPr>
      <w:r>
        <w:t xml:space="preserve">Appendix A. Implementation checklist</w:t>
      </w:r>
      <w:bookmarkEnd w:id="2025"/>
    </w:p>
    <w:p>
      <w:pPr>
        <w:pStyle w:val="Compact"/>
        <w:numPr>
          <w:ilvl w:val="0"/>
          <w:numId w:val="1004"/>
        </w:numPr>
      </w:pPr>
      <w:r>
        <w:t xml:space="preserve">☐ Material claims decomposed.</w:t>
      </w:r>
    </w:p>
    <w:p>
      <w:pPr>
        <w:pStyle w:val="Compact"/>
        <w:numPr>
          <w:ilvl w:val="0"/>
          <w:numId w:val="1004"/>
        </w:numPr>
      </w:pPr>
      <w:r>
        <w:t>☐ Learning claim, positive assurance object, and any routing status stated.</w:t>
      </w:r>
    </w:p>
    <w:p>
      <w:pPr>
        <w:pStyle w:val="Compact"/>
        <w:numPr>
          <w:ilvl w:val="0"/>
          <w:numId w:val="1004"/>
        </w:numPr>
      </w:pPr>
      <w:r>
        <w:t xml:space="preserve">☐ Condition and modality recorded.</w:t>
      </w:r>
    </w:p>
    <w:p>
      <w:pPr>
        <w:pStyle w:val="Compact"/>
        <w:numPr>
          <w:ilvl w:val="0"/>
          <w:numId w:val="1004"/>
        </w:numPr>
      </w:pPr>
      <w:r>
        <w:t xml:space="preserve">☐ Lane assigned for each claim.</w:t>
      </w:r>
    </w:p>
    <w:p>
      <w:pPr>
        <w:pStyle w:val="Compact"/>
        <w:numPr>
          <w:ilvl w:val="0"/>
          <w:numId w:val="1004"/>
        </w:numPr>
      </w:pPr>
      <w:r>
        <w:t xml:space="preserve">☐ Evidence and combination model predeclared.</w:t>
      </w:r>
    </w:p>
    <w:p>
      <w:pPr>
        <w:pStyle w:val="Compact"/>
        <w:numPr>
          <w:ilvl w:val="0"/>
          <w:numId w:val="1004"/>
        </w:numPr>
      </w:pPr>
      <w:r>
        <w:t xml:space="preserve">☐ Unseen/perturbed component included where consequential Lane 2A applies.</w:t>
      </w:r>
    </w:p>
    <w:p>
      <w:pPr>
        <w:pStyle w:val="Compact"/>
        <w:numPr>
          <w:ilvl w:val="0"/>
          <w:numId w:val="1004"/>
        </w:numPr>
      </w:pPr>
      <w:r>
        <w:t xml:space="preserve">☐ Prompt exposure window, allocation, rotation, retirement, and form-equivalence evidence recorded.</w:t>
      </w:r>
    </w:p>
    <w:p>
      <w:pPr>
        <w:pStyle w:val="Compact"/>
        <w:numPr>
          <w:ilvl w:val="0"/>
          <w:numId w:val="1004"/>
        </w:numPr>
      </w:pPr>
      <w:r>
        <w:t xml:space="preserve">☐ Submission-authentication interval recorded and justified.</w:t>
      </w:r>
    </w:p>
    <w:p>
      <w:pPr>
        <w:pStyle w:val="Compact"/>
        <w:numPr>
          <w:ilvl w:val="0"/>
          <w:numId w:val="1004"/>
        </w:numPr>
      </w:pPr>
      <w:r>
        <w:t xml:space="preserve">☐ Group work produces separately attributable individual evidence where individual claims are made.</w:t>
      </w:r>
    </w:p>
    <w:p>
      <w:pPr>
        <w:pStyle w:val="Compact"/>
        <w:numPr>
          <w:ilvl w:val="0"/>
          <w:numId w:val="1004"/>
        </w:numPr>
      </w:pPr>
      <w:r>
        <w:t xml:space="preserve">☐ Assessor qualification, session limits, breaks, and drift checks planned.</w:t>
      </w:r>
    </w:p>
    <w:p>
      <w:pPr>
        <w:pStyle w:val="Compact"/>
        <w:numPr>
          <w:ilvl w:val="0"/>
          <w:numId w:val="1004"/>
        </w:numPr>
      </w:pPr>
      <w:r>
        <w:t xml:space="preserve">☐ Mid-cycle capacity-degradation fallback declared.</w:t>
      </w:r>
    </w:p>
    <w:p>
      <w:pPr>
        <w:pStyle w:val="Compact"/>
        <w:numPr>
          <w:ilvl w:val="0"/>
          <w:numId w:val="1004"/>
        </w:numPr>
      </w:pPr>
      <w:r>
        <w:t xml:space="preserve">☐ Accessible equivalent route designed.</w:t>
      </w:r>
    </w:p>
    <w:p>
      <w:pPr>
        <w:pStyle w:val="Compact"/>
        <w:numPr>
          <w:ilvl w:val="0"/>
          <w:numId w:val="1004"/>
        </w:numPr>
      </w:pPr>
      <w:r>
        <w:t xml:space="preserve">☐ Capacity Gate passed.</w:t>
      </w:r>
    </w:p>
    <w:p>
      <w:pPr>
        <w:pStyle w:val="Compact"/>
        <w:numPr>
          <w:ilvl w:val="0"/>
          <w:numId w:val="1004"/>
        </w:numPr>
      </w:pPr>
      <w:r>
        <w:t xml:space="preserve">☐ Student wording comprehension-tested.</w:t>
      </w:r>
    </w:p>
    <w:p>
      <w:pPr>
        <w:pStyle w:val="Compact"/>
        <w:numPr>
          <w:ilvl w:val="0"/>
          <w:numId w:val="1004"/>
        </w:numPr>
      </w:pPr>
      <w:r>
        <w:t xml:space="preserve">☐ Programme map and external wording updated.</w:t>
      </w:r>
    </w:p>
    <w:p>
      <w:pPr>
        <w:pStyle w:val="Compact"/>
        <w:numPr>
          <w:ilvl w:val="0"/>
          <w:numId w:val="1004"/>
        </w:numPr>
      </w:pPr>
      <w:r>
        <w:t xml:space="preserve">☐ Requalification trigger and review date set.</w:t>
      </w:r>
    </w:p>
    <w:bookmarkEnd w:id="46"/>
    <w:sectPr>
      <w:headerReference r:id="rId9" w:type="even"/>
      <w:headerReference r:id="rId10" w:type="default"/>
      <w:headerReference r:id="rId11" w:type="first"/>
      <w:footerReference r:id="rId12" w:type="even"/>
      <w:footerReference r:id="rId13" w:type="default"/>
      <w:footerReference r:id="rId14" w:type="first"/>
      <w:type w:val="nextPage"/>
      <w:pgSz w:h="16838" w:w="11906"/>
      <w:pgMar w:bottom="936" w:footer="432" w:gutter="0" w:header="432" w:left="1123" w:right="1123" w:top="1080"/>
      <w:formProt w:val="false"/>
      <w:titlePg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spacing w:after="0"/>
      <w:jc w:val="center"/>
    </w:pPr>
    <w:r>
      <w:rPr>
        <w:rFonts w:ascii="Calibri" w:hAnsi="Calibri"/>
        <w:color w:val="595959"/>
        <w:sz w:val="16"/>
      </w:rPr>
      <w:t xml:space="preserve">Page </w:t>
    </w:r>
    <w:r>
      <w:fldChar w:fldCharType="begin"/>
      <w:instrText xml:space="preserve">PAGE</w:instrText>
      <w:fldChar w:fldCharType="separate"/>
    </w:r>
    <w:r>
      <w:t>1</w:t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fldChar w:fldCharType="begin"/>
      <w:instrText xml:space="preserve">NUMPAGES</w:instrText>
      <w:fldChar w:fldCharType="separate"/>
    </w:r>
    <w:r>
      <w:t>1</w:t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tabs>
        <w:tab w:pos="9576" w:val="right"/>
      </w:tabs>
      <w:spacing w:after="0"/>
      <w:jc w:val="center"/>
      <w:pBdr>
        <w:bottom w:val="single" w:sz="4" w:space="5" w:color="9FBAD0"/>
      </w:pBdr>
    </w:pPr>
    <w:r>
      <w:rPr>
        <w:rFonts w:ascii="Calibri" w:hAnsi="Calibri"/>
        <w:b/>
        <w:color w:val="595959"/>
        <w:sz w:val="16"/>
      </w:rPr>
      <w:t>ARTIFICIAL INTELLIGENCE ASSURANCE PROTOCOL   |   IMPLEMENTATION HANDBOOK v6.5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120" w:before="0" w:line="259" w:lineRule="auto"/>
      <w:jc w:val="both"/>
    </w:pPr>
    <w:rPr>
      <w:rFonts w:ascii="Georgia" w:cs="Liberation Sans" w:eastAsia="Noto Serif" w:hAnsi="Georgia"/>
      <w:color w:val="1F2933"/>
      <w:kern w:val="0"/>
      <w:sz w:val="20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="Calibri" w:asciiTheme="majorHAnsi" w:cs="" w:cstheme="majorBidi" w:eastAsia="Carlito" w:eastAsiaTheme="majorEastAsia" w:hAnsi="Calibri" w:hAnsiTheme="majorHAnsi"/>
      <w:b/>
      <w:bCs/>
      <w:color w:val="17365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customStyle="1" w:styleId="Compact" w:type="paragraph">
    <w:name w:val="Compact"/>
    <w:basedOn w:val="BodyText"/>
    <w:qFormat/>
    <w:pPr>
      <w:spacing w:after="30" w:before="36" w:line="240" w:lineRule="auto"/>
      <w:ind w:hanging="230" w:start="360"/>
    </w:pPr>
    <w:rPr>
      <w:rFonts w:ascii="Carlito" w:cs="Liberation Sans" w:eastAsia="Carlito" w:hAnsi="Carlito"/>
      <w:color w:val="1F2933"/>
      <w:sz w:val="18"/>
    </w:rPr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60" w:line="240" w:lineRule="auto"/>
      <w:ind w:hanging="360" w:left="360"/>
    </w:pPr>
    <w:rPr>
      <w:rFonts w:ascii="Noto Serif" w:hAnsi="Noto Serif"/>
      <w:sz w:val="1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end="480" w:hanging="0" w:star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uiPriority w:val="9"/>
    <w:unhideWhenUsed/>
    <w:qFormat/>
    <w:pPr>
      <w:widowControl/>
      <w:bidi w:val="0"/>
      <w:spacing w:after="100" w:before="100"/>
      <w:ind w:end="480" w:hanging="0" w:start="480"/>
      <w:jc w:val="star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>
      <w:rFonts w:ascii="Noto Serif" w:hAnsi="Noto Serif"/>
      <w:sz w:val="17"/>
    </w:rPr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  <w:spacing w:after="40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customStyle="1" w:styleId="TOC1" w:type="paragraph">
    <w:name w:val="toc 1"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TOC2" w:type="paragraph">
    <w:name w:val="toc 2"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customStyle="1" w:styleId="Contents1" w:type="paragraph">
    <w:name w:val="Contents 1"/>
    <w:qFormat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Contents2" w:type="paragraph">
    <w:name w:val="Contents 2"/>
    <w:qFormat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HeaderandFooter"/>
    <w:pPr/>
    <w:rPr/>
  </w:style>
  <w:style w:styleId="Footer" w:type="paragraph">
    <w:name w:val="footer"/>
    <w:basedOn w:val="HeaderandFooter"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customStyle="1" w:styleId="TOC1" w:type="paragraph">
    <w:name w:val="TOC 1"/>
    <w:basedOn w:val="Normal"/>
    <w:pPr>
      <w:keepLines/>
      <w:spacing w:after="20"/>
      <w:ind w:firstLine="0" w:left="0"/>
    </w:pPr>
    <w:rPr>
      <w:rFonts w:ascii="Calibri" w:hAnsi="Calibri"/>
      <w:sz w:val="19"/>
    </w:rPr>
  </w:style>
  <w:style w:customStyle="1" w:styleId="TOC2" w:type="paragraph">
    <w:name w:val="TOC 2"/>
    <w:basedOn w:val="Normal"/>
    <w:pPr>
      <w:keepLines/>
      <w:spacing w:after="20"/>
      <w:ind w:firstLine="0" w:left="360"/>
    </w:pPr>
    <w:rPr>
      <w:rFonts w:ascii="Calibri" w:hAnsi="Calibri"/>
      <w:sz w:val="18"/>
    </w:rPr>
  </w:style>
  <w:style w:customStyle="1" w:styleId="TOC3" w:type="paragraph">
    <w:name w:val="TOC 3"/>
    <w:basedOn w:val="Normal"/>
    <w:pPr>
      <w:keepLines/>
      <w:spacing w:after="20"/>
      <w:ind w:firstLine="0" w:left="720"/>
    </w:pPr>
    <w:rPr>
      <w:rFonts w:ascii="Calibri" w:hAnsi="Calibri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58</Pages>
  <Words>28442</Words>
  <Characters>187488</Characters>
  <CharactersWithSpaces>214726</CharactersWithSpaces>
  <Paragraphs>1170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AIAP Implementation Handbook v6.5</dc:title>
  <dc:creator>James McGaughran</dc:creator>
  <cp:keywords>AIAP, assessment assurance, generative AI, higher education</cp:keywords>
  <dcterms:created xsi:type="dcterms:W3CDTF">2026-08-13T13:56:11Z</dcterms:created>
  <dcterms:modified xsi:type="dcterms:W3CDTF">2026-08-13T13:56:11Z</dcterms:modified>
  <dc:subject>AIAP Handbook v6.5</dc:subject>
  <dc:description>AIAP Release 6.5; specification-complete and publication-ready for governed pilot preparation; not empirical validation.</dc:description>
  <cp:lastModifiedBy>James McGaughran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